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B514A">
      <w:pPr>
        <w:widowControl/>
        <w:jc w:val="center"/>
        <w:outlineLvl w:val="0"/>
        <w:rPr>
          <w:rFonts w:ascii="宋体" w:hAnsi="宋体"/>
          <w:b/>
          <w:color w:val="auto"/>
          <w:kern w:val="0"/>
          <w:sz w:val="30"/>
          <w:szCs w:val="30"/>
        </w:rPr>
      </w:pPr>
      <w:bookmarkStart w:id="0" w:name="_Toc354926673"/>
      <w:r>
        <w:rPr>
          <w:rFonts w:ascii="宋体" w:hAnsi="宋体"/>
          <w:b/>
          <w:bCs/>
          <w:color w:val="auto"/>
          <w:kern w:val="0"/>
          <w:sz w:val="30"/>
          <w:szCs w:val="30"/>
        </w:rPr>
        <w:t>一</w:t>
      </w:r>
      <w:r>
        <w:rPr>
          <w:rFonts w:hint="eastAsia" w:ascii="宋体" w:hAnsi="宋体"/>
          <w:b/>
          <w:bCs/>
          <w:color w:val="auto"/>
          <w:kern w:val="0"/>
          <w:sz w:val="30"/>
          <w:szCs w:val="30"/>
        </w:rPr>
        <w:t>、</w:t>
      </w:r>
      <w:r>
        <w:rPr>
          <w:rFonts w:ascii="宋体" w:hAnsi="宋体"/>
          <w:b/>
          <w:bCs/>
          <w:color w:val="auto"/>
          <w:kern w:val="0"/>
          <w:sz w:val="30"/>
          <w:szCs w:val="30"/>
        </w:rPr>
        <w:t>建设项目</w:t>
      </w:r>
      <w:r>
        <w:rPr>
          <w:rFonts w:ascii="宋体" w:hAnsi="宋体"/>
          <w:b/>
          <w:color w:val="auto"/>
          <w:kern w:val="0"/>
          <w:sz w:val="30"/>
          <w:szCs w:val="30"/>
        </w:rPr>
        <w:t>基本情况</w:t>
      </w:r>
      <w:bookmarkEnd w:id="0"/>
    </w:p>
    <w:tbl>
      <w:tblPr>
        <w:tblStyle w:val="34"/>
        <w:tblW w:w="505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3"/>
        <w:gridCol w:w="823"/>
        <w:gridCol w:w="1349"/>
        <w:gridCol w:w="1742"/>
        <w:gridCol w:w="204"/>
        <w:gridCol w:w="1913"/>
        <w:gridCol w:w="2651"/>
      </w:tblGrid>
      <w:tr w14:paraId="323E67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25" w:type="pct"/>
          <w:trHeight w:val="496" w:hRule="atLeast"/>
          <w:jc w:val="center"/>
        </w:trPr>
        <w:tc>
          <w:tcPr>
            <w:tcW w:w="1245" w:type="pct"/>
            <w:gridSpan w:val="2"/>
            <w:tcMar>
              <w:top w:w="16" w:type="dxa"/>
              <w:left w:w="16" w:type="dxa"/>
              <w:right w:w="16" w:type="dxa"/>
            </w:tcMar>
            <w:vAlign w:val="center"/>
          </w:tcPr>
          <w:p w14:paraId="62CCD8C7">
            <w:pPr>
              <w:adjustRightInd w:val="0"/>
              <w:snapToGrid w:val="0"/>
              <w:jc w:val="center"/>
              <w:rPr>
                <w:rFonts w:ascii="宋体" w:hAnsi="宋体" w:cs="宋体"/>
                <w:color w:val="auto"/>
                <w:sz w:val="24"/>
                <w:szCs w:val="24"/>
              </w:rPr>
            </w:pPr>
            <w:r>
              <w:rPr>
                <w:rFonts w:hint="eastAsia" w:ascii="宋体" w:hAnsi="宋体" w:cs="宋体"/>
                <w:color w:val="auto"/>
                <w:sz w:val="24"/>
                <w:szCs w:val="24"/>
              </w:rPr>
              <w:t>建设项目名称</w:t>
            </w:r>
          </w:p>
        </w:tc>
        <w:tc>
          <w:tcPr>
            <w:tcW w:w="3730" w:type="pct"/>
            <w:gridSpan w:val="4"/>
            <w:vAlign w:val="center"/>
          </w:tcPr>
          <w:p w14:paraId="195AA8DB">
            <w:pPr>
              <w:adjustRightInd w:val="0"/>
              <w:snapToGrid w:val="0"/>
              <w:jc w:val="center"/>
              <w:rPr>
                <w:rFonts w:ascii="宋体" w:hAnsi="宋体" w:cs="宋体"/>
                <w:color w:val="auto"/>
                <w:sz w:val="24"/>
                <w:szCs w:val="24"/>
              </w:rPr>
            </w:pPr>
            <w:r>
              <w:rPr>
                <w:rFonts w:ascii="宋体" w:hAnsi="宋体" w:cs="宋体"/>
                <w:color w:val="auto"/>
                <w:sz w:val="24"/>
                <w:szCs w:val="24"/>
              </w:rPr>
              <w:t>玻璃制品着色项目</w:t>
            </w:r>
          </w:p>
        </w:tc>
      </w:tr>
      <w:tr w14:paraId="18BD1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25" w:type="pct"/>
          <w:trHeight w:val="496" w:hRule="atLeast"/>
          <w:jc w:val="center"/>
        </w:trPr>
        <w:tc>
          <w:tcPr>
            <w:tcW w:w="1245" w:type="pct"/>
            <w:gridSpan w:val="2"/>
            <w:tcMar>
              <w:top w:w="16" w:type="dxa"/>
              <w:left w:w="16" w:type="dxa"/>
              <w:right w:w="16" w:type="dxa"/>
            </w:tcMar>
            <w:vAlign w:val="center"/>
          </w:tcPr>
          <w:p w14:paraId="0361584E">
            <w:pPr>
              <w:adjustRightInd w:val="0"/>
              <w:snapToGrid w:val="0"/>
              <w:jc w:val="center"/>
              <w:rPr>
                <w:rFonts w:ascii="宋体" w:hAnsi="宋体" w:cs="宋体"/>
                <w:color w:val="auto"/>
                <w:sz w:val="24"/>
                <w:szCs w:val="24"/>
              </w:rPr>
            </w:pPr>
            <w:r>
              <w:rPr>
                <w:rFonts w:hint="eastAsia" w:ascii="宋体" w:hAnsi="宋体" w:cs="宋体"/>
                <w:color w:val="auto"/>
                <w:sz w:val="24"/>
                <w:szCs w:val="24"/>
              </w:rPr>
              <w:t>项目代码</w:t>
            </w:r>
          </w:p>
        </w:tc>
        <w:tc>
          <w:tcPr>
            <w:tcW w:w="3730" w:type="pct"/>
            <w:gridSpan w:val="4"/>
            <w:vAlign w:val="center"/>
          </w:tcPr>
          <w:p w14:paraId="1B754CE4">
            <w:pPr>
              <w:adjustRightInd w:val="0"/>
              <w:snapToGrid w:val="0"/>
              <w:jc w:val="center"/>
              <w:rPr>
                <w:rFonts w:ascii="宋体" w:hAnsi="宋体" w:cs="宋体"/>
                <w:color w:val="auto"/>
                <w:sz w:val="24"/>
                <w:szCs w:val="24"/>
              </w:rPr>
            </w:pPr>
            <w:r>
              <w:rPr>
                <w:rFonts w:hint="eastAsia"/>
                <w:color w:val="auto"/>
                <w:sz w:val="24"/>
                <w:szCs w:val="24"/>
              </w:rPr>
              <w:t>2408-340403-04-05-192782</w:t>
            </w:r>
          </w:p>
        </w:tc>
      </w:tr>
      <w:tr w14:paraId="04E279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25" w:type="pct"/>
          <w:trHeight w:val="496" w:hRule="atLeast"/>
          <w:jc w:val="center"/>
        </w:trPr>
        <w:tc>
          <w:tcPr>
            <w:tcW w:w="1245" w:type="pct"/>
            <w:gridSpan w:val="2"/>
            <w:tcMar>
              <w:top w:w="16" w:type="dxa"/>
              <w:left w:w="16" w:type="dxa"/>
              <w:right w:w="16" w:type="dxa"/>
            </w:tcMar>
            <w:vAlign w:val="center"/>
          </w:tcPr>
          <w:p w14:paraId="4B4A204C">
            <w:pPr>
              <w:adjustRightInd w:val="0"/>
              <w:snapToGrid w:val="0"/>
              <w:jc w:val="center"/>
              <w:rPr>
                <w:rFonts w:ascii="宋体" w:hAnsi="宋体" w:cs="宋体"/>
                <w:color w:val="auto"/>
                <w:sz w:val="24"/>
                <w:szCs w:val="24"/>
              </w:rPr>
            </w:pPr>
            <w:r>
              <w:rPr>
                <w:rFonts w:hint="eastAsia" w:ascii="宋体" w:hAnsi="宋体" w:cs="宋体"/>
                <w:color w:val="auto"/>
                <w:sz w:val="24"/>
                <w:szCs w:val="24"/>
              </w:rPr>
              <w:t>建设单位联系人</w:t>
            </w:r>
          </w:p>
        </w:tc>
        <w:tc>
          <w:tcPr>
            <w:tcW w:w="998" w:type="pct"/>
            <w:vAlign w:val="center"/>
          </w:tcPr>
          <w:p w14:paraId="1522EB79">
            <w:pPr>
              <w:adjustRightInd w:val="0"/>
              <w:snapToGrid w:val="0"/>
              <w:jc w:val="center"/>
              <w:rPr>
                <w:rFonts w:ascii="宋体" w:hAnsi="宋体" w:cs="宋体"/>
                <w:color w:val="auto"/>
                <w:sz w:val="24"/>
                <w:szCs w:val="24"/>
              </w:rPr>
            </w:pPr>
            <w:r>
              <w:rPr>
                <w:rFonts w:ascii="宋体" w:hAnsi="宋体" w:cs="宋体"/>
                <w:color w:val="auto"/>
                <w:sz w:val="24"/>
                <w:szCs w:val="24"/>
              </w:rPr>
              <w:t>王阳山</w:t>
            </w:r>
          </w:p>
        </w:tc>
        <w:tc>
          <w:tcPr>
            <w:tcW w:w="1213" w:type="pct"/>
            <w:gridSpan w:val="2"/>
            <w:vAlign w:val="center"/>
          </w:tcPr>
          <w:p w14:paraId="7A45F422">
            <w:pPr>
              <w:adjustRightInd w:val="0"/>
              <w:snapToGrid w:val="0"/>
              <w:jc w:val="center"/>
              <w:rPr>
                <w:rFonts w:ascii="宋体" w:hAnsi="宋体" w:cs="宋体"/>
                <w:color w:val="auto"/>
                <w:sz w:val="24"/>
                <w:szCs w:val="24"/>
              </w:rPr>
            </w:pPr>
            <w:r>
              <w:rPr>
                <w:rFonts w:hint="eastAsia" w:ascii="宋体" w:hAnsi="宋体" w:cs="宋体"/>
                <w:color w:val="auto"/>
                <w:sz w:val="24"/>
                <w:szCs w:val="24"/>
              </w:rPr>
              <w:t>联系方式</w:t>
            </w:r>
          </w:p>
        </w:tc>
        <w:tc>
          <w:tcPr>
            <w:tcW w:w="1518" w:type="pct"/>
            <w:vAlign w:val="center"/>
          </w:tcPr>
          <w:p w14:paraId="2519CB28">
            <w:pPr>
              <w:adjustRightInd w:val="0"/>
              <w:snapToGrid w:val="0"/>
              <w:jc w:val="center"/>
              <w:rPr>
                <w:color w:val="auto"/>
                <w:sz w:val="24"/>
                <w:szCs w:val="24"/>
              </w:rPr>
            </w:pPr>
            <w:r>
              <w:rPr>
                <w:color w:val="auto"/>
                <w:sz w:val="24"/>
                <w:szCs w:val="24"/>
              </w:rPr>
              <w:t>13305545695</w:t>
            </w:r>
          </w:p>
        </w:tc>
      </w:tr>
      <w:tr w14:paraId="27F67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25" w:type="pct"/>
          <w:trHeight w:val="496" w:hRule="atLeast"/>
          <w:jc w:val="center"/>
        </w:trPr>
        <w:tc>
          <w:tcPr>
            <w:tcW w:w="1245" w:type="pct"/>
            <w:gridSpan w:val="2"/>
            <w:tcMar>
              <w:top w:w="16" w:type="dxa"/>
              <w:left w:w="16" w:type="dxa"/>
              <w:right w:w="16" w:type="dxa"/>
            </w:tcMar>
            <w:vAlign w:val="center"/>
          </w:tcPr>
          <w:p w14:paraId="28EE02ED">
            <w:pPr>
              <w:adjustRightInd w:val="0"/>
              <w:snapToGrid w:val="0"/>
              <w:jc w:val="center"/>
              <w:rPr>
                <w:rFonts w:ascii="宋体" w:hAnsi="宋体" w:cs="宋体"/>
                <w:color w:val="auto"/>
                <w:sz w:val="24"/>
                <w:szCs w:val="24"/>
              </w:rPr>
            </w:pPr>
            <w:r>
              <w:rPr>
                <w:rFonts w:hint="eastAsia" w:ascii="宋体" w:hAnsi="宋体" w:cs="宋体"/>
                <w:color w:val="auto"/>
                <w:sz w:val="24"/>
                <w:szCs w:val="24"/>
              </w:rPr>
              <w:t>建设地点</w:t>
            </w:r>
          </w:p>
        </w:tc>
        <w:tc>
          <w:tcPr>
            <w:tcW w:w="3730" w:type="pct"/>
            <w:gridSpan w:val="4"/>
            <w:vAlign w:val="center"/>
          </w:tcPr>
          <w:p w14:paraId="3B53F7BD">
            <w:pPr>
              <w:adjustRightInd w:val="0"/>
              <w:snapToGrid w:val="0"/>
              <w:jc w:val="center"/>
              <w:rPr>
                <w:rFonts w:ascii="宋体" w:hAnsi="宋体" w:cs="宋体"/>
                <w:color w:val="auto"/>
                <w:sz w:val="24"/>
                <w:szCs w:val="24"/>
              </w:rPr>
            </w:pPr>
            <w:r>
              <w:rPr>
                <w:rFonts w:hint="eastAsia"/>
                <w:color w:val="auto"/>
                <w:sz w:val="24"/>
              </w:rPr>
              <w:t>安徽省淮南市十涧湖中路1号</w:t>
            </w:r>
          </w:p>
        </w:tc>
      </w:tr>
      <w:tr w14:paraId="4D2D8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25" w:type="pct"/>
          <w:trHeight w:val="496" w:hRule="atLeast"/>
          <w:jc w:val="center"/>
        </w:trPr>
        <w:tc>
          <w:tcPr>
            <w:tcW w:w="1245" w:type="pct"/>
            <w:gridSpan w:val="2"/>
            <w:tcMar>
              <w:top w:w="16" w:type="dxa"/>
              <w:left w:w="16" w:type="dxa"/>
              <w:right w:w="16" w:type="dxa"/>
            </w:tcMar>
            <w:vAlign w:val="center"/>
          </w:tcPr>
          <w:p w14:paraId="351722DE">
            <w:pPr>
              <w:adjustRightInd w:val="0"/>
              <w:snapToGrid w:val="0"/>
              <w:jc w:val="center"/>
              <w:rPr>
                <w:rFonts w:ascii="宋体" w:hAnsi="宋体" w:cs="宋体"/>
                <w:color w:val="auto"/>
                <w:sz w:val="24"/>
                <w:szCs w:val="24"/>
              </w:rPr>
            </w:pPr>
            <w:r>
              <w:rPr>
                <w:rFonts w:hint="eastAsia" w:ascii="宋体" w:hAnsi="宋体" w:cs="宋体"/>
                <w:color w:val="auto"/>
                <w:sz w:val="24"/>
                <w:szCs w:val="24"/>
              </w:rPr>
              <w:t>地理坐标</w:t>
            </w:r>
          </w:p>
        </w:tc>
        <w:tc>
          <w:tcPr>
            <w:tcW w:w="3730" w:type="pct"/>
            <w:gridSpan w:val="4"/>
            <w:vAlign w:val="center"/>
          </w:tcPr>
          <w:p w14:paraId="20CF7AB2">
            <w:pPr>
              <w:jc w:val="center"/>
              <w:rPr>
                <w:rFonts w:ascii="宋体" w:hAnsi="宋体" w:cs="宋体"/>
                <w:color w:val="auto"/>
                <w:sz w:val="24"/>
                <w:szCs w:val="24"/>
              </w:rPr>
            </w:pPr>
            <w:r>
              <w:rPr>
                <w:rFonts w:hint="eastAsia" w:ascii="宋体" w:hAnsi="宋体" w:cs="宋体"/>
                <w:color w:val="auto"/>
                <w:sz w:val="24"/>
                <w:szCs w:val="24"/>
              </w:rPr>
              <w:t>（</w:t>
            </w:r>
            <w:r>
              <w:rPr>
                <w:color w:val="auto"/>
                <w:sz w:val="24"/>
                <w:szCs w:val="24"/>
              </w:rPr>
              <w:t>E</w:t>
            </w:r>
            <w:r>
              <w:rPr>
                <w:color w:val="auto"/>
                <w:sz w:val="24"/>
                <w:szCs w:val="24"/>
                <w:u w:val="single"/>
              </w:rPr>
              <w:t>116</w:t>
            </w:r>
            <w:r>
              <w:rPr>
                <w:rFonts w:hint="eastAsia" w:ascii="宋体" w:hAnsi="宋体" w:cs="宋体"/>
                <w:color w:val="auto"/>
                <w:sz w:val="24"/>
                <w:szCs w:val="24"/>
              </w:rPr>
              <w:t>度</w:t>
            </w:r>
            <w:r>
              <w:rPr>
                <w:rFonts w:hint="eastAsia"/>
                <w:color w:val="auto"/>
                <w:sz w:val="24"/>
                <w:szCs w:val="24"/>
                <w:u w:val="single"/>
              </w:rPr>
              <w:t>55</w:t>
            </w:r>
            <w:r>
              <w:rPr>
                <w:rFonts w:hint="eastAsia" w:ascii="宋体" w:hAnsi="宋体" w:cs="宋体"/>
                <w:color w:val="auto"/>
                <w:sz w:val="24"/>
                <w:szCs w:val="24"/>
              </w:rPr>
              <w:t>分</w:t>
            </w:r>
            <w:r>
              <w:rPr>
                <w:rFonts w:hint="eastAsia"/>
                <w:color w:val="auto"/>
                <w:sz w:val="24"/>
                <w:szCs w:val="24"/>
                <w:u w:val="single"/>
              </w:rPr>
              <w:t>47.539</w:t>
            </w:r>
            <w:r>
              <w:rPr>
                <w:rFonts w:hint="eastAsia" w:ascii="宋体" w:hAnsi="宋体" w:cs="宋体"/>
                <w:color w:val="auto"/>
                <w:sz w:val="24"/>
                <w:szCs w:val="24"/>
              </w:rPr>
              <w:t>秒，</w:t>
            </w:r>
            <w:r>
              <w:rPr>
                <w:color w:val="auto"/>
                <w:sz w:val="24"/>
                <w:szCs w:val="24"/>
              </w:rPr>
              <w:t>N</w:t>
            </w:r>
            <w:r>
              <w:rPr>
                <w:color w:val="auto"/>
                <w:sz w:val="24"/>
                <w:szCs w:val="24"/>
                <w:u w:val="single"/>
              </w:rPr>
              <w:t>3</w:t>
            </w:r>
            <w:r>
              <w:rPr>
                <w:rFonts w:hint="eastAsia"/>
                <w:color w:val="auto"/>
                <w:sz w:val="24"/>
                <w:szCs w:val="24"/>
                <w:u w:val="single"/>
              </w:rPr>
              <w:t>2</w:t>
            </w:r>
            <w:r>
              <w:rPr>
                <w:rFonts w:hint="eastAsia" w:ascii="宋体" w:hAnsi="宋体" w:cs="宋体"/>
                <w:color w:val="auto"/>
                <w:sz w:val="24"/>
                <w:szCs w:val="24"/>
              </w:rPr>
              <w:t>度</w:t>
            </w:r>
            <w:r>
              <w:rPr>
                <w:rFonts w:hint="eastAsia"/>
                <w:color w:val="auto"/>
                <w:sz w:val="24"/>
                <w:szCs w:val="24"/>
                <w:u w:val="single"/>
              </w:rPr>
              <w:t>37</w:t>
            </w:r>
            <w:r>
              <w:rPr>
                <w:rFonts w:hint="eastAsia" w:ascii="宋体" w:hAnsi="宋体" w:cs="宋体"/>
                <w:color w:val="auto"/>
                <w:sz w:val="24"/>
                <w:szCs w:val="24"/>
              </w:rPr>
              <w:t>分</w:t>
            </w:r>
            <w:r>
              <w:rPr>
                <w:rFonts w:hint="eastAsia"/>
                <w:color w:val="auto"/>
                <w:sz w:val="24"/>
                <w:szCs w:val="24"/>
                <w:u w:val="single"/>
              </w:rPr>
              <w:t>28.991</w:t>
            </w:r>
            <w:r>
              <w:rPr>
                <w:rFonts w:hint="eastAsia" w:ascii="宋体" w:hAnsi="宋体" w:cs="宋体"/>
                <w:color w:val="auto"/>
                <w:sz w:val="24"/>
                <w:szCs w:val="24"/>
              </w:rPr>
              <w:t>秒）</w:t>
            </w:r>
          </w:p>
        </w:tc>
      </w:tr>
      <w:tr w14:paraId="213B2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25" w:type="pct"/>
          <w:trHeight w:val="560" w:hRule="atLeast"/>
          <w:jc w:val="center"/>
        </w:trPr>
        <w:tc>
          <w:tcPr>
            <w:tcW w:w="1245" w:type="pct"/>
            <w:gridSpan w:val="2"/>
            <w:tcMar>
              <w:top w:w="16" w:type="dxa"/>
              <w:left w:w="16" w:type="dxa"/>
              <w:right w:w="16" w:type="dxa"/>
            </w:tcMar>
            <w:vAlign w:val="center"/>
          </w:tcPr>
          <w:p w14:paraId="05E8998B">
            <w:pPr>
              <w:adjustRightInd w:val="0"/>
              <w:snapToGrid w:val="0"/>
              <w:jc w:val="center"/>
              <w:rPr>
                <w:color w:val="auto"/>
                <w:sz w:val="24"/>
                <w:szCs w:val="24"/>
              </w:rPr>
            </w:pPr>
            <w:r>
              <w:rPr>
                <w:rFonts w:hAnsi="宋体"/>
                <w:color w:val="auto"/>
                <w:sz w:val="24"/>
                <w:szCs w:val="24"/>
              </w:rPr>
              <w:t>国民经济</w:t>
            </w:r>
          </w:p>
          <w:p w14:paraId="4CC65508">
            <w:pPr>
              <w:adjustRightInd w:val="0"/>
              <w:snapToGrid w:val="0"/>
              <w:jc w:val="center"/>
              <w:rPr>
                <w:color w:val="auto"/>
                <w:sz w:val="24"/>
                <w:szCs w:val="24"/>
              </w:rPr>
            </w:pPr>
            <w:r>
              <w:rPr>
                <w:rFonts w:hAnsi="宋体"/>
                <w:color w:val="auto"/>
                <w:sz w:val="24"/>
                <w:szCs w:val="24"/>
              </w:rPr>
              <w:t>行业类别</w:t>
            </w:r>
          </w:p>
        </w:tc>
        <w:tc>
          <w:tcPr>
            <w:tcW w:w="1115" w:type="pct"/>
            <w:gridSpan w:val="2"/>
            <w:vAlign w:val="center"/>
          </w:tcPr>
          <w:p w14:paraId="6A822191">
            <w:pPr>
              <w:adjustRightInd w:val="0"/>
              <w:snapToGrid w:val="0"/>
              <w:jc w:val="center"/>
              <w:rPr>
                <w:color w:val="auto"/>
                <w:sz w:val="24"/>
              </w:rPr>
            </w:pPr>
            <w:r>
              <w:rPr>
                <w:rFonts w:hint="eastAsia"/>
                <w:color w:val="auto"/>
                <w:sz w:val="24"/>
                <w:szCs w:val="24"/>
              </w:rPr>
              <w:t>C3054日用玻璃制品制造</w:t>
            </w:r>
          </w:p>
        </w:tc>
        <w:tc>
          <w:tcPr>
            <w:tcW w:w="1096" w:type="pct"/>
            <w:vAlign w:val="center"/>
          </w:tcPr>
          <w:p w14:paraId="2B3F466F">
            <w:pPr>
              <w:adjustRightInd w:val="0"/>
              <w:snapToGrid w:val="0"/>
              <w:jc w:val="center"/>
              <w:rPr>
                <w:color w:val="auto"/>
                <w:sz w:val="24"/>
                <w:szCs w:val="24"/>
              </w:rPr>
            </w:pPr>
            <w:bookmarkStart w:id="1" w:name="_Hlk49843745"/>
            <w:r>
              <w:rPr>
                <w:rFonts w:hAnsi="宋体"/>
                <w:color w:val="auto"/>
                <w:sz w:val="24"/>
                <w:szCs w:val="24"/>
              </w:rPr>
              <w:t>建设项目</w:t>
            </w:r>
          </w:p>
          <w:p w14:paraId="137D77CA">
            <w:pPr>
              <w:adjustRightInd w:val="0"/>
              <w:snapToGrid w:val="0"/>
              <w:jc w:val="center"/>
              <w:rPr>
                <w:color w:val="auto"/>
                <w:sz w:val="24"/>
                <w:szCs w:val="24"/>
              </w:rPr>
            </w:pPr>
            <w:r>
              <w:rPr>
                <w:rFonts w:hAnsi="宋体"/>
                <w:color w:val="auto"/>
                <w:sz w:val="24"/>
                <w:szCs w:val="24"/>
              </w:rPr>
              <w:t>行业类别</w:t>
            </w:r>
            <w:bookmarkEnd w:id="1"/>
          </w:p>
        </w:tc>
        <w:tc>
          <w:tcPr>
            <w:tcW w:w="1518" w:type="pct"/>
            <w:vAlign w:val="center"/>
          </w:tcPr>
          <w:p w14:paraId="6DB90AA7">
            <w:pPr>
              <w:adjustRightInd w:val="0"/>
              <w:snapToGrid w:val="0"/>
              <w:jc w:val="center"/>
              <w:rPr>
                <w:color w:val="auto"/>
                <w:sz w:val="24"/>
                <w:szCs w:val="24"/>
              </w:rPr>
            </w:pPr>
            <w:r>
              <w:rPr>
                <w:rFonts w:hint="eastAsia"/>
                <w:color w:val="auto"/>
                <w:sz w:val="24"/>
                <w:szCs w:val="24"/>
              </w:rPr>
              <w:t>二十七、</w:t>
            </w:r>
            <w:r>
              <w:rPr>
                <w:color w:val="auto"/>
                <w:sz w:val="24"/>
                <w:szCs w:val="24"/>
              </w:rPr>
              <w:t>非金属矿物制品业</w:t>
            </w:r>
            <w:r>
              <w:rPr>
                <w:rFonts w:hint="eastAsia"/>
                <w:color w:val="auto"/>
                <w:sz w:val="24"/>
                <w:szCs w:val="24"/>
              </w:rPr>
              <w:t xml:space="preserve"> 30 </w:t>
            </w:r>
            <w:r>
              <w:rPr>
                <w:color w:val="auto"/>
                <w:sz w:val="24"/>
                <w:szCs w:val="24"/>
              </w:rPr>
              <w:t>玻璃制品制造</w:t>
            </w:r>
            <w:r>
              <w:rPr>
                <w:rFonts w:hint="eastAsia"/>
                <w:color w:val="auto"/>
                <w:sz w:val="24"/>
                <w:szCs w:val="24"/>
              </w:rPr>
              <w:t>305</w:t>
            </w:r>
          </w:p>
        </w:tc>
      </w:tr>
      <w:tr w14:paraId="33EC6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25" w:type="pct"/>
          <w:trHeight w:val="1216" w:hRule="atLeast"/>
          <w:jc w:val="center"/>
        </w:trPr>
        <w:tc>
          <w:tcPr>
            <w:tcW w:w="1245" w:type="pct"/>
            <w:gridSpan w:val="2"/>
            <w:tcMar>
              <w:top w:w="16" w:type="dxa"/>
              <w:left w:w="16" w:type="dxa"/>
              <w:right w:w="16" w:type="dxa"/>
            </w:tcMar>
            <w:vAlign w:val="center"/>
          </w:tcPr>
          <w:p w14:paraId="1BAB002A">
            <w:pPr>
              <w:adjustRightInd w:val="0"/>
              <w:snapToGrid w:val="0"/>
              <w:jc w:val="center"/>
              <w:rPr>
                <w:rFonts w:ascii="宋体" w:hAnsi="宋体" w:cs="宋体"/>
                <w:color w:val="auto"/>
                <w:sz w:val="24"/>
                <w:szCs w:val="24"/>
              </w:rPr>
            </w:pPr>
            <w:r>
              <w:rPr>
                <w:rFonts w:hint="eastAsia" w:ascii="宋体" w:hAnsi="宋体" w:cs="宋体"/>
                <w:color w:val="auto"/>
                <w:sz w:val="24"/>
                <w:szCs w:val="24"/>
              </w:rPr>
              <w:t>建设性质</w:t>
            </w:r>
          </w:p>
        </w:tc>
        <w:tc>
          <w:tcPr>
            <w:tcW w:w="1115" w:type="pct"/>
            <w:gridSpan w:val="2"/>
            <w:vAlign w:val="center"/>
          </w:tcPr>
          <w:p w14:paraId="17E95A1E">
            <w:pPr>
              <w:jc w:val="left"/>
              <w:rPr>
                <w:rFonts w:ascii="宋体" w:hAnsi="宋体" w:cs="宋体"/>
                <w:color w:val="auto"/>
                <w:sz w:val="24"/>
                <w:szCs w:val="24"/>
              </w:rPr>
            </w:pPr>
            <w:r>
              <w:rPr>
                <w:rFonts w:hint="eastAsia" w:ascii="宋体" w:hAnsi="宋体" w:cs="宋体"/>
                <w:color w:val="auto"/>
                <w:sz w:val="24"/>
                <w:szCs w:val="24"/>
              </w:rPr>
              <w:t>□新建（迁建）</w:t>
            </w:r>
          </w:p>
          <w:p w14:paraId="74101FE2">
            <w:pPr>
              <w:jc w:val="left"/>
              <w:rPr>
                <w:rFonts w:ascii="宋体" w:hAnsi="宋体" w:cs="宋体"/>
                <w:color w:val="auto"/>
                <w:sz w:val="24"/>
                <w:szCs w:val="24"/>
              </w:rPr>
            </w:pPr>
            <w:r>
              <w:rPr>
                <w:rFonts w:hint="eastAsia" w:ascii="宋体" w:hAnsi="宋体" w:cs="宋体"/>
                <w:color w:val="auto"/>
                <w:sz w:val="24"/>
                <w:szCs w:val="24"/>
              </w:rPr>
              <w:sym w:font="Wingdings 2" w:char="F052"/>
            </w:r>
            <w:r>
              <w:rPr>
                <w:rFonts w:hint="eastAsia" w:ascii="宋体" w:hAnsi="宋体" w:cs="宋体"/>
                <w:color w:val="auto"/>
                <w:sz w:val="24"/>
                <w:szCs w:val="24"/>
              </w:rPr>
              <w:t>改建</w:t>
            </w:r>
          </w:p>
          <w:p w14:paraId="41B39B05">
            <w:pPr>
              <w:jc w:val="left"/>
              <w:rPr>
                <w:rFonts w:ascii="宋体" w:hAnsi="宋体" w:cs="宋体"/>
                <w:color w:val="auto"/>
                <w:sz w:val="24"/>
                <w:szCs w:val="24"/>
              </w:rPr>
            </w:pPr>
            <w:r>
              <w:rPr>
                <w:rFonts w:hint="eastAsia" w:ascii="宋体" w:hAnsi="宋体" w:cs="宋体"/>
                <w:color w:val="auto"/>
                <w:sz w:val="24"/>
                <w:szCs w:val="24"/>
              </w:rPr>
              <w:t>□扩建</w:t>
            </w:r>
          </w:p>
          <w:p w14:paraId="41DAD6CF">
            <w:pPr>
              <w:jc w:val="left"/>
              <w:rPr>
                <w:rFonts w:ascii="宋体" w:hAnsi="宋体" w:cs="宋体"/>
                <w:color w:val="auto"/>
                <w:sz w:val="24"/>
                <w:szCs w:val="24"/>
              </w:rPr>
            </w:pPr>
            <w:r>
              <w:rPr>
                <w:rFonts w:hint="eastAsia" w:ascii="宋体" w:hAnsi="宋体" w:cs="宋体"/>
                <w:color w:val="auto"/>
                <w:sz w:val="24"/>
                <w:szCs w:val="24"/>
              </w:rPr>
              <w:t>□技术改造</w:t>
            </w:r>
          </w:p>
        </w:tc>
        <w:tc>
          <w:tcPr>
            <w:tcW w:w="1096" w:type="pct"/>
            <w:vAlign w:val="center"/>
          </w:tcPr>
          <w:p w14:paraId="7D396FCA">
            <w:pPr>
              <w:adjustRightInd w:val="0"/>
              <w:snapToGrid w:val="0"/>
              <w:jc w:val="center"/>
              <w:rPr>
                <w:rFonts w:ascii="宋体" w:hAnsi="宋体" w:cs="宋体"/>
                <w:color w:val="auto"/>
                <w:sz w:val="24"/>
                <w:szCs w:val="24"/>
              </w:rPr>
            </w:pPr>
            <w:r>
              <w:rPr>
                <w:rFonts w:hint="eastAsia" w:ascii="宋体" w:hAnsi="宋体" w:cs="宋体"/>
                <w:color w:val="auto"/>
                <w:sz w:val="24"/>
                <w:szCs w:val="24"/>
              </w:rPr>
              <w:t>建设项目</w:t>
            </w:r>
          </w:p>
          <w:p w14:paraId="107CE8AE">
            <w:pPr>
              <w:adjustRightInd w:val="0"/>
              <w:snapToGrid w:val="0"/>
              <w:jc w:val="center"/>
              <w:rPr>
                <w:rFonts w:ascii="宋体" w:hAnsi="宋体" w:cs="宋体"/>
                <w:color w:val="auto"/>
                <w:sz w:val="24"/>
                <w:szCs w:val="24"/>
              </w:rPr>
            </w:pPr>
            <w:r>
              <w:rPr>
                <w:rFonts w:hint="eastAsia" w:ascii="宋体" w:hAnsi="宋体" w:cs="宋体"/>
                <w:color w:val="auto"/>
                <w:sz w:val="24"/>
                <w:szCs w:val="24"/>
              </w:rPr>
              <w:t>申报情形</w:t>
            </w:r>
          </w:p>
        </w:tc>
        <w:tc>
          <w:tcPr>
            <w:tcW w:w="1518" w:type="pct"/>
            <w:vAlign w:val="center"/>
          </w:tcPr>
          <w:p w14:paraId="552CA080">
            <w:pPr>
              <w:jc w:val="left"/>
              <w:rPr>
                <w:rFonts w:ascii="宋体" w:hAnsi="宋体" w:cs="宋体"/>
                <w:color w:val="auto"/>
                <w:sz w:val="24"/>
                <w:szCs w:val="24"/>
              </w:rPr>
            </w:pPr>
            <w:r>
              <w:rPr>
                <w:rFonts w:hint="eastAsia" w:ascii="宋体" w:hAnsi="宋体" w:cs="宋体"/>
                <w:color w:val="auto"/>
                <w:sz w:val="24"/>
                <w:szCs w:val="24"/>
              </w:rPr>
              <w:sym w:font="Wingdings 2" w:char="F052"/>
            </w:r>
            <w:r>
              <w:rPr>
                <w:rFonts w:hint="eastAsia" w:ascii="宋体" w:hAnsi="宋体" w:cs="宋体"/>
                <w:color w:val="auto"/>
                <w:sz w:val="24"/>
                <w:szCs w:val="24"/>
              </w:rPr>
              <w:t>首次申报项目</w:t>
            </w:r>
          </w:p>
          <w:p w14:paraId="119EAE4C">
            <w:pPr>
              <w:jc w:val="left"/>
              <w:rPr>
                <w:rFonts w:ascii="宋体" w:hAnsi="宋体" w:cs="宋体"/>
                <w:color w:val="auto"/>
                <w:sz w:val="24"/>
                <w:szCs w:val="24"/>
              </w:rPr>
            </w:pPr>
            <w:r>
              <w:rPr>
                <w:rFonts w:hint="eastAsia" w:ascii="宋体" w:hAnsi="宋体" w:cs="宋体"/>
                <w:color w:val="auto"/>
                <w:sz w:val="24"/>
                <w:szCs w:val="24"/>
              </w:rPr>
              <w:t>□不予批准后再次申报项目</w:t>
            </w:r>
          </w:p>
          <w:p w14:paraId="0463424B">
            <w:pPr>
              <w:jc w:val="left"/>
              <w:rPr>
                <w:rFonts w:ascii="宋体" w:hAnsi="宋体" w:cs="宋体"/>
                <w:color w:val="auto"/>
                <w:sz w:val="24"/>
                <w:szCs w:val="24"/>
              </w:rPr>
            </w:pPr>
            <w:r>
              <w:rPr>
                <w:rFonts w:hint="eastAsia" w:ascii="宋体" w:hAnsi="宋体" w:cs="宋体"/>
                <w:color w:val="auto"/>
                <w:sz w:val="24"/>
                <w:szCs w:val="24"/>
              </w:rPr>
              <w:sym w:font="Wingdings 2" w:char="00A3"/>
            </w:r>
            <w:r>
              <w:rPr>
                <w:rFonts w:hint="eastAsia" w:ascii="宋体" w:hAnsi="宋体" w:cs="宋体"/>
                <w:color w:val="auto"/>
                <w:sz w:val="24"/>
                <w:szCs w:val="24"/>
              </w:rPr>
              <w:t>超五年重新审核项目</w:t>
            </w:r>
            <w:r>
              <w:rPr>
                <w:rFonts w:ascii="宋体" w:hAnsi="宋体" w:cs="宋体"/>
                <w:color w:val="auto"/>
                <w:sz w:val="24"/>
                <w:szCs w:val="24"/>
              </w:rPr>
              <w:t xml:space="preserve">     </w:t>
            </w:r>
          </w:p>
          <w:p w14:paraId="6762EB3E">
            <w:pPr>
              <w:jc w:val="left"/>
              <w:rPr>
                <w:rFonts w:ascii="宋体" w:hAnsi="宋体" w:cs="宋体"/>
                <w:color w:val="auto"/>
                <w:sz w:val="24"/>
                <w:szCs w:val="24"/>
              </w:rPr>
            </w:pPr>
            <w:r>
              <w:rPr>
                <w:rFonts w:hint="eastAsia" w:ascii="宋体" w:hAnsi="宋体" w:cs="宋体"/>
                <w:color w:val="auto"/>
                <w:sz w:val="24"/>
                <w:szCs w:val="24"/>
              </w:rPr>
              <w:t>□重大变动重新报批项目</w:t>
            </w:r>
          </w:p>
        </w:tc>
      </w:tr>
      <w:tr w14:paraId="01BBB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25" w:type="pct"/>
          <w:trHeight w:val="849" w:hRule="atLeast"/>
          <w:jc w:val="center"/>
        </w:trPr>
        <w:tc>
          <w:tcPr>
            <w:tcW w:w="1245" w:type="pct"/>
            <w:gridSpan w:val="2"/>
            <w:tcMar>
              <w:top w:w="16" w:type="dxa"/>
              <w:left w:w="16" w:type="dxa"/>
              <w:right w:w="16" w:type="dxa"/>
            </w:tcMar>
            <w:vAlign w:val="center"/>
          </w:tcPr>
          <w:p w14:paraId="4E07EC19">
            <w:pPr>
              <w:adjustRightInd w:val="0"/>
              <w:snapToGrid w:val="0"/>
              <w:jc w:val="center"/>
              <w:rPr>
                <w:rFonts w:ascii="宋体" w:hAnsi="宋体" w:cs="宋体"/>
                <w:color w:val="auto"/>
                <w:sz w:val="24"/>
                <w:szCs w:val="24"/>
              </w:rPr>
            </w:pPr>
            <w:r>
              <w:rPr>
                <w:rFonts w:hint="eastAsia" w:ascii="宋体" w:hAnsi="宋体" w:cs="宋体"/>
                <w:color w:val="auto"/>
                <w:sz w:val="24"/>
                <w:szCs w:val="24"/>
              </w:rPr>
              <w:t>项目审批（核准</w:t>
            </w:r>
            <w:r>
              <w:rPr>
                <w:rFonts w:ascii="宋体" w:hAnsi="宋体" w:cs="宋体"/>
                <w:color w:val="auto"/>
                <w:sz w:val="24"/>
                <w:szCs w:val="24"/>
              </w:rPr>
              <w:t>/</w:t>
            </w:r>
          </w:p>
          <w:p w14:paraId="293954EE">
            <w:pPr>
              <w:adjustRightInd w:val="0"/>
              <w:snapToGrid w:val="0"/>
              <w:jc w:val="center"/>
              <w:rPr>
                <w:rFonts w:ascii="宋体" w:hAnsi="宋体" w:cs="宋体"/>
                <w:color w:val="auto"/>
                <w:sz w:val="24"/>
                <w:szCs w:val="24"/>
              </w:rPr>
            </w:pPr>
            <w:r>
              <w:rPr>
                <w:rFonts w:hint="eastAsia" w:ascii="宋体" w:hAnsi="宋体" w:cs="宋体"/>
                <w:color w:val="auto"/>
                <w:sz w:val="24"/>
                <w:szCs w:val="24"/>
              </w:rPr>
              <w:t>备案）部门（选填）</w:t>
            </w:r>
          </w:p>
        </w:tc>
        <w:tc>
          <w:tcPr>
            <w:tcW w:w="1115" w:type="pct"/>
            <w:gridSpan w:val="2"/>
            <w:vAlign w:val="center"/>
          </w:tcPr>
          <w:p w14:paraId="696A2555">
            <w:pPr>
              <w:adjustRightInd w:val="0"/>
              <w:snapToGrid w:val="0"/>
              <w:jc w:val="center"/>
              <w:rPr>
                <w:rFonts w:ascii="宋体" w:hAnsi="宋体" w:cs="宋体"/>
                <w:color w:val="auto"/>
                <w:sz w:val="24"/>
                <w:szCs w:val="24"/>
              </w:rPr>
            </w:pPr>
            <w:r>
              <w:rPr>
                <w:rFonts w:ascii="宋体" w:hAnsi="宋体" w:cs="宋体"/>
                <w:color w:val="auto"/>
                <w:sz w:val="24"/>
                <w:szCs w:val="24"/>
              </w:rPr>
              <w:t>淮南市田家庵区发展改革委</w:t>
            </w:r>
          </w:p>
        </w:tc>
        <w:tc>
          <w:tcPr>
            <w:tcW w:w="1096" w:type="pct"/>
            <w:vAlign w:val="center"/>
          </w:tcPr>
          <w:p w14:paraId="7950EC65">
            <w:pPr>
              <w:adjustRightInd w:val="0"/>
              <w:snapToGrid w:val="0"/>
              <w:jc w:val="center"/>
              <w:rPr>
                <w:rFonts w:ascii="宋体" w:hAnsi="宋体" w:cs="宋体"/>
                <w:color w:val="auto"/>
                <w:sz w:val="24"/>
                <w:szCs w:val="24"/>
              </w:rPr>
            </w:pPr>
            <w:r>
              <w:rPr>
                <w:rFonts w:hint="eastAsia" w:ascii="宋体" w:hAnsi="宋体" w:cs="宋体"/>
                <w:color w:val="auto"/>
                <w:sz w:val="24"/>
                <w:szCs w:val="24"/>
              </w:rPr>
              <w:t>项目审批（核准</w:t>
            </w:r>
            <w:r>
              <w:rPr>
                <w:rFonts w:ascii="宋体" w:hAnsi="宋体" w:cs="宋体"/>
                <w:color w:val="auto"/>
                <w:sz w:val="24"/>
                <w:szCs w:val="24"/>
              </w:rPr>
              <w:t>/</w:t>
            </w:r>
          </w:p>
          <w:p w14:paraId="013D9503">
            <w:pPr>
              <w:adjustRightInd w:val="0"/>
              <w:snapToGrid w:val="0"/>
              <w:jc w:val="center"/>
              <w:rPr>
                <w:rFonts w:ascii="宋体" w:hAnsi="宋体" w:cs="宋体"/>
                <w:color w:val="auto"/>
                <w:sz w:val="24"/>
                <w:szCs w:val="24"/>
              </w:rPr>
            </w:pPr>
            <w:r>
              <w:rPr>
                <w:rFonts w:hint="eastAsia" w:ascii="宋体" w:hAnsi="宋体" w:cs="宋体"/>
                <w:color w:val="auto"/>
                <w:sz w:val="24"/>
                <w:szCs w:val="24"/>
              </w:rPr>
              <w:t>备案）文号（选填）</w:t>
            </w:r>
          </w:p>
        </w:tc>
        <w:tc>
          <w:tcPr>
            <w:tcW w:w="1518" w:type="pct"/>
            <w:vAlign w:val="center"/>
          </w:tcPr>
          <w:p w14:paraId="1136979A">
            <w:pPr>
              <w:adjustRightInd w:val="0"/>
              <w:snapToGrid w:val="0"/>
              <w:jc w:val="center"/>
              <w:rPr>
                <w:rFonts w:ascii="宋体" w:hAnsi="宋体" w:cs="宋体"/>
                <w:color w:val="auto"/>
                <w:sz w:val="24"/>
                <w:szCs w:val="24"/>
              </w:rPr>
            </w:pPr>
            <w:r>
              <w:rPr>
                <w:rFonts w:hint="eastAsia" w:ascii="宋体" w:hAnsi="宋体" w:cs="宋体"/>
                <w:color w:val="auto"/>
                <w:sz w:val="24"/>
                <w:szCs w:val="24"/>
              </w:rPr>
              <w:t>/</w:t>
            </w:r>
          </w:p>
        </w:tc>
      </w:tr>
      <w:tr w14:paraId="1EF88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25" w:type="pct"/>
          <w:trHeight w:val="496" w:hRule="atLeast"/>
          <w:jc w:val="center"/>
        </w:trPr>
        <w:tc>
          <w:tcPr>
            <w:tcW w:w="1245" w:type="pct"/>
            <w:gridSpan w:val="2"/>
            <w:tcMar>
              <w:top w:w="16" w:type="dxa"/>
              <w:left w:w="16" w:type="dxa"/>
              <w:right w:w="16" w:type="dxa"/>
            </w:tcMar>
            <w:vAlign w:val="center"/>
          </w:tcPr>
          <w:p w14:paraId="4CA76765">
            <w:pPr>
              <w:adjustRightInd w:val="0"/>
              <w:snapToGrid w:val="0"/>
              <w:jc w:val="center"/>
              <w:rPr>
                <w:color w:val="auto"/>
                <w:sz w:val="24"/>
                <w:szCs w:val="24"/>
              </w:rPr>
            </w:pPr>
            <w:r>
              <w:rPr>
                <w:rFonts w:hAnsi="宋体"/>
                <w:color w:val="auto"/>
                <w:sz w:val="24"/>
                <w:szCs w:val="24"/>
              </w:rPr>
              <w:t>总投资（万元）</w:t>
            </w:r>
          </w:p>
        </w:tc>
        <w:tc>
          <w:tcPr>
            <w:tcW w:w="1115" w:type="pct"/>
            <w:gridSpan w:val="2"/>
            <w:vAlign w:val="center"/>
          </w:tcPr>
          <w:p w14:paraId="653C69D1">
            <w:pPr>
              <w:adjustRightInd w:val="0"/>
              <w:snapToGrid w:val="0"/>
              <w:jc w:val="center"/>
              <w:rPr>
                <w:color w:val="auto"/>
                <w:sz w:val="24"/>
                <w:szCs w:val="24"/>
              </w:rPr>
            </w:pPr>
            <w:r>
              <w:rPr>
                <w:rFonts w:hint="eastAsia"/>
                <w:color w:val="auto"/>
                <w:sz w:val="24"/>
                <w:szCs w:val="24"/>
              </w:rPr>
              <w:t>200</w:t>
            </w:r>
          </w:p>
        </w:tc>
        <w:tc>
          <w:tcPr>
            <w:tcW w:w="1096" w:type="pct"/>
            <w:tcMar>
              <w:top w:w="16" w:type="dxa"/>
              <w:left w:w="16" w:type="dxa"/>
              <w:right w:w="16" w:type="dxa"/>
            </w:tcMar>
            <w:vAlign w:val="center"/>
          </w:tcPr>
          <w:p w14:paraId="5B103C1C">
            <w:pPr>
              <w:adjustRightInd w:val="0"/>
              <w:snapToGrid w:val="0"/>
              <w:jc w:val="center"/>
              <w:rPr>
                <w:color w:val="auto"/>
                <w:sz w:val="24"/>
                <w:szCs w:val="24"/>
              </w:rPr>
            </w:pPr>
            <w:r>
              <w:rPr>
                <w:rFonts w:hAnsi="宋体"/>
                <w:color w:val="auto"/>
                <w:sz w:val="24"/>
                <w:szCs w:val="24"/>
              </w:rPr>
              <w:t>环保投资（万元）</w:t>
            </w:r>
          </w:p>
        </w:tc>
        <w:tc>
          <w:tcPr>
            <w:tcW w:w="1518" w:type="pct"/>
            <w:vAlign w:val="center"/>
          </w:tcPr>
          <w:p w14:paraId="47C1EFCD">
            <w:pPr>
              <w:adjustRightInd w:val="0"/>
              <w:snapToGrid w:val="0"/>
              <w:jc w:val="center"/>
              <w:rPr>
                <w:color w:val="auto"/>
                <w:sz w:val="24"/>
                <w:szCs w:val="24"/>
              </w:rPr>
            </w:pPr>
            <w:r>
              <w:rPr>
                <w:rFonts w:hint="eastAsia"/>
                <w:color w:val="auto"/>
                <w:sz w:val="24"/>
                <w:szCs w:val="24"/>
              </w:rPr>
              <w:t>30</w:t>
            </w:r>
          </w:p>
        </w:tc>
      </w:tr>
      <w:tr w14:paraId="01081B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25" w:type="pct"/>
          <w:trHeight w:val="496" w:hRule="atLeast"/>
          <w:jc w:val="center"/>
        </w:trPr>
        <w:tc>
          <w:tcPr>
            <w:tcW w:w="1245" w:type="pct"/>
            <w:gridSpan w:val="2"/>
            <w:tcMar>
              <w:top w:w="16" w:type="dxa"/>
              <w:left w:w="16" w:type="dxa"/>
              <w:right w:w="16" w:type="dxa"/>
            </w:tcMar>
            <w:vAlign w:val="center"/>
          </w:tcPr>
          <w:p w14:paraId="7AB30D30">
            <w:pPr>
              <w:adjustRightInd w:val="0"/>
              <w:snapToGrid w:val="0"/>
              <w:jc w:val="center"/>
              <w:rPr>
                <w:color w:val="auto"/>
                <w:sz w:val="24"/>
                <w:szCs w:val="24"/>
              </w:rPr>
            </w:pPr>
            <w:r>
              <w:rPr>
                <w:rFonts w:hAnsi="宋体"/>
                <w:color w:val="auto"/>
                <w:sz w:val="24"/>
                <w:szCs w:val="24"/>
              </w:rPr>
              <w:t>环保投资占比（</w:t>
            </w:r>
            <w:r>
              <w:rPr>
                <w:color w:val="auto"/>
                <w:sz w:val="24"/>
                <w:szCs w:val="24"/>
              </w:rPr>
              <w:t>%</w:t>
            </w:r>
            <w:r>
              <w:rPr>
                <w:rFonts w:hAnsi="宋体"/>
                <w:color w:val="auto"/>
                <w:sz w:val="24"/>
                <w:szCs w:val="24"/>
              </w:rPr>
              <w:t>）</w:t>
            </w:r>
          </w:p>
        </w:tc>
        <w:tc>
          <w:tcPr>
            <w:tcW w:w="1115" w:type="pct"/>
            <w:gridSpan w:val="2"/>
            <w:vAlign w:val="center"/>
          </w:tcPr>
          <w:p w14:paraId="1E96B6CA">
            <w:pPr>
              <w:adjustRightInd w:val="0"/>
              <w:snapToGrid w:val="0"/>
              <w:jc w:val="center"/>
              <w:rPr>
                <w:color w:val="auto"/>
                <w:sz w:val="24"/>
                <w:szCs w:val="24"/>
              </w:rPr>
            </w:pPr>
            <w:r>
              <w:rPr>
                <w:rFonts w:hint="eastAsia"/>
                <w:color w:val="auto"/>
                <w:sz w:val="24"/>
                <w:szCs w:val="24"/>
              </w:rPr>
              <w:t>15</w:t>
            </w:r>
          </w:p>
        </w:tc>
        <w:tc>
          <w:tcPr>
            <w:tcW w:w="1096" w:type="pct"/>
            <w:tcMar>
              <w:top w:w="16" w:type="dxa"/>
              <w:left w:w="16" w:type="dxa"/>
              <w:right w:w="16" w:type="dxa"/>
            </w:tcMar>
            <w:vAlign w:val="center"/>
          </w:tcPr>
          <w:p w14:paraId="68961F99">
            <w:pPr>
              <w:adjustRightInd w:val="0"/>
              <w:snapToGrid w:val="0"/>
              <w:jc w:val="center"/>
              <w:rPr>
                <w:color w:val="auto"/>
                <w:sz w:val="24"/>
                <w:szCs w:val="24"/>
              </w:rPr>
            </w:pPr>
            <w:r>
              <w:rPr>
                <w:rFonts w:hAnsi="宋体"/>
                <w:color w:val="auto"/>
                <w:sz w:val="24"/>
                <w:szCs w:val="24"/>
              </w:rPr>
              <w:t>施工工期</w:t>
            </w:r>
          </w:p>
        </w:tc>
        <w:tc>
          <w:tcPr>
            <w:tcW w:w="1518" w:type="pct"/>
            <w:vAlign w:val="center"/>
          </w:tcPr>
          <w:p w14:paraId="521624EB">
            <w:pPr>
              <w:adjustRightInd w:val="0"/>
              <w:snapToGrid w:val="0"/>
              <w:jc w:val="center"/>
              <w:rPr>
                <w:color w:val="auto"/>
                <w:sz w:val="24"/>
                <w:szCs w:val="24"/>
              </w:rPr>
            </w:pPr>
            <w:r>
              <w:rPr>
                <w:rFonts w:hint="eastAsia"/>
                <w:color w:val="auto"/>
                <w:sz w:val="24"/>
                <w:szCs w:val="24"/>
              </w:rPr>
              <w:t>2个月</w:t>
            </w:r>
          </w:p>
        </w:tc>
      </w:tr>
      <w:tr w14:paraId="7F782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Before w:val="1"/>
          <w:wBefore w:w="25" w:type="pct"/>
          <w:trHeight w:val="496" w:hRule="atLeast"/>
          <w:jc w:val="center"/>
        </w:trPr>
        <w:tc>
          <w:tcPr>
            <w:tcW w:w="1245" w:type="pct"/>
            <w:gridSpan w:val="2"/>
            <w:tcMar>
              <w:top w:w="16" w:type="dxa"/>
              <w:left w:w="16" w:type="dxa"/>
              <w:right w:w="16" w:type="dxa"/>
            </w:tcMar>
            <w:vAlign w:val="center"/>
          </w:tcPr>
          <w:p w14:paraId="4B54DF1F">
            <w:pPr>
              <w:adjustRightInd w:val="0"/>
              <w:snapToGrid w:val="0"/>
              <w:jc w:val="center"/>
              <w:rPr>
                <w:rFonts w:ascii="宋体" w:hAnsi="宋体" w:cs="宋体"/>
                <w:color w:val="auto"/>
                <w:sz w:val="24"/>
                <w:szCs w:val="24"/>
              </w:rPr>
            </w:pPr>
            <w:r>
              <w:rPr>
                <w:rFonts w:hint="eastAsia" w:ascii="宋体" w:hAnsi="宋体" w:cs="宋体"/>
                <w:color w:val="auto"/>
                <w:sz w:val="24"/>
                <w:szCs w:val="24"/>
              </w:rPr>
              <w:t>是否开工建设</w:t>
            </w:r>
          </w:p>
        </w:tc>
        <w:tc>
          <w:tcPr>
            <w:tcW w:w="1115" w:type="pct"/>
            <w:gridSpan w:val="2"/>
            <w:vAlign w:val="center"/>
          </w:tcPr>
          <w:p w14:paraId="1F04344A">
            <w:pPr>
              <w:adjustRightInd w:val="0"/>
              <w:snapToGrid w:val="0"/>
              <w:rPr>
                <w:rFonts w:ascii="宋体" w:hAnsi="宋体" w:cs="宋体"/>
                <w:color w:val="auto"/>
                <w:sz w:val="24"/>
                <w:szCs w:val="24"/>
              </w:rPr>
            </w:pPr>
            <w:r>
              <w:rPr>
                <w:rFonts w:hint="eastAsia" w:ascii="宋体" w:hAnsi="宋体" w:cs="宋体"/>
                <w:color w:val="auto"/>
                <w:sz w:val="24"/>
                <w:szCs w:val="24"/>
              </w:rPr>
              <w:sym w:font="Wingdings 2" w:char="F052"/>
            </w:r>
            <w:r>
              <w:rPr>
                <w:rFonts w:hint="eastAsia" w:ascii="宋体" w:hAnsi="宋体" w:cs="宋体"/>
                <w:color w:val="auto"/>
                <w:sz w:val="24"/>
                <w:szCs w:val="24"/>
              </w:rPr>
              <w:t>否</w:t>
            </w:r>
          </w:p>
          <w:p w14:paraId="170ECE3E">
            <w:pPr>
              <w:adjustRightInd w:val="0"/>
              <w:snapToGrid w:val="0"/>
              <w:rPr>
                <w:rFonts w:ascii="宋体" w:hAnsi="宋体" w:cs="宋体"/>
                <w:color w:val="auto"/>
                <w:sz w:val="24"/>
                <w:szCs w:val="24"/>
              </w:rPr>
            </w:pPr>
            <w:r>
              <w:rPr>
                <w:rFonts w:hint="eastAsia" w:ascii="宋体" w:hAnsi="宋体" w:cs="宋体"/>
                <w:color w:val="auto"/>
                <w:sz w:val="24"/>
                <w:szCs w:val="24"/>
              </w:rPr>
              <w:t>□是：</w:t>
            </w:r>
            <w:r>
              <w:rPr>
                <w:rFonts w:hint="eastAsia" w:ascii="宋体" w:hAnsi="宋体" w:cs="宋体"/>
                <w:color w:val="auto"/>
                <w:sz w:val="24"/>
                <w:szCs w:val="24"/>
                <w:u w:val="single"/>
              </w:rPr>
              <w:t xml:space="preserve">      </w:t>
            </w:r>
          </w:p>
        </w:tc>
        <w:tc>
          <w:tcPr>
            <w:tcW w:w="1096" w:type="pct"/>
            <w:tcMar>
              <w:top w:w="16" w:type="dxa"/>
              <w:left w:w="16" w:type="dxa"/>
              <w:right w:w="16" w:type="dxa"/>
            </w:tcMar>
            <w:vAlign w:val="center"/>
          </w:tcPr>
          <w:p w14:paraId="19CC42C4">
            <w:pPr>
              <w:adjustRightInd w:val="0"/>
              <w:snapToGrid w:val="0"/>
              <w:jc w:val="center"/>
              <w:rPr>
                <w:rFonts w:ascii="宋体" w:hAnsi="宋体" w:cs="宋体"/>
                <w:color w:val="auto"/>
                <w:spacing w:val="-6"/>
                <w:sz w:val="24"/>
                <w:szCs w:val="24"/>
              </w:rPr>
            </w:pPr>
            <w:r>
              <w:rPr>
                <w:rFonts w:hint="eastAsia" w:ascii="宋体" w:hAnsi="宋体" w:cs="宋体"/>
                <w:color w:val="auto"/>
                <w:spacing w:val="-6"/>
                <w:sz w:val="24"/>
                <w:szCs w:val="24"/>
              </w:rPr>
              <w:t>用地（用海）</w:t>
            </w:r>
          </w:p>
          <w:p w14:paraId="466FCB4A">
            <w:pPr>
              <w:adjustRightInd w:val="0"/>
              <w:snapToGrid w:val="0"/>
              <w:jc w:val="center"/>
              <w:rPr>
                <w:rFonts w:ascii="宋体" w:hAnsi="宋体" w:cs="宋体"/>
                <w:color w:val="auto"/>
                <w:sz w:val="24"/>
                <w:szCs w:val="24"/>
              </w:rPr>
            </w:pPr>
            <w:r>
              <w:rPr>
                <w:rFonts w:hint="eastAsia" w:ascii="宋体" w:hAnsi="宋体" w:cs="宋体"/>
                <w:color w:val="auto"/>
                <w:spacing w:val="-6"/>
                <w:sz w:val="24"/>
                <w:szCs w:val="24"/>
              </w:rPr>
              <w:t>面积（</w:t>
            </w:r>
            <w:r>
              <w:rPr>
                <w:color w:val="auto"/>
                <w:spacing w:val="-6"/>
                <w:sz w:val="24"/>
                <w:szCs w:val="24"/>
              </w:rPr>
              <w:t>m</w:t>
            </w:r>
            <w:r>
              <w:rPr>
                <w:color w:val="auto"/>
                <w:spacing w:val="-6"/>
                <w:sz w:val="24"/>
                <w:szCs w:val="24"/>
                <w:vertAlign w:val="superscript"/>
              </w:rPr>
              <w:t>2</w:t>
            </w:r>
            <w:r>
              <w:rPr>
                <w:rFonts w:hint="eastAsia" w:ascii="宋体" w:hAnsi="宋体" w:cs="宋体"/>
                <w:color w:val="auto"/>
                <w:spacing w:val="-6"/>
                <w:sz w:val="24"/>
                <w:szCs w:val="24"/>
              </w:rPr>
              <w:t>）</w:t>
            </w:r>
          </w:p>
        </w:tc>
        <w:tc>
          <w:tcPr>
            <w:tcW w:w="1518" w:type="pct"/>
            <w:vAlign w:val="center"/>
          </w:tcPr>
          <w:p w14:paraId="55102078">
            <w:pPr>
              <w:adjustRightInd w:val="0"/>
              <w:snapToGrid w:val="0"/>
              <w:jc w:val="center"/>
              <w:rPr>
                <w:color w:val="auto"/>
                <w:sz w:val="24"/>
                <w:szCs w:val="24"/>
              </w:rPr>
            </w:pPr>
            <w:r>
              <w:rPr>
                <w:rFonts w:hint="eastAsia"/>
                <w:color w:val="auto"/>
                <w:spacing w:val="-6"/>
                <w:sz w:val="24"/>
                <w:szCs w:val="24"/>
              </w:rPr>
              <w:t>9113</w:t>
            </w:r>
            <w:r>
              <w:rPr>
                <w:color w:val="auto"/>
                <w:spacing w:val="-6"/>
                <w:sz w:val="24"/>
                <w:szCs w:val="24"/>
              </w:rPr>
              <w:t>m</w:t>
            </w:r>
            <w:r>
              <w:rPr>
                <w:color w:val="auto"/>
                <w:spacing w:val="-6"/>
                <w:sz w:val="24"/>
                <w:szCs w:val="24"/>
                <w:vertAlign w:val="superscript"/>
              </w:rPr>
              <w:t>2</w:t>
            </w:r>
          </w:p>
        </w:tc>
      </w:tr>
      <w:tr w14:paraId="4CC84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25" w:type="pct"/>
          <w:trHeight w:val="1018" w:hRule="atLeast"/>
          <w:jc w:val="center"/>
        </w:trPr>
        <w:tc>
          <w:tcPr>
            <w:tcW w:w="1245" w:type="pct"/>
            <w:gridSpan w:val="2"/>
            <w:vAlign w:val="center"/>
          </w:tcPr>
          <w:p w14:paraId="528EA450">
            <w:pPr>
              <w:autoSpaceDE w:val="0"/>
              <w:autoSpaceDN w:val="0"/>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专项评价设置情况</w:t>
            </w:r>
          </w:p>
        </w:tc>
        <w:tc>
          <w:tcPr>
            <w:tcW w:w="3730" w:type="pct"/>
            <w:gridSpan w:val="4"/>
            <w:vAlign w:val="center"/>
          </w:tcPr>
          <w:p w14:paraId="6915ECDE">
            <w:pPr>
              <w:autoSpaceDE w:val="0"/>
              <w:autoSpaceDN w:val="0"/>
              <w:adjustRightInd w:val="0"/>
              <w:snapToGrid w:val="0"/>
              <w:spacing w:line="360" w:lineRule="auto"/>
              <w:rPr>
                <w:color w:val="auto"/>
                <w:sz w:val="24"/>
              </w:rPr>
            </w:pPr>
            <w:r>
              <w:rPr>
                <w:rFonts w:hint="eastAsia"/>
                <w:color w:val="auto"/>
                <w:sz w:val="24"/>
              </w:rPr>
              <w:t>无，判定依据详见下表：</w:t>
            </w:r>
          </w:p>
          <w:p w14:paraId="1F75EFBE">
            <w:pPr>
              <w:autoSpaceDE w:val="0"/>
              <w:autoSpaceDN w:val="0"/>
              <w:adjustRightInd w:val="0"/>
              <w:snapToGrid w:val="0"/>
              <w:spacing w:line="360" w:lineRule="auto"/>
              <w:jc w:val="center"/>
              <w:rPr>
                <w:rFonts w:eastAsia="黑体"/>
                <w:color w:val="auto"/>
                <w:sz w:val="24"/>
                <w:szCs w:val="24"/>
              </w:rPr>
            </w:pPr>
            <w:r>
              <w:rPr>
                <w:rFonts w:hint="eastAsia" w:hAnsi="黑体" w:eastAsia="黑体"/>
                <w:color w:val="auto"/>
                <w:sz w:val="24"/>
                <w:szCs w:val="24"/>
              </w:rPr>
              <w:t>表</w:t>
            </w:r>
            <w:r>
              <w:rPr>
                <w:rFonts w:eastAsia="黑体"/>
                <w:color w:val="auto"/>
                <w:sz w:val="24"/>
                <w:szCs w:val="24"/>
              </w:rPr>
              <w:t xml:space="preserve">1  </w:t>
            </w:r>
            <w:r>
              <w:rPr>
                <w:rFonts w:hint="eastAsia" w:hAnsi="黑体" w:eastAsia="黑体"/>
                <w:color w:val="auto"/>
                <w:sz w:val="24"/>
                <w:szCs w:val="24"/>
              </w:rPr>
              <w:t>专项评价设置原则表</w:t>
            </w:r>
          </w:p>
          <w:tbl>
            <w:tblPr>
              <w:tblStyle w:val="34"/>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409"/>
              <w:gridCol w:w="1701"/>
              <w:gridCol w:w="1184"/>
            </w:tblGrid>
            <w:tr w14:paraId="04B589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12" w:space="0"/>
                    <w:left w:val="nil"/>
                    <w:bottom w:val="single" w:color="auto" w:sz="4" w:space="0"/>
                    <w:right w:val="single" w:color="auto" w:sz="4" w:space="0"/>
                  </w:tcBorders>
                  <w:vAlign w:val="center"/>
                </w:tcPr>
                <w:p w14:paraId="31EC52EF">
                  <w:pPr>
                    <w:autoSpaceDE w:val="0"/>
                    <w:autoSpaceDN w:val="0"/>
                    <w:spacing w:line="276" w:lineRule="auto"/>
                    <w:jc w:val="center"/>
                    <w:rPr>
                      <w:b/>
                      <w:color w:val="auto"/>
                      <w:szCs w:val="21"/>
                    </w:rPr>
                  </w:pPr>
                  <w:r>
                    <w:rPr>
                      <w:rFonts w:hint="eastAsia" w:hAnsi="宋体"/>
                      <w:b/>
                      <w:color w:val="auto"/>
                      <w:szCs w:val="21"/>
                    </w:rPr>
                    <w:t>专项评价的类别</w:t>
                  </w:r>
                </w:p>
              </w:tc>
              <w:tc>
                <w:tcPr>
                  <w:tcW w:w="2409" w:type="dxa"/>
                  <w:tcBorders>
                    <w:top w:val="single" w:color="auto" w:sz="12" w:space="0"/>
                    <w:left w:val="single" w:color="auto" w:sz="4" w:space="0"/>
                    <w:bottom w:val="single" w:color="auto" w:sz="4" w:space="0"/>
                    <w:right w:val="single" w:color="auto" w:sz="4" w:space="0"/>
                  </w:tcBorders>
                  <w:vAlign w:val="center"/>
                </w:tcPr>
                <w:p w14:paraId="0AD4A1D6">
                  <w:pPr>
                    <w:autoSpaceDE w:val="0"/>
                    <w:autoSpaceDN w:val="0"/>
                    <w:spacing w:line="276" w:lineRule="auto"/>
                    <w:jc w:val="center"/>
                    <w:rPr>
                      <w:b/>
                      <w:color w:val="auto"/>
                      <w:szCs w:val="21"/>
                    </w:rPr>
                  </w:pPr>
                  <w:r>
                    <w:rPr>
                      <w:rFonts w:hint="eastAsia" w:hAnsi="宋体"/>
                      <w:b/>
                      <w:color w:val="auto"/>
                      <w:szCs w:val="21"/>
                    </w:rPr>
                    <w:t>设置原则</w:t>
                  </w:r>
                </w:p>
              </w:tc>
              <w:tc>
                <w:tcPr>
                  <w:tcW w:w="1701" w:type="dxa"/>
                  <w:tcBorders>
                    <w:top w:val="single" w:color="auto" w:sz="12" w:space="0"/>
                    <w:left w:val="single" w:color="auto" w:sz="4" w:space="0"/>
                    <w:bottom w:val="single" w:color="auto" w:sz="4" w:space="0"/>
                    <w:right w:val="single" w:color="auto" w:sz="4" w:space="0"/>
                  </w:tcBorders>
                  <w:vAlign w:val="center"/>
                </w:tcPr>
                <w:p w14:paraId="6534A5C1">
                  <w:pPr>
                    <w:autoSpaceDE w:val="0"/>
                    <w:autoSpaceDN w:val="0"/>
                    <w:spacing w:line="276" w:lineRule="auto"/>
                    <w:jc w:val="center"/>
                    <w:rPr>
                      <w:b/>
                      <w:color w:val="auto"/>
                      <w:szCs w:val="21"/>
                    </w:rPr>
                  </w:pPr>
                  <w:r>
                    <w:rPr>
                      <w:rFonts w:hint="eastAsia" w:hAnsi="宋体"/>
                      <w:b/>
                      <w:color w:val="auto"/>
                      <w:szCs w:val="21"/>
                    </w:rPr>
                    <w:t>本项目</w:t>
                  </w:r>
                </w:p>
              </w:tc>
              <w:tc>
                <w:tcPr>
                  <w:tcW w:w="1184" w:type="dxa"/>
                  <w:tcBorders>
                    <w:top w:val="single" w:color="auto" w:sz="12" w:space="0"/>
                    <w:left w:val="single" w:color="auto" w:sz="4" w:space="0"/>
                    <w:bottom w:val="single" w:color="auto" w:sz="4" w:space="0"/>
                    <w:right w:val="nil"/>
                  </w:tcBorders>
                  <w:vAlign w:val="center"/>
                </w:tcPr>
                <w:p w14:paraId="15E25274">
                  <w:pPr>
                    <w:autoSpaceDE w:val="0"/>
                    <w:autoSpaceDN w:val="0"/>
                    <w:spacing w:line="276" w:lineRule="auto"/>
                    <w:jc w:val="center"/>
                    <w:rPr>
                      <w:b/>
                      <w:color w:val="auto"/>
                      <w:szCs w:val="21"/>
                    </w:rPr>
                  </w:pPr>
                  <w:r>
                    <w:rPr>
                      <w:rFonts w:hint="eastAsia" w:hAnsi="宋体"/>
                      <w:b/>
                      <w:color w:val="auto"/>
                      <w:szCs w:val="21"/>
                    </w:rPr>
                    <w:t>是否设置专项评价</w:t>
                  </w:r>
                </w:p>
              </w:tc>
            </w:tr>
            <w:tr w14:paraId="0AF426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nil"/>
                    <w:bottom w:val="single" w:color="auto" w:sz="4" w:space="0"/>
                    <w:right w:val="single" w:color="auto" w:sz="4" w:space="0"/>
                  </w:tcBorders>
                  <w:vAlign w:val="center"/>
                </w:tcPr>
                <w:p w14:paraId="57DBCD32">
                  <w:pPr>
                    <w:autoSpaceDE w:val="0"/>
                    <w:autoSpaceDN w:val="0"/>
                    <w:spacing w:line="276" w:lineRule="auto"/>
                    <w:jc w:val="center"/>
                    <w:rPr>
                      <w:color w:val="auto"/>
                      <w:szCs w:val="21"/>
                    </w:rPr>
                  </w:pPr>
                  <w:r>
                    <w:rPr>
                      <w:rFonts w:hint="eastAsia" w:hAnsi="宋体"/>
                      <w:color w:val="auto"/>
                      <w:szCs w:val="21"/>
                    </w:rPr>
                    <w:t>大气</w:t>
                  </w:r>
                </w:p>
              </w:tc>
              <w:tc>
                <w:tcPr>
                  <w:tcW w:w="2409" w:type="dxa"/>
                  <w:tcBorders>
                    <w:top w:val="single" w:color="auto" w:sz="4" w:space="0"/>
                    <w:left w:val="single" w:color="auto" w:sz="4" w:space="0"/>
                    <w:bottom w:val="single" w:color="auto" w:sz="4" w:space="0"/>
                    <w:right w:val="single" w:color="auto" w:sz="4" w:space="0"/>
                  </w:tcBorders>
                  <w:vAlign w:val="center"/>
                </w:tcPr>
                <w:p w14:paraId="4F86B0E4">
                  <w:pPr>
                    <w:spacing w:line="276" w:lineRule="auto"/>
                    <w:jc w:val="center"/>
                    <w:rPr>
                      <w:color w:val="auto"/>
                      <w:szCs w:val="21"/>
                    </w:rPr>
                  </w:pPr>
                  <w:r>
                    <w:rPr>
                      <w:rFonts w:hint="eastAsia"/>
                      <w:color w:val="auto"/>
                      <w:szCs w:val="21"/>
                    </w:rPr>
                    <w:t>排放废气含有毒有害污染物、二噁英、苯并</w:t>
                  </w:r>
                  <w:r>
                    <w:rPr>
                      <w:color w:val="auto"/>
                      <w:szCs w:val="21"/>
                    </w:rPr>
                    <w:t>[a]</w:t>
                  </w:r>
                  <w:r>
                    <w:rPr>
                      <w:rFonts w:hint="eastAsia"/>
                      <w:color w:val="auto"/>
                      <w:szCs w:val="21"/>
                    </w:rPr>
                    <w:t>芘、氰化物、氯气且厂界外</w:t>
                  </w:r>
                  <w:r>
                    <w:rPr>
                      <w:color w:val="auto"/>
                      <w:szCs w:val="21"/>
                    </w:rPr>
                    <w:t>500</w:t>
                  </w:r>
                  <w:r>
                    <w:rPr>
                      <w:rFonts w:hint="eastAsia"/>
                      <w:color w:val="auto"/>
                      <w:szCs w:val="21"/>
                    </w:rPr>
                    <w:t>米范围内有环境空气保护目标的建设项目</w:t>
                  </w:r>
                </w:p>
              </w:tc>
              <w:tc>
                <w:tcPr>
                  <w:tcW w:w="1701" w:type="dxa"/>
                  <w:tcBorders>
                    <w:top w:val="single" w:color="auto" w:sz="4" w:space="0"/>
                    <w:left w:val="single" w:color="auto" w:sz="4" w:space="0"/>
                    <w:bottom w:val="single" w:color="auto" w:sz="4" w:space="0"/>
                    <w:right w:val="single" w:color="auto" w:sz="4" w:space="0"/>
                  </w:tcBorders>
                  <w:vAlign w:val="center"/>
                </w:tcPr>
                <w:p w14:paraId="7F151F51">
                  <w:pPr>
                    <w:autoSpaceDE w:val="0"/>
                    <w:autoSpaceDN w:val="0"/>
                    <w:spacing w:line="276" w:lineRule="auto"/>
                    <w:jc w:val="center"/>
                    <w:rPr>
                      <w:color w:val="auto"/>
                      <w:szCs w:val="21"/>
                    </w:rPr>
                  </w:pPr>
                  <w:r>
                    <w:rPr>
                      <w:rFonts w:hint="eastAsia" w:hAnsi="宋体"/>
                      <w:color w:val="auto"/>
                      <w:kern w:val="0"/>
                      <w:szCs w:val="21"/>
                    </w:rPr>
                    <w:t>本项目排放废气主要为非甲烷总烃</w:t>
                  </w:r>
                  <w:r>
                    <w:rPr>
                      <w:rFonts w:hint="eastAsia"/>
                      <w:color w:val="auto"/>
                      <w:szCs w:val="21"/>
                    </w:rPr>
                    <w:t>，不属于二噁英、苯并</w:t>
                  </w:r>
                  <w:r>
                    <w:rPr>
                      <w:color w:val="auto"/>
                      <w:szCs w:val="21"/>
                    </w:rPr>
                    <w:t>[a]</w:t>
                  </w:r>
                  <w:r>
                    <w:rPr>
                      <w:rFonts w:hint="eastAsia"/>
                      <w:color w:val="auto"/>
                      <w:szCs w:val="21"/>
                    </w:rPr>
                    <w:t>芘、氰化物、氯气以及《有毒有害大气污染物名录》中的有毒有害污染物</w:t>
                  </w:r>
                </w:p>
              </w:tc>
              <w:tc>
                <w:tcPr>
                  <w:tcW w:w="1184" w:type="dxa"/>
                  <w:tcBorders>
                    <w:top w:val="single" w:color="auto" w:sz="4" w:space="0"/>
                    <w:left w:val="single" w:color="auto" w:sz="4" w:space="0"/>
                    <w:bottom w:val="single" w:color="auto" w:sz="4" w:space="0"/>
                    <w:right w:val="nil"/>
                  </w:tcBorders>
                  <w:vAlign w:val="center"/>
                </w:tcPr>
                <w:p w14:paraId="44BD95D3">
                  <w:pPr>
                    <w:autoSpaceDE w:val="0"/>
                    <w:autoSpaceDN w:val="0"/>
                    <w:spacing w:line="276" w:lineRule="auto"/>
                    <w:jc w:val="center"/>
                    <w:rPr>
                      <w:color w:val="auto"/>
                      <w:szCs w:val="21"/>
                      <w:lang w:eastAsia="en-US"/>
                    </w:rPr>
                  </w:pPr>
                  <w:r>
                    <w:rPr>
                      <w:rFonts w:hint="eastAsia" w:hAnsi="宋体"/>
                      <w:color w:val="auto"/>
                      <w:szCs w:val="21"/>
                    </w:rPr>
                    <w:t>否</w:t>
                  </w:r>
                </w:p>
              </w:tc>
            </w:tr>
            <w:tr w14:paraId="022C89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nil"/>
                    <w:bottom w:val="single" w:color="auto" w:sz="4" w:space="0"/>
                    <w:right w:val="single" w:color="auto" w:sz="4" w:space="0"/>
                  </w:tcBorders>
                  <w:vAlign w:val="center"/>
                </w:tcPr>
                <w:p w14:paraId="2F569A56">
                  <w:pPr>
                    <w:autoSpaceDE w:val="0"/>
                    <w:autoSpaceDN w:val="0"/>
                    <w:spacing w:line="276" w:lineRule="auto"/>
                    <w:jc w:val="center"/>
                    <w:rPr>
                      <w:color w:val="auto"/>
                      <w:szCs w:val="21"/>
                      <w:lang w:eastAsia="en-US"/>
                    </w:rPr>
                  </w:pPr>
                  <w:r>
                    <w:rPr>
                      <w:rFonts w:hint="eastAsia" w:hAnsi="宋体"/>
                      <w:color w:val="auto"/>
                      <w:szCs w:val="21"/>
                    </w:rPr>
                    <w:t>地表水</w:t>
                  </w:r>
                </w:p>
              </w:tc>
              <w:tc>
                <w:tcPr>
                  <w:tcW w:w="2409" w:type="dxa"/>
                  <w:tcBorders>
                    <w:top w:val="single" w:color="auto" w:sz="4" w:space="0"/>
                    <w:left w:val="single" w:color="auto" w:sz="4" w:space="0"/>
                    <w:bottom w:val="single" w:color="auto" w:sz="4" w:space="0"/>
                    <w:right w:val="single" w:color="auto" w:sz="4" w:space="0"/>
                  </w:tcBorders>
                  <w:vAlign w:val="center"/>
                </w:tcPr>
                <w:p w14:paraId="659B607E">
                  <w:pPr>
                    <w:spacing w:line="276" w:lineRule="auto"/>
                    <w:jc w:val="center"/>
                    <w:rPr>
                      <w:color w:val="auto"/>
                      <w:szCs w:val="21"/>
                    </w:rPr>
                  </w:pPr>
                  <w:r>
                    <w:rPr>
                      <w:rFonts w:hint="eastAsia" w:hAnsi="宋体"/>
                      <w:color w:val="auto"/>
                      <w:szCs w:val="21"/>
                    </w:rPr>
                    <w:t>新增工业废水直排建设项目（槽罐车外送污水处理厂的除外）；新增废水直排的污水集中处理厂</w:t>
                  </w:r>
                </w:p>
              </w:tc>
              <w:tc>
                <w:tcPr>
                  <w:tcW w:w="1701" w:type="dxa"/>
                  <w:tcBorders>
                    <w:top w:val="single" w:color="auto" w:sz="4" w:space="0"/>
                    <w:left w:val="single" w:color="auto" w:sz="4" w:space="0"/>
                    <w:bottom w:val="single" w:color="auto" w:sz="4" w:space="0"/>
                    <w:right w:val="single" w:color="auto" w:sz="4" w:space="0"/>
                  </w:tcBorders>
                  <w:vAlign w:val="center"/>
                </w:tcPr>
                <w:p w14:paraId="7F1072A9">
                  <w:pPr>
                    <w:autoSpaceDE w:val="0"/>
                    <w:autoSpaceDN w:val="0"/>
                    <w:spacing w:line="276" w:lineRule="auto"/>
                    <w:jc w:val="center"/>
                    <w:rPr>
                      <w:color w:val="auto"/>
                      <w:szCs w:val="21"/>
                    </w:rPr>
                  </w:pPr>
                  <w:r>
                    <w:rPr>
                      <w:rFonts w:hint="eastAsia"/>
                      <w:color w:val="auto"/>
                      <w:szCs w:val="21"/>
                    </w:rPr>
                    <w:t>不涉及</w:t>
                  </w:r>
                </w:p>
              </w:tc>
              <w:tc>
                <w:tcPr>
                  <w:tcW w:w="1184" w:type="dxa"/>
                  <w:tcBorders>
                    <w:top w:val="single" w:color="auto" w:sz="4" w:space="0"/>
                    <w:left w:val="single" w:color="auto" w:sz="4" w:space="0"/>
                    <w:bottom w:val="single" w:color="auto" w:sz="4" w:space="0"/>
                    <w:right w:val="nil"/>
                  </w:tcBorders>
                  <w:vAlign w:val="center"/>
                </w:tcPr>
                <w:p w14:paraId="42F40F8B">
                  <w:pPr>
                    <w:autoSpaceDE w:val="0"/>
                    <w:autoSpaceDN w:val="0"/>
                    <w:spacing w:line="276" w:lineRule="auto"/>
                    <w:jc w:val="center"/>
                    <w:rPr>
                      <w:color w:val="auto"/>
                      <w:szCs w:val="21"/>
                      <w:lang w:eastAsia="en-US"/>
                    </w:rPr>
                  </w:pPr>
                  <w:r>
                    <w:rPr>
                      <w:rFonts w:hint="eastAsia" w:hAnsi="宋体"/>
                      <w:color w:val="auto"/>
                      <w:szCs w:val="21"/>
                    </w:rPr>
                    <w:t>否</w:t>
                  </w:r>
                </w:p>
              </w:tc>
            </w:tr>
            <w:tr w14:paraId="7B44F5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nil"/>
                    <w:bottom w:val="single" w:color="auto" w:sz="4" w:space="0"/>
                    <w:right w:val="single" w:color="auto" w:sz="4" w:space="0"/>
                  </w:tcBorders>
                  <w:vAlign w:val="center"/>
                </w:tcPr>
                <w:p w14:paraId="239FAAF1">
                  <w:pPr>
                    <w:autoSpaceDE w:val="0"/>
                    <w:autoSpaceDN w:val="0"/>
                    <w:spacing w:line="276" w:lineRule="auto"/>
                    <w:jc w:val="center"/>
                    <w:rPr>
                      <w:color w:val="auto"/>
                      <w:szCs w:val="21"/>
                      <w:lang w:eastAsia="en-US"/>
                    </w:rPr>
                  </w:pPr>
                  <w:r>
                    <w:rPr>
                      <w:rFonts w:hint="eastAsia" w:hAnsi="宋体"/>
                      <w:color w:val="auto"/>
                      <w:szCs w:val="21"/>
                    </w:rPr>
                    <w:t>环境风险</w:t>
                  </w:r>
                </w:p>
              </w:tc>
              <w:tc>
                <w:tcPr>
                  <w:tcW w:w="2409" w:type="dxa"/>
                  <w:tcBorders>
                    <w:top w:val="single" w:color="auto" w:sz="4" w:space="0"/>
                    <w:left w:val="single" w:color="auto" w:sz="4" w:space="0"/>
                    <w:bottom w:val="single" w:color="auto" w:sz="4" w:space="0"/>
                    <w:right w:val="single" w:color="auto" w:sz="4" w:space="0"/>
                  </w:tcBorders>
                  <w:vAlign w:val="center"/>
                </w:tcPr>
                <w:p w14:paraId="4DF9D416">
                  <w:pPr>
                    <w:autoSpaceDE w:val="0"/>
                    <w:autoSpaceDN w:val="0"/>
                    <w:spacing w:line="276" w:lineRule="auto"/>
                    <w:jc w:val="center"/>
                    <w:rPr>
                      <w:color w:val="auto"/>
                      <w:szCs w:val="21"/>
                    </w:rPr>
                  </w:pPr>
                  <w:r>
                    <w:rPr>
                      <w:rFonts w:hint="eastAsia" w:hAnsi="宋体"/>
                      <w:color w:val="auto"/>
                      <w:szCs w:val="21"/>
                    </w:rPr>
                    <w:t>有毒有害和易燃易爆危险物质存储量超过临界量的建设项目</w:t>
                  </w:r>
                </w:p>
              </w:tc>
              <w:tc>
                <w:tcPr>
                  <w:tcW w:w="1701" w:type="dxa"/>
                  <w:tcBorders>
                    <w:top w:val="single" w:color="auto" w:sz="4" w:space="0"/>
                    <w:left w:val="single" w:color="auto" w:sz="4" w:space="0"/>
                    <w:bottom w:val="single" w:color="auto" w:sz="4" w:space="0"/>
                    <w:right w:val="single" w:color="auto" w:sz="4" w:space="0"/>
                  </w:tcBorders>
                  <w:vAlign w:val="center"/>
                </w:tcPr>
                <w:p w14:paraId="2787DB67">
                  <w:pPr>
                    <w:autoSpaceDE w:val="0"/>
                    <w:autoSpaceDN w:val="0"/>
                    <w:spacing w:line="276" w:lineRule="auto"/>
                    <w:jc w:val="center"/>
                    <w:rPr>
                      <w:color w:val="auto"/>
                      <w:szCs w:val="21"/>
                    </w:rPr>
                  </w:pPr>
                  <w:r>
                    <w:rPr>
                      <w:rFonts w:hint="eastAsia" w:hAnsi="宋体"/>
                      <w:color w:val="auto"/>
                      <w:szCs w:val="21"/>
                    </w:rPr>
                    <w:t>本项目危险物质存储量未超过临界值</w:t>
                  </w:r>
                </w:p>
              </w:tc>
              <w:tc>
                <w:tcPr>
                  <w:tcW w:w="1184" w:type="dxa"/>
                  <w:tcBorders>
                    <w:top w:val="single" w:color="auto" w:sz="4" w:space="0"/>
                    <w:left w:val="single" w:color="auto" w:sz="4" w:space="0"/>
                    <w:bottom w:val="single" w:color="auto" w:sz="4" w:space="0"/>
                    <w:right w:val="nil"/>
                  </w:tcBorders>
                  <w:vAlign w:val="center"/>
                </w:tcPr>
                <w:p w14:paraId="0A61229C">
                  <w:pPr>
                    <w:autoSpaceDE w:val="0"/>
                    <w:autoSpaceDN w:val="0"/>
                    <w:spacing w:line="276" w:lineRule="auto"/>
                    <w:jc w:val="center"/>
                    <w:rPr>
                      <w:color w:val="auto"/>
                      <w:szCs w:val="21"/>
                      <w:lang w:eastAsia="en-US"/>
                    </w:rPr>
                  </w:pPr>
                  <w:r>
                    <w:rPr>
                      <w:rFonts w:hint="eastAsia" w:hAnsi="宋体"/>
                      <w:color w:val="auto"/>
                      <w:szCs w:val="21"/>
                    </w:rPr>
                    <w:t>否</w:t>
                  </w:r>
                </w:p>
              </w:tc>
            </w:tr>
            <w:tr w14:paraId="62D71F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nil"/>
                    <w:bottom w:val="single" w:color="auto" w:sz="4" w:space="0"/>
                    <w:right w:val="single" w:color="auto" w:sz="4" w:space="0"/>
                  </w:tcBorders>
                  <w:vAlign w:val="center"/>
                </w:tcPr>
                <w:p w14:paraId="145AAF1A">
                  <w:pPr>
                    <w:autoSpaceDE w:val="0"/>
                    <w:autoSpaceDN w:val="0"/>
                    <w:spacing w:line="276" w:lineRule="auto"/>
                    <w:jc w:val="center"/>
                    <w:rPr>
                      <w:color w:val="auto"/>
                      <w:szCs w:val="21"/>
                      <w:lang w:eastAsia="en-US"/>
                    </w:rPr>
                  </w:pPr>
                  <w:r>
                    <w:rPr>
                      <w:rFonts w:hint="eastAsia" w:hAnsi="宋体"/>
                      <w:color w:val="auto"/>
                      <w:szCs w:val="21"/>
                    </w:rPr>
                    <w:t>生态</w:t>
                  </w:r>
                </w:p>
              </w:tc>
              <w:tc>
                <w:tcPr>
                  <w:tcW w:w="2409" w:type="dxa"/>
                  <w:tcBorders>
                    <w:top w:val="single" w:color="auto" w:sz="4" w:space="0"/>
                    <w:left w:val="single" w:color="auto" w:sz="4" w:space="0"/>
                    <w:bottom w:val="single" w:color="auto" w:sz="4" w:space="0"/>
                    <w:right w:val="single" w:color="auto" w:sz="4" w:space="0"/>
                  </w:tcBorders>
                  <w:vAlign w:val="center"/>
                </w:tcPr>
                <w:p w14:paraId="19AE52A3">
                  <w:pPr>
                    <w:spacing w:line="276" w:lineRule="auto"/>
                    <w:jc w:val="center"/>
                    <w:rPr>
                      <w:color w:val="auto"/>
                      <w:szCs w:val="21"/>
                    </w:rPr>
                  </w:pPr>
                  <w:r>
                    <w:rPr>
                      <w:rFonts w:hint="eastAsia" w:hAnsi="宋体"/>
                      <w:color w:val="auto"/>
                      <w:szCs w:val="21"/>
                    </w:rPr>
                    <w:t>取水口下游</w:t>
                  </w:r>
                  <w:r>
                    <w:rPr>
                      <w:color w:val="auto"/>
                      <w:szCs w:val="21"/>
                    </w:rPr>
                    <w:t>500</w:t>
                  </w:r>
                  <w:r>
                    <w:rPr>
                      <w:rFonts w:hint="eastAsia" w:hAnsi="宋体"/>
                      <w:color w:val="auto"/>
                      <w:szCs w:val="21"/>
                    </w:rPr>
                    <w:t>米范围内有重要水生生物的自然产卵场、索饵场、越冬场和洄游通道的新增河道取水的污染类建设项目</w:t>
                  </w:r>
                </w:p>
              </w:tc>
              <w:tc>
                <w:tcPr>
                  <w:tcW w:w="1701" w:type="dxa"/>
                  <w:tcBorders>
                    <w:top w:val="single" w:color="auto" w:sz="4" w:space="0"/>
                    <w:left w:val="single" w:color="auto" w:sz="4" w:space="0"/>
                    <w:bottom w:val="single" w:color="auto" w:sz="4" w:space="0"/>
                    <w:right w:val="single" w:color="auto" w:sz="4" w:space="0"/>
                  </w:tcBorders>
                  <w:vAlign w:val="center"/>
                </w:tcPr>
                <w:p w14:paraId="48782F7A">
                  <w:pPr>
                    <w:autoSpaceDE w:val="0"/>
                    <w:autoSpaceDN w:val="0"/>
                    <w:spacing w:line="276" w:lineRule="auto"/>
                    <w:jc w:val="center"/>
                    <w:rPr>
                      <w:color w:val="auto"/>
                      <w:szCs w:val="21"/>
                    </w:rPr>
                  </w:pPr>
                  <w:r>
                    <w:rPr>
                      <w:rFonts w:hint="eastAsia" w:hAnsi="宋体"/>
                      <w:color w:val="auto"/>
                      <w:szCs w:val="21"/>
                    </w:rPr>
                    <w:t>不涉及</w:t>
                  </w:r>
                </w:p>
              </w:tc>
              <w:tc>
                <w:tcPr>
                  <w:tcW w:w="1184" w:type="dxa"/>
                  <w:tcBorders>
                    <w:top w:val="single" w:color="auto" w:sz="4" w:space="0"/>
                    <w:left w:val="single" w:color="auto" w:sz="4" w:space="0"/>
                    <w:bottom w:val="single" w:color="auto" w:sz="4" w:space="0"/>
                    <w:right w:val="nil"/>
                  </w:tcBorders>
                  <w:vAlign w:val="center"/>
                </w:tcPr>
                <w:p w14:paraId="7D12242E">
                  <w:pPr>
                    <w:autoSpaceDE w:val="0"/>
                    <w:autoSpaceDN w:val="0"/>
                    <w:spacing w:line="276" w:lineRule="auto"/>
                    <w:jc w:val="center"/>
                    <w:rPr>
                      <w:color w:val="auto"/>
                      <w:szCs w:val="21"/>
                      <w:lang w:eastAsia="en-US"/>
                    </w:rPr>
                  </w:pPr>
                  <w:r>
                    <w:rPr>
                      <w:rFonts w:hint="eastAsia" w:hAnsi="宋体"/>
                      <w:color w:val="auto"/>
                      <w:szCs w:val="21"/>
                    </w:rPr>
                    <w:t>否</w:t>
                  </w:r>
                </w:p>
              </w:tc>
            </w:tr>
            <w:tr w14:paraId="3E9714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993" w:type="dxa"/>
                  <w:tcBorders>
                    <w:top w:val="single" w:color="auto" w:sz="4" w:space="0"/>
                    <w:left w:val="nil"/>
                    <w:bottom w:val="single" w:color="auto" w:sz="12" w:space="0"/>
                    <w:right w:val="single" w:color="auto" w:sz="4" w:space="0"/>
                  </w:tcBorders>
                  <w:vAlign w:val="center"/>
                </w:tcPr>
                <w:p w14:paraId="756E8C0C">
                  <w:pPr>
                    <w:autoSpaceDE w:val="0"/>
                    <w:autoSpaceDN w:val="0"/>
                    <w:spacing w:line="276" w:lineRule="auto"/>
                    <w:jc w:val="center"/>
                    <w:rPr>
                      <w:color w:val="auto"/>
                      <w:szCs w:val="21"/>
                      <w:lang w:eastAsia="en-US"/>
                    </w:rPr>
                  </w:pPr>
                  <w:r>
                    <w:rPr>
                      <w:rFonts w:hint="eastAsia" w:hAnsi="宋体"/>
                      <w:color w:val="auto"/>
                      <w:szCs w:val="21"/>
                    </w:rPr>
                    <w:t>海洋</w:t>
                  </w:r>
                </w:p>
              </w:tc>
              <w:tc>
                <w:tcPr>
                  <w:tcW w:w="2409" w:type="dxa"/>
                  <w:tcBorders>
                    <w:top w:val="single" w:color="auto" w:sz="4" w:space="0"/>
                    <w:left w:val="single" w:color="auto" w:sz="4" w:space="0"/>
                    <w:bottom w:val="single" w:color="auto" w:sz="12" w:space="0"/>
                    <w:right w:val="single" w:color="auto" w:sz="4" w:space="0"/>
                  </w:tcBorders>
                  <w:vAlign w:val="center"/>
                </w:tcPr>
                <w:p w14:paraId="674BB8A0">
                  <w:pPr>
                    <w:autoSpaceDE w:val="0"/>
                    <w:autoSpaceDN w:val="0"/>
                    <w:spacing w:line="276" w:lineRule="auto"/>
                    <w:jc w:val="center"/>
                    <w:rPr>
                      <w:color w:val="auto"/>
                      <w:szCs w:val="21"/>
                    </w:rPr>
                  </w:pPr>
                  <w:r>
                    <w:rPr>
                      <w:rFonts w:hint="eastAsia" w:hAnsi="宋体"/>
                      <w:color w:val="auto"/>
                      <w:szCs w:val="21"/>
                    </w:rPr>
                    <w:t>直接向海排放污染物的海洋工程建设项目</w:t>
                  </w:r>
                </w:p>
              </w:tc>
              <w:tc>
                <w:tcPr>
                  <w:tcW w:w="1701" w:type="dxa"/>
                  <w:tcBorders>
                    <w:top w:val="single" w:color="auto" w:sz="4" w:space="0"/>
                    <w:left w:val="single" w:color="auto" w:sz="4" w:space="0"/>
                    <w:bottom w:val="single" w:color="auto" w:sz="12" w:space="0"/>
                    <w:right w:val="single" w:color="auto" w:sz="4" w:space="0"/>
                  </w:tcBorders>
                  <w:vAlign w:val="center"/>
                </w:tcPr>
                <w:p w14:paraId="0A6732FE">
                  <w:pPr>
                    <w:autoSpaceDE w:val="0"/>
                    <w:autoSpaceDN w:val="0"/>
                    <w:spacing w:line="276" w:lineRule="auto"/>
                    <w:jc w:val="center"/>
                    <w:rPr>
                      <w:b/>
                      <w:color w:val="auto"/>
                      <w:szCs w:val="21"/>
                    </w:rPr>
                  </w:pPr>
                  <w:r>
                    <w:rPr>
                      <w:rFonts w:hint="eastAsia" w:hAnsi="宋体"/>
                      <w:color w:val="auto"/>
                      <w:szCs w:val="21"/>
                    </w:rPr>
                    <w:t>不涉及</w:t>
                  </w:r>
                </w:p>
              </w:tc>
              <w:tc>
                <w:tcPr>
                  <w:tcW w:w="1184" w:type="dxa"/>
                  <w:tcBorders>
                    <w:top w:val="single" w:color="auto" w:sz="4" w:space="0"/>
                    <w:left w:val="single" w:color="auto" w:sz="4" w:space="0"/>
                    <w:bottom w:val="single" w:color="auto" w:sz="12" w:space="0"/>
                    <w:right w:val="nil"/>
                  </w:tcBorders>
                  <w:vAlign w:val="center"/>
                </w:tcPr>
                <w:p w14:paraId="57B0E418">
                  <w:pPr>
                    <w:autoSpaceDE w:val="0"/>
                    <w:autoSpaceDN w:val="0"/>
                    <w:spacing w:line="276" w:lineRule="auto"/>
                    <w:jc w:val="center"/>
                    <w:rPr>
                      <w:color w:val="auto"/>
                      <w:szCs w:val="21"/>
                    </w:rPr>
                  </w:pPr>
                  <w:r>
                    <w:rPr>
                      <w:rFonts w:hint="eastAsia" w:hAnsi="宋体"/>
                      <w:color w:val="auto"/>
                      <w:szCs w:val="21"/>
                    </w:rPr>
                    <w:t>否</w:t>
                  </w:r>
                </w:p>
              </w:tc>
            </w:tr>
          </w:tbl>
          <w:p w14:paraId="6EA05173">
            <w:pPr>
              <w:autoSpaceDE w:val="0"/>
              <w:autoSpaceDN w:val="0"/>
              <w:adjustRightInd w:val="0"/>
              <w:snapToGrid w:val="0"/>
              <w:jc w:val="center"/>
              <w:rPr>
                <w:rFonts w:ascii="宋体" w:hAnsi="宋体" w:cs="宋体"/>
                <w:color w:val="auto"/>
                <w:kern w:val="0"/>
                <w:sz w:val="24"/>
                <w:szCs w:val="24"/>
              </w:rPr>
            </w:pPr>
          </w:p>
        </w:tc>
      </w:tr>
      <w:tr w14:paraId="6EBAF7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25" w:type="pct"/>
          <w:trHeight w:val="1018" w:hRule="atLeast"/>
          <w:jc w:val="center"/>
        </w:trPr>
        <w:tc>
          <w:tcPr>
            <w:tcW w:w="1245" w:type="pct"/>
            <w:gridSpan w:val="2"/>
            <w:vAlign w:val="center"/>
          </w:tcPr>
          <w:p w14:paraId="0D234B7B">
            <w:pPr>
              <w:autoSpaceDE w:val="0"/>
              <w:autoSpaceDN w:val="0"/>
              <w:adjustRightInd w:val="0"/>
              <w:snapToGrid w:val="0"/>
              <w:jc w:val="center"/>
              <w:rPr>
                <w:rFonts w:ascii="宋体" w:hAnsi="宋体" w:cs="宋体"/>
                <w:color w:val="auto"/>
                <w:kern w:val="0"/>
                <w:sz w:val="24"/>
                <w:szCs w:val="24"/>
              </w:rPr>
            </w:pPr>
            <w:r>
              <w:rPr>
                <w:rFonts w:hint="eastAsia" w:ascii="宋体" w:hAnsi="宋体" w:cs="宋体"/>
                <w:color w:val="auto"/>
                <w:sz w:val="24"/>
                <w:szCs w:val="24"/>
              </w:rPr>
              <w:t>规划情况</w:t>
            </w:r>
          </w:p>
        </w:tc>
        <w:tc>
          <w:tcPr>
            <w:tcW w:w="3730" w:type="pct"/>
            <w:gridSpan w:val="4"/>
            <w:vAlign w:val="center"/>
          </w:tcPr>
          <w:p w14:paraId="2CD9490D">
            <w:pPr>
              <w:pStyle w:val="225"/>
              <w:ind w:firstLine="0" w:firstLineChars="0"/>
              <w:jc w:val="left"/>
              <w:rPr>
                <w:rFonts w:hAnsi="宋体"/>
                <w:color w:val="auto"/>
                <w:szCs w:val="24"/>
              </w:rPr>
            </w:pPr>
            <w:r>
              <w:rPr>
                <w:rFonts w:hint="eastAsia"/>
                <w:color w:val="auto"/>
              </w:rPr>
              <w:t>规划名称：</w:t>
            </w:r>
            <w:r>
              <w:rPr>
                <w:rFonts w:hAnsi="宋体"/>
                <w:color w:val="auto"/>
                <w:szCs w:val="24"/>
              </w:rPr>
              <w:t>《</w:t>
            </w:r>
            <w:r>
              <w:rPr>
                <w:rFonts w:hint="eastAsia" w:hAnsi="宋体"/>
                <w:color w:val="auto"/>
                <w:szCs w:val="24"/>
              </w:rPr>
              <w:t>淮南市田家庵区安成镇（地区）总体规划</w:t>
            </w:r>
            <w:r>
              <w:rPr>
                <w:rFonts w:hAnsi="宋体"/>
                <w:color w:val="auto"/>
                <w:szCs w:val="24"/>
              </w:rPr>
              <w:t>（</w:t>
            </w:r>
            <w:r>
              <w:rPr>
                <w:color w:val="auto"/>
                <w:szCs w:val="24"/>
              </w:rPr>
              <w:t>20</w:t>
            </w:r>
            <w:r>
              <w:rPr>
                <w:rFonts w:hint="eastAsia"/>
                <w:color w:val="auto"/>
                <w:szCs w:val="24"/>
              </w:rPr>
              <w:t>10</w:t>
            </w:r>
            <w:r>
              <w:rPr>
                <w:color w:val="auto"/>
                <w:szCs w:val="24"/>
              </w:rPr>
              <w:t>-2030</w:t>
            </w:r>
            <w:r>
              <w:rPr>
                <w:rFonts w:hAnsi="宋体"/>
                <w:color w:val="auto"/>
                <w:szCs w:val="24"/>
              </w:rPr>
              <w:t>）》</w:t>
            </w:r>
          </w:p>
          <w:p w14:paraId="79CE24B8">
            <w:pPr>
              <w:pStyle w:val="225"/>
              <w:ind w:firstLine="0" w:firstLineChars="0"/>
              <w:jc w:val="left"/>
              <w:rPr>
                <w:rFonts w:hAnsi="宋体"/>
                <w:color w:val="auto"/>
                <w:szCs w:val="24"/>
              </w:rPr>
            </w:pPr>
            <w:r>
              <w:rPr>
                <w:rFonts w:hint="eastAsia" w:hAnsi="宋体"/>
                <w:color w:val="auto"/>
                <w:szCs w:val="24"/>
              </w:rPr>
              <w:t>审查机关：淮南市人民政府</w:t>
            </w:r>
          </w:p>
          <w:p w14:paraId="5B48CACA">
            <w:pPr>
              <w:pStyle w:val="225"/>
              <w:ind w:firstLine="0" w:firstLineChars="0"/>
              <w:jc w:val="left"/>
              <w:rPr>
                <w:rFonts w:hAnsi="宋体"/>
                <w:color w:val="auto"/>
                <w:szCs w:val="24"/>
              </w:rPr>
            </w:pPr>
            <w:r>
              <w:rPr>
                <w:rFonts w:hint="eastAsia" w:hAnsi="宋体"/>
                <w:color w:val="auto"/>
                <w:szCs w:val="24"/>
              </w:rPr>
              <w:t>审查意见及文号：淮府秘[2010]251号</w:t>
            </w:r>
          </w:p>
        </w:tc>
      </w:tr>
      <w:tr w14:paraId="415145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25" w:type="pct"/>
          <w:trHeight w:val="493" w:hRule="atLeast"/>
          <w:jc w:val="center"/>
        </w:trPr>
        <w:tc>
          <w:tcPr>
            <w:tcW w:w="1245" w:type="pct"/>
            <w:gridSpan w:val="2"/>
            <w:vAlign w:val="center"/>
          </w:tcPr>
          <w:p w14:paraId="2682BAB0">
            <w:pPr>
              <w:autoSpaceDE w:val="0"/>
              <w:autoSpaceDN w:val="0"/>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规划环境影响</w:t>
            </w:r>
          </w:p>
          <w:p w14:paraId="5AA30FDE">
            <w:pPr>
              <w:autoSpaceDE w:val="0"/>
              <w:autoSpaceDN w:val="0"/>
              <w:adjustRightInd w:val="0"/>
              <w:snapToGrid w:val="0"/>
              <w:spacing w:line="360" w:lineRule="auto"/>
              <w:jc w:val="center"/>
              <w:rPr>
                <w:rFonts w:ascii="宋体" w:hAnsi="宋体" w:cs="宋体"/>
                <w:color w:val="auto"/>
                <w:kern w:val="0"/>
                <w:sz w:val="24"/>
                <w:szCs w:val="24"/>
              </w:rPr>
            </w:pPr>
            <w:r>
              <w:rPr>
                <w:rFonts w:hint="eastAsia" w:ascii="宋体" w:hAnsi="宋体" w:cs="宋体"/>
                <w:color w:val="auto"/>
                <w:sz w:val="24"/>
                <w:szCs w:val="24"/>
              </w:rPr>
              <w:t>评价情况</w:t>
            </w:r>
          </w:p>
        </w:tc>
        <w:tc>
          <w:tcPr>
            <w:tcW w:w="3730" w:type="pct"/>
            <w:gridSpan w:val="4"/>
            <w:vAlign w:val="center"/>
          </w:tcPr>
          <w:p w14:paraId="57039FC4">
            <w:pPr>
              <w:pStyle w:val="225"/>
              <w:ind w:firstLine="0" w:firstLineChars="0"/>
              <w:jc w:val="center"/>
              <w:rPr>
                <w:color w:val="auto"/>
              </w:rPr>
            </w:pPr>
            <w:r>
              <w:rPr>
                <w:rFonts w:hint="eastAsia"/>
                <w:color w:val="auto"/>
              </w:rPr>
              <w:t>无</w:t>
            </w:r>
          </w:p>
        </w:tc>
      </w:tr>
      <w:tr w14:paraId="0A8412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25" w:type="pct"/>
          <w:trHeight w:val="5093" w:hRule="atLeast"/>
          <w:jc w:val="center"/>
        </w:trPr>
        <w:tc>
          <w:tcPr>
            <w:tcW w:w="1245" w:type="pct"/>
            <w:gridSpan w:val="2"/>
            <w:vAlign w:val="center"/>
          </w:tcPr>
          <w:p w14:paraId="2A104EA7">
            <w:pPr>
              <w:autoSpaceDE w:val="0"/>
              <w:autoSpaceDN w:val="0"/>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规划及规划环境</w:t>
            </w:r>
          </w:p>
          <w:p w14:paraId="0DD01F33">
            <w:pPr>
              <w:autoSpaceDE w:val="0"/>
              <w:autoSpaceDN w:val="0"/>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影响评价符合性分析</w:t>
            </w:r>
          </w:p>
        </w:tc>
        <w:tc>
          <w:tcPr>
            <w:tcW w:w="3730" w:type="pct"/>
            <w:gridSpan w:val="4"/>
            <w:vAlign w:val="center"/>
          </w:tcPr>
          <w:p w14:paraId="143FF190">
            <w:pPr>
              <w:autoSpaceDE w:val="0"/>
              <w:autoSpaceDN w:val="0"/>
              <w:spacing w:line="360" w:lineRule="auto"/>
              <w:jc w:val="left"/>
              <w:rPr>
                <w:rFonts w:hAnsi="宋体"/>
                <w:b/>
                <w:color w:val="auto"/>
                <w:sz w:val="24"/>
              </w:rPr>
            </w:pPr>
            <w:r>
              <w:rPr>
                <w:rFonts w:hint="eastAsia" w:hAnsi="宋体"/>
                <w:b/>
                <w:color w:val="auto"/>
                <w:sz w:val="24"/>
              </w:rPr>
              <w:t>1、与《淮南市田家庵区安成镇（地区）总体规划（2010-2030）》符合性分析</w:t>
            </w:r>
          </w:p>
          <w:p w14:paraId="38D15F8D">
            <w:pPr>
              <w:pStyle w:val="225"/>
              <w:ind w:firstLine="480"/>
              <w:jc w:val="left"/>
              <w:rPr>
                <w:color w:val="auto"/>
              </w:rPr>
            </w:pPr>
            <w:r>
              <w:rPr>
                <w:rFonts w:hint="eastAsia"/>
                <w:color w:val="auto"/>
              </w:rPr>
              <w:t>建设项目位于安徽省淮南市安成镇十涧湖中路安徽发强玻璃有限责任公司厂区内。结合《淮南市田家庵区安成镇（地区）总体规划（2010-2030）》用地布局图，本项目所在地属于规划的二类工业用地，企业选址不在自然保护区、风景名胜区、饮用水水源保护区和其他需要特别保护的区域，项目建设用地性质符合田家庵区安成镇总体规划要求，项目选址基本合理。</w:t>
            </w:r>
          </w:p>
        </w:tc>
      </w:tr>
      <w:tr w14:paraId="1CDC6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0" w:hRule="atLeast"/>
          <w:jc w:val="center"/>
        </w:trPr>
        <w:tc>
          <w:tcPr>
            <w:tcW w:w="497" w:type="pct"/>
            <w:gridSpan w:val="2"/>
            <w:vAlign w:val="center"/>
          </w:tcPr>
          <w:p w14:paraId="26D36B1D">
            <w:pPr>
              <w:autoSpaceDE w:val="0"/>
              <w:autoSpaceDN w:val="0"/>
              <w:adjustRightInd w:val="0"/>
              <w:snapToGrid w:val="0"/>
              <w:spacing w:line="360" w:lineRule="auto"/>
              <w:jc w:val="center"/>
              <w:rPr>
                <w:rFonts w:ascii="宋体" w:hAnsi="宋体" w:cs="宋体"/>
                <w:color w:val="auto"/>
                <w:kern w:val="0"/>
                <w:sz w:val="24"/>
                <w:szCs w:val="24"/>
              </w:rPr>
            </w:pPr>
            <w:bookmarkStart w:id="2" w:name="_Toc354926674"/>
            <w:r>
              <w:rPr>
                <w:color w:val="auto"/>
              </w:rPr>
              <w:br w:type="page"/>
            </w:r>
            <w:r>
              <w:rPr>
                <w:rFonts w:hint="eastAsia" w:ascii="宋体" w:hAnsi="宋体" w:cs="宋体"/>
                <w:color w:val="auto"/>
                <w:kern w:val="0"/>
                <w:sz w:val="24"/>
                <w:szCs w:val="24"/>
              </w:rPr>
              <w:t>其他符合性分析</w:t>
            </w:r>
          </w:p>
        </w:tc>
        <w:tc>
          <w:tcPr>
            <w:tcW w:w="4503" w:type="pct"/>
            <w:gridSpan w:val="5"/>
            <w:vAlign w:val="center"/>
          </w:tcPr>
          <w:p w14:paraId="2AF93A36">
            <w:pPr>
              <w:snapToGrid w:val="0"/>
              <w:spacing w:line="360" w:lineRule="auto"/>
              <w:ind w:firstLine="482" w:firstLineChars="200"/>
              <w:jc w:val="left"/>
              <w:rPr>
                <w:rFonts w:hAnsi="黑体" w:eastAsia="黑体"/>
                <w:b/>
                <w:color w:val="auto"/>
                <w:sz w:val="24"/>
                <w:szCs w:val="24"/>
              </w:rPr>
            </w:pPr>
            <w:r>
              <w:rPr>
                <w:rFonts w:hint="eastAsia" w:hAnsi="黑体" w:eastAsia="黑体"/>
                <w:b/>
                <w:color w:val="auto"/>
                <w:sz w:val="24"/>
                <w:szCs w:val="24"/>
              </w:rPr>
              <w:t>1、</w:t>
            </w:r>
            <w:r>
              <w:rPr>
                <w:rFonts w:hint="eastAsia" w:ascii="宋体" w:hAnsi="宋体"/>
                <w:b/>
                <w:color w:val="auto"/>
                <w:sz w:val="24"/>
                <w:szCs w:val="24"/>
              </w:rPr>
              <w:t>产业政策符合性</w:t>
            </w:r>
          </w:p>
          <w:p w14:paraId="12EAD03D">
            <w:pPr>
              <w:snapToGrid w:val="0"/>
              <w:spacing w:line="360" w:lineRule="auto"/>
              <w:ind w:firstLine="480" w:firstLineChars="200"/>
              <w:rPr>
                <w:color w:val="auto"/>
                <w:sz w:val="24"/>
              </w:rPr>
            </w:pPr>
            <w:r>
              <w:rPr>
                <w:rFonts w:hint="eastAsia"/>
                <w:color w:val="auto"/>
                <w:sz w:val="24"/>
              </w:rPr>
              <w:t>本项目行业类别为C3054日用玻璃制品制造，根据《产业结构调整指导目录（2024年本）》，本项目不属于其中限制类和淘汰类，视为允许建设项目。此外，本项目已取得淮南市田家庵区</w:t>
            </w:r>
            <w:r>
              <w:rPr>
                <w:color w:val="auto"/>
                <w:sz w:val="24"/>
              </w:rPr>
              <w:t>发展和改革委员会备案</w:t>
            </w:r>
            <w:r>
              <w:rPr>
                <w:rFonts w:hint="eastAsia"/>
                <w:color w:val="auto"/>
                <w:sz w:val="24"/>
              </w:rPr>
              <w:t>，项目代码为</w:t>
            </w:r>
            <w:r>
              <w:rPr>
                <w:rFonts w:hint="eastAsia"/>
                <w:color w:val="auto"/>
                <w:sz w:val="24"/>
                <w:szCs w:val="24"/>
              </w:rPr>
              <w:t>2408-340403-04-05-192782</w:t>
            </w:r>
            <w:r>
              <w:rPr>
                <w:rFonts w:hint="eastAsia"/>
                <w:color w:val="auto"/>
                <w:sz w:val="24"/>
              </w:rPr>
              <w:t>。综上所述，本项目符合国家和地方产业政策。</w:t>
            </w:r>
          </w:p>
          <w:p w14:paraId="4152560B">
            <w:pPr>
              <w:snapToGrid w:val="0"/>
              <w:spacing w:line="360" w:lineRule="auto"/>
              <w:ind w:firstLine="482" w:firstLineChars="200"/>
              <w:rPr>
                <w:b/>
                <w:color w:val="auto"/>
                <w:sz w:val="24"/>
              </w:rPr>
            </w:pPr>
            <w:r>
              <w:rPr>
                <w:rFonts w:hint="eastAsia"/>
                <w:b/>
                <w:color w:val="auto"/>
                <w:sz w:val="24"/>
              </w:rPr>
              <w:t>2、与周围环境相容性分析</w:t>
            </w:r>
          </w:p>
          <w:p w14:paraId="34858CFC">
            <w:pPr>
              <w:snapToGrid w:val="0"/>
              <w:spacing w:line="360" w:lineRule="auto"/>
              <w:ind w:firstLine="480" w:firstLineChars="200"/>
              <w:rPr>
                <w:color w:val="auto"/>
                <w:sz w:val="24"/>
              </w:rPr>
            </w:pPr>
            <w:r>
              <w:rPr>
                <w:rFonts w:hint="eastAsia"/>
                <w:color w:val="auto"/>
                <w:sz w:val="24"/>
              </w:rPr>
              <w:t>本项目位于淮南市安成镇十涧湖中路安徽发强玻璃有限责任公司厂区内。项目东侧为空地及阜淮铁路，南侧为十涧湖西路，，西侧约3m为村庄散户1，西北侧约5m为小东岗，北侧约9m为村庄散户2。。本项目运营期主要产生的废气、设备噪声和固体废物等，现有工程未设置环境防护距离，在采取本次环评提出的相应治理措施后，对外环境产生的影响较小。因此，本项目只要加强环境治理和管理，与周边环境相容。</w:t>
            </w:r>
          </w:p>
          <w:p w14:paraId="630FCA34">
            <w:pPr>
              <w:snapToGrid w:val="0"/>
              <w:spacing w:line="360" w:lineRule="auto"/>
              <w:ind w:firstLine="482" w:firstLineChars="200"/>
              <w:jc w:val="left"/>
              <w:rPr>
                <w:rFonts w:hAnsi="宋体"/>
                <w:b/>
                <w:color w:val="auto"/>
                <w:sz w:val="24"/>
              </w:rPr>
            </w:pPr>
          </w:p>
          <w:p w14:paraId="7D8F0737">
            <w:pPr>
              <w:snapToGrid w:val="0"/>
              <w:spacing w:line="360" w:lineRule="auto"/>
              <w:ind w:firstLine="482" w:firstLineChars="200"/>
              <w:jc w:val="left"/>
              <w:rPr>
                <w:rFonts w:hAnsi="宋体"/>
                <w:b/>
                <w:color w:val="auto"/>
                <w:sz w:val="24"/>
              </w:rPr>
            </w:pPr>
          </w:p>
          <w:p w14:paraId="5A2069F5">
            <w:pPr>
              <w:snapToGrid w:val="0"/>
              <w:spacing w:line="360" w:lineRule="auto"/>
              <w:ind w:firstLine="482" w:firstLineChars="200"/>
              <w:jc w:val="left"/>
              <w:rPr>
                <w:rFonts w:hAnsi="宋体"/>
                <w:b/>
                <w:color w:val="auto"/>
                <w:sz w:val="24"/>
              </w:rPr>
            </w:pPr>
          </w:p>
          <w:p w14:paraId="5BB63552">
            <w:pPr>
              <w:snapToGrid w:val="0"/>
              <w:spacing w:line="360" w:lineRule="auto"/>
              <w:ind w:firstLine="482" w:firstLineChars="200"/>
              <w:jc w:val="left"/>
              <w:rPr>
                <w:rFonts w:hAnsi="宋体"/>
                <w:b/>
                <w:color w:val="auto"/>
                <w:sz w:val="24"/>
              </w:rPr>
            </w:pPr>
          </w:p>
          <w:p w14:paraId="28D90986">
            <w:pPr>
              <w:snapToGrid w:val="0"/>
              <w:spacing w:line="360" w:lineRule="auto"/>
              <w:ind w:firstLine="482" w:firstLineChars="200"/>
              <w:jc w:val="left"/>
              <w:rPr>
                <w:rFonts w:hAnsi="宋体"/>
                <w:b/>
                <w:color w:val="auto"/>
                <w:sz w:val="24"/>
              </w:rPr>
            </w:pPr>
          </w:p>
          <w:p w14:paraId="2CD7FC4C">
            <w:pPr>
              <w:snapToGrid w:val="0"/>
              <w:spacing w:line="360" w:lineRule="auto"/>
              <w:ind w:firstLine="482" w:firstLineChars="200"/>
              <w:jc w:val="left"/>
              <w:rPr>
                <w:rFonts w:hAnsi="宋体"/>
                <w:b/>
                <w:color w:val="auto"/>
                <w:sz w:val="24"/>
              </w:rPr>
            </w:pPr>
          </w:p>
          <w:p w14:paraId="5E35F64A">
            <w:pPr>
              <w:snapToGrid w:val="0"/>
              <w:spacing w:line="360" w:lineRule="auto"/>
              <w:ind w:firstLine="482" w:firstLineChars="200"/>
              <w:jc w:val="left"/>
              <w:rPr>
                <w:rFonts w:hAnsi="宋体"/>
                <w:b/>
                <w:color w:val="auto"/>
                <w:sz w:val="24"/>
              </w:rPr>
            </w:pPr>
          </w:p>
          <w:p w14:paraId="144F83D0">
            <w:pPr>
              <w:snapToGrid w:val="0"/>
              <w:spacing w:line="360" w:lineRule="auto"/>
              <w:ind w:firstLine="482" w:firstLineChars="200"/>
              <w:jc w:val="left"/>
              <w:rPr>
                <w:rFonts w:hAnsi="宋体"/>
                <w:b/>
                <w:color w:val="auto"/>
                <w:sz w:val="24"/>
              </w:rPr>
            </w:pPr>
          </w:p>
          <w:p w14:paraId="53457D3D">
            <w:pPr>
              <w:snapToGrid w:val="0"/>
              <w:spacing w:line="360" w:lineRule="auto"/>
              <w:ind w:firstLine="482" w:firstLineChars="200"/>
              <w:jc w:val="left"/>
              <w:rPr>
                <w:rFonts w:hAnsi="宋体"/>
                <w:b/>
                <w:color w:val="auto"/>
                <w:sz w:val="24"/>
              </w:rPr>
            </w:pPr>
          </w:p>
          <w:p w14:paraId="0EA9139A">
            <w:pPr>
              <w:snapToGrid w:val="0"/>
              <w:spacing w:line="360" w:lineRule="auto"/>
              <w:ind w:firstLine="482" w:firstLineChars="200"/>
              <w:jc w:val="left"/>
              <w:rPr>
                <w:rFonts w:hAnsi="宋体"/>
                <w:b/>
                <w:color w:val="auto"/>
                <w:sz w:val="24"/>
              </w:rPr>
            </w:pPr>
          </w:p>
          <w:p w14:paraId="73749208">
            <w:pPr>
              <w:snapToGrid w:val="0"/>
              <w:spacing w:line="360" w:lineRule="auto"/>
              <w:ind w:firstLine="482" w:firstLineChars="200"/>
              <w:jc w:val="left"/>
              <w:rPr>
                <w:rFonts w:hAnsi="宋体"/>
                <w:b/>
                <w:color w:val="auto"/>
                <w:sz w:val="24"/>
              </w:rPr>
            </w:pPr>
          </w:p>
          <w:p w14:paraId="7502B2C7">
            <w:pPr>
              <w:snapToGrid w:val="0"/>
              <w:spacing w:line="360" w:lineRule="auto"/>
              <w:ind w:firstLine="482" w:firstLineChars="200"/>
              <w:jc w:val="left"/>
              <w:rPr>
                <w:rFonts w:hAnsi="宋体"/>
                <w:b/>
                <w:color w:val="auto"/>
                <w:sz w:val="24"/>
              </w:rPr>
            </w:pPr>
          </w:p>
          <w:p w14:paraId="0309074B">
            <w:pPr>
              <w:snapToGrid w:val="0"/>
              <w:spacing w:line="360" w:lineRule="auto"/>
              <w:ind w:firstLine="482" w:firstLineChars="200"/>
              <w:jc w:val="left"/>
              <w:rPr>
                <w:rFonts w:hAnsi="宋体"/>
                <w:b/>
                <w:color w:val="auto"/>
                <w:sz w:val="24"/>
              </w:rPr>
            </w:pPr>
          </w:p>
          <w:p w14:paraId="2ED42E12">
            <w:pPr>
              <w:snapToGrid w:val="0"/>
              <w:spacing w:line="360" w:lineRule="auto"/>
              <w:ind w:firstLine="482" w:firstLineChars="200"/>
              <w:jc w:val="left"/>
              <w:rPr>
                <w:rFonts w:hAnsi="宋体"/>
                <w:b/>
                <w:color w:val="auto"/>
                <w:sz w:val="24"/>
              </w:rPr>
            </w:pPr>
          </w:p>
          <w:p w14:paraId="642DAB5D">
            <w:pPr>
              <w:snapToGrid w:val="0"/>
              <w:spacing w:line="360" w:lineRule="auto"/>
              <w:ind w:firstLine="482" w:firstLineChars="200"/>
              <w:jc w:val="left"/>
              <w:rPr>
                <w:rFonts w:hAnsi="宋体"/>
                <w:b/>
                <w:color w:val="auto"/>
                <w:sz w:val="24"/>
              </w:rPr>
            </w:pPr>
          </w:p>
          <w:p w14:paraId="56E6C30A">
            <w:pPr>
              <w:snapToGrid w:val="0"/>
              <w:spacing w:line="360" w:lineRule="auto"/>
              <w:ind w:firstLine="482" w:firstLineChars="200"/>
              <w:jc w:val="left"/>
              <w:rPr>
                <w:rFonts w:hAnsi="宋体"/>
                <w:b/>
                <w:color w:val="auto"/>
                <w:sz w:val="24"/>
              </w:rPr>
            </w:pPr>
          </w:p>
          <w:p w14:paraId="4E6D8E5B">
            <w:pPr>
              <w:snapToGrid w:val="0"/>
              <w:spacing w:line="360" w:lineRule="auto"/>
              <w:ind w:firstLine="482" w:firstLineChars="200"/>
              <w:jc w:val="left"/>
              <w:rPr>
                <w:rFonts w:hAnsi="宋体"/>
                <w:b/>
                <w:color w:val="auto"/>
                <w:sz w:val="24"/>
              </w:rPr>
            </w:pPr>
          </w:p>
          <w:p w14:paraId="13C684CB">
            <w:pPr>
              <w:snapToGrid w:val="0"/>
              <w:spacing w:line="360" w:lineRule="auto"/>
              <w:ind w:firstLine="482" w:firstLineChars="200"/>
              <w:jc w:val="left"/>
              <w:rPr>
                <w:rFonts w:hAnsi="宋体"/>
                <w:b/>
                <w:color w:val="auto"/>
                <w:sz w:val="24"/>
              </w:rPr>
            </w:pPr>
          </w:p>
          <w:p w14:paraId="2D7C675B">
            <w:pPr>
              <w:snapToGrid w:val="0"/>
              <w:spacing w:line="360" w:lineRule="auto"/>
              <w:ind w:firstLine="482" w:firstLineChars="200"/>
              <w:jc w:val="left"/>
              <w:rPr>
                <w:rFonts w:hAnsi="宋体"/>
                <w:b/>
                <w:color w:val="auto"/>
                <w:sz w:val="24"/>
              </w:rPr>
            </w:pPr>
          </w:p>
          <w:p w14:paraId="6483CE52">
            <w:pPr>
              <w:snapToGrid w:val="0"/>
              <w:spacing w:line="360" w:lineRule="auto"/>
              <w:ind w:firstLine="482" w:firstLineChars="200"/>
              <w:jc w:val="left"/>
              <w:rPr>
                <w:rFonts w:hAnsi="宋体"/>
                <w:b/>
                <w:color w:val="auto"/>
                <w:sz w:val="24"/>
              </w:rPr>
            </w:pPr>
            <w:r>
              <w:rPr>
                <w:rFonts w:hint="eastAsia" w:hAnsi="宋体"/>
                <w:b/>
                <w:color w:val="auto"/>
                <w:sz w:val="24"/>
              </w:rPr>
              <w:t>3、与相关生态环境保护法律法规政策、生态环境保护规划的符合性分析</w:t>
            </w:r>
          </w:p>
          <w:p w14:paraId="50FA1BD6">
            <w:pPr>
              <w:pStyle w:val="219"/>
              <w:ind w:firstLine="480" w:firstLineChars="200"/>
              <w:rPr>
                <w:color w:val="auto"/>
              </w:rPr>
            </w:pPr>
            <w:r>
              <w:rPr>
                <w:rFonts w:hint="eastAsia"/>
                <w:color w:val="auto"/>
              </w:rPr>
              <w:t>（1）与《安徽省低挥发性有机物含量原辅材料替代工作方案》（皖环发[2024]1号）相符性分析</w:t>
            </w:r>
          </w:p>
          <w:p w14:paraId="65CBB479">
            <w:pPr>
              <w:pStyle w:val="219"/>
              <w:jc w:val="center"/>
              <w:rPr>
                <w:color w:val="auto"/>
              </w:rPr>
            </w:pPr>
            <w:r>
              <w:rPr>
                <w:rFonts w:hint="eastAsia" w:hAnsi="黑体" w:eastAsia="黑体"/>
                <w:color w:val="auto"/>
                <w:szCs w:val="24"/>
              </w:rPr>
              <w:t>表2</w:t>
            </w:r>
            <w:r>
              <w:rPr>
                <w:rFonts w:hAnsi="黑体" w:eastAsia="黑体"/>
                <w:color w:val="auto"/>
                <w:szCs w:val="24"/>
              </w:rPr>
              <w:t xml:space="preserve">  </w:t>
            </w:r>
            <w:r>
              <w:rPr>
                <w:rFonts w:hint="eastAsia" w:hAnsi="黑体" w:eastAsia="黑体"/>
                <w:color w:val="auto"/>
                <w:szCs w:val="24"/>
              </w:rPr>
              <w:t>项目与皖环发[2024]1号符合性分析</w:t>
            </w:r>
          </w:p>
          <w:tbl>
            <w:tblPr>
              <w:tblStyle w:val="34"/>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563"/>
              <w:gridCol w:w="4097"/>
              <w:gridCol w:w="2130"/>
              <w:gridCol w:w="853"/>
            </w:tblGrid>
            <w:tr w14:paraId="113FB7D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c>
                <w:tcPr>
                  <w:tcW w:w="571" w:type="dxa"/>
                  <w:vAlign w:val="center"/>
                </w:tcPr>
                <w:p w14:paraId="6786CC57">
                  <w:pPr>
                    <w:spacing w:line="276" w:lineRule="auto"/>
                    <w:jc w:val="center"/>
                    <w:rPr>
                      <w:rFonts w:hAnsi="宋体"/>
                      <w:b/>
                      <w:color w:val="auto"/>
                      <w:szCs w:val="21"/>
                    </w:rPr>
                  </w:pPr>
                  <w:r>
                    <w:rPr>
                      <w:rFonts w:hint="eastAsia" w:hAnsi="宋体"/>
                      <w:b/>
                      <w:color w:val="auto"/>
                      <w:szCs w:val="21"/>
                    </w:rPr>
                    <w:t>序号</w:t>
                  </w:r>
                </w:p>
              </w:tc>
              <w:tc>
                <w:tcPr>
                  <w:tcW w:w="4283" w:type="dxa"/>
                  <w:vAlign w:val="center"/>
                </w:tcPr>
                <w:p w14:paraId="631412F0">
                  <w:pPr>
                    <w:spacing w:line="276" w:lineRule="auto"/>
                    <w:jc w:val="center"/>
                    <w:rPr>
                      <w:rFonts w:hAnsi="宋体"/>
                      <w:b/>
                      <w:color w:val="auto"/>
                      <w:szCs w:val="21"/>
                    </w:rPr>
                  </w:pPr>
                  <w:r>
                    <w:rPr>
                      <w:rFonts w:hint="eastAsia" w:hAnsi="宋体"/>
                      <w:b/>
                      <w:color w:val="auto"/>
                      <w:szCs w:val="21"/>
                    </w:rPr>
                    <w:t>相关要求</w:t>
                  </w:r>
                </w:p>
              </w:tc>
              <w:tc>
                <w:tcPr>
                  <w:tcW w:w="1910" w:type="dxa"/>
                  <w:vAlign w:val="center"/>
                </w:tcPr>
                <w:p w14:paraId="4F31910D">
                  <w:pPr>
                    <w:spacing w:line="276" w:lineRule="auto"/>
                    <w:jc w:val="center"/>
                    <w:rPr>
                      <w:rFonts w:hAnsi="宋体"/>
                      <w:b/>
                      <w:color w:val="auto"/>
                      <w:szCs w:val="21"/>
                    </w:rPr>
                  </w:pPr>
                  <w:r>
                    <w:rPr>
                      <w:rFonts w:hint="eastAsia" w:hAnsi="宋体"/>
                      <w:b/>
                      <w:color w:val="auto"/>
                      <w:szCs w:val="21"/>
                    </w:rPr>
                    <w:t>本项目情况</w:t>
                  </w:r>
                </w:p>
              </w:tc>
              <w:tc>
                <w:tcPr>
                  <w:tcW w:w="879" w:type="dxa"/>
                  <w:vAlign w:val="center"/>
                </w:tcPr>
                <w:p w14:paraId="7CCED4BB">
                  <w:pPr>
                    <w:spacing w:line="276" w:lineRule="auto"/>
                    <w:jc w:val="center"/>
                    <w:rPr>
                      <w:rFonts w:hAnsi="宋体"/>
                      <w:b/>
                      <w:color w:val="auto"/>
                      <w:szCs w:val="21"/>
                    </w:rPr>
                  </w:pPr>
                  <w:r>
                    <w:rPr>
                      <w:rFonts w:hint="eastAsia" w:hAnsi="宋体"/>
                      <w:b/>
                      <w:color w:val="auto"/>
                      <w:szCs w:val="21"/>
                    </w:rPr>
                    <w:t>符合性分析</w:t>
                  </w:r>
                </w:p>
              </w:tc>
            </w:tr>
            <w:tr w14:paraId="38A2A89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571" w:type="dxa"/>
                  <w:vAlign w:val="center"/>
                </w:tcPr>
                <w:p w14:paraId="618DBA63">
                  <w:pPr>
                    <w:spacing w:line="276" w:lineRule="auto"/>
                    <w:jc w:val="center"/>
                    <w:rPr>
                      <w:rFonts w:hAnsi="宋体"/>
                      <w:color w:val="auto"/>
                      <w:szCs w:val="21"/>
                    </w:rPr>
                  </w:pPr>
                  <w:r>
                    <w:rPr>
                      <w:rFonts w:hint="eastAsia" w:hAnsi="宋体"/>
                      <w:color w:val="auto"/>
                      <w:szCs w:val="21"/>
                    </w:rPr>
                    <w:t>1</w:t>
                  </w:r>
                </w:p>
              </w:tc>
              <w:tc>
                <w:tcPr>
                  <w:tcW w:w="4283" w:type="dxa"/>
                  <w:vAlign w:val="center"/>
                </w:tcPr>
                <w:p w14:paraId="19E49C7A">
                  <w:pPr>
                    <w:spacing w:line="276" w:lineRule="auto"/>
                    <w:jc w:val="center"/>
                    <w:rPr>
                      <w:rFonts w:hAnsi="宋体"/>
                      <w:color w:val="auto"/>
                      <w:szCs w:val="21"/>
                    </w:rPr>
                  </w:pPr>
                  <w:r>
                    <w:rPr>
                      <w:rFonts w:hint="eastAsia" w:hAnsi="宋体"/>
                      <w:color w:val="auto"/>
                      <w:szCs w:val="21"/>
                    </w:rPr>
                    <w:t>到2025年底前，推进汽车整车制造、木质家具、汽车零部件、工程机械、钢结构、船舶制造等领域3100余家重点企业实施低VOCs含量涂料源头替代及工艺改造，原则上实现“应替尽替”。全面排查使用溶剂型涂料、油墨、胶粘剂、清洗剂以及涉及有机化工生产的产业集群，2025年底前基本实现溶剂型工业涂料、油墨、胶粘剂“能替则替”。</w:t>
                  </w:r>
                </w:p>
              </w:tc>
              <w:tc>
                <w:tcPr>
                  <w:tcW w:w="1910" w:type="dxa"/>
                  <w:vAlign w:val="center"/>
                </w:tcPr>
                <w:p w14:paraId="00550497">
                  <w:pPr>
                    <w:spacing w:line="276" w:lineRule="auto"/>
                    <w:jc w:val="center"/>
                    <w:rPr>
                      <w:rFonts w:hAnsi="宋体"/>
                      <w:color w:val="auto"/>
                      <w:szCs w:val="21"/>
                    </w:rPr>
                  </w:pPr>
                  <w:r>
                    <w:rPr>
                      <w:rFonts w:hint="eastAsia" w:hAnsi="宋体"/>
                      <w:color w:val="auto"/>
                      <w:szCs w:val="21"/>
                    </w:rPr>
                    <w:t>本项目生产喷涂工序使用水性漆以替代溶剂型涂料，不涉及溶剂型涂料使用。</w:t>
                  </w:r>
                </w:p>
              </w:tc>
              <w:tc>
                <w:tcPr>
                  <w:tcW w:w="879" w:type="dxa"/>
                  <w:vAlign w:val="center"/>
                </w:tcPr>
                <w:p w14:paraId="1206982B">
                  <w:pPr>
                    <w:spacing w:line="276" w:lineRule="auto"/>
                    <w:jc w:val="center"/>
                    <w:rPr>
                      <w:rFonts w:hAnsi="宋体"/>
                      <w:color w:val="auto"/>
                      <w:szCs w:val="21"/>
                    </w:rPr>
                  </w:pPr>
                  <w:r>
                    <w:rPr>
                      <w:rFonts w:hint="eastAsia" w:hAnsi="宋体"/>
                      <w:color w:val="auto"/>
                      <w:szCs w:val="21"/>
                    </w:rPr>
                    <w:t>符合</w:t>
                  </w:r>
                </w:p>
              </w:tc>
            </w:tr>
            <w:tr w14:paraId="4766998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571" w:type="dxa"/>
                  <w:vAlign w:val="center"/>
                </w:tcPr>
                <w:p w14:paraId="6E668100">
                  <w:pPr>
                    <w:spacing w:line="276" w:lineRule="auto"/>
                    <w:jc w:val="center"/>
                    <w:rPr>
                      <w:rFonts w:hAnsi="宋体"/>
                      <w:color w:val="auto"/>
                      <w:szCs w:val="21"/>
                    </w:rPr>
                  </w:pPr>
                  <w:r>
                    <w:rPr>
                      <w:rFonts w:hint="eastAsia" w:hAnsi="宋体"/>
                      <w:color w:val="auto"/>
                      <w:szCs w:val="21"/>
                    </w:rPr>
                    <w:t>2</w:t>
                  </w:r>
                </w:p>
              </w:tc>
              <w:tc>
                <w:tcPr>
                  <w:tcW w:w="4283" w:type="dxa"/>
                  <w:vAlign w:val="center"/>
                </w:tcPr>
                <w:p w14:paraId="0B18A72A">
                  <w:pPr>
                    <w:spacing w:line="276" w:lineRule="auto"/>
                    <w:jc w:val="center"/>
                    <w:rPr>
                      <w:rFonts w:hAnsi="宋体"/>
                      <w:color w:val="auto"/>
                      <w:szCs w:val="21"/>
                    </w:rPr>
                  </w:pPr>
                  <w:r>
                    <w:rPr>
                      <w:rFonts w:hint="eastAsia" w:hAnsi="宋体"/>
                      <w:color w:val="auto"/>
                      <w:szCs w:val="21"/>
                    </w:rPr>
                    <w:t>加强替代管理。工业涂装、包装印刷、竹木加工、家具制造、汽车修理与维护、鞋和皮革制品制造等重点行业企业，要按照《低挥发性有机物含量原辅材料源头替代技术指引（试行）》（附件3）要求，开展低VOCs原辅材料和生产方式替代，优化管控台账及档案管理，持续提升环境管理水平。各地要根据《关于深入开展挥发性有机物污染治理工作的通知》（皖大气办〔2021〕4号）要求，在认真梳理2021至2023年度VOCs源头削减治理项目清单基础上，对涉VOCs重点行业和使用溶剂型涂料、油墨、胶粘剂、清洗剂以及涉及有机化工生产的产业集群进行再排查，将含VOCs原辅材料使用企业全面纳入源头替代企业排查台账，对具备替代条件的，加强调度指导；对无法替代的，要开展论证核实，严格把关并逐一说明。</w:t>
                  </w:r>
                </w:p>
              </w:tc>
              <w:tc>
                <w:tcPr>
                  <w:tcW w:w="1910" w:type="dxa"/>
                  <w:vAlign w:val="center"/>
                </w:tcPr>
                <w:p w14:paraId="1D6C383E">
                  <w:pPr>
                    <w:spacing w:line="276" w:lineRule="auto"/>
                    <w:jc w:val="center"/>
                    <w:rPr>
                      <w:rFonts w:hAnsi="宋体"/>
                      <w:color w:val="auto"/>
                      <w:szCs w:val="21"/>
                    </w:rPr>
                  </w:pPr>
                  <w:r>
                    <w:rPr>
                      <w:rFonts w:hint="eastAsia" w:hAnsi="宋体"/>
                      <w:color w:val="auto"/>
                      <w:szCs w:val="21"/>
                    </w:rPr>
                    <w:t>本项目生产喷涂工序采用水性漆，不涉及溶剂型涂料使用，对照《低挥发性有机物含量原辅材料源头替代技术指引（试行）》，使用的水性漆VOCs含量限值符合《低挥发性有机化合物含量涂料产品技术要求》（GB/T38597-2020）的水性涂料要求，将优先管控台账及档案管理。</w:t>
                  </w:r>
                </w:p>
              </w:tc>
              <w:tc>
                <w:tcPr>
                  <w:tcW w:w="879" w:type="dxa"/>
                  <w:vAlign w:val="center"/>
                </w:tcPr>
                <w:p w14:paraId="607687AB">
                  <w:pPr>
                    <w:spacing w:line="276" w:lineRule="auto"/>
                    <w:jc w:val="center"/>
                    <w:rPr>
                      <w:rFonts w:hAnsi="宋体"/>
                      <w:color w:val="auto"/>
                      <w:szCs w:val="21"/>
                    </w:rPr>
                  </w:pPr>
                  <w:r>
                    <w:rPr>
                      <w:rFonts w:hint="eastAsia" w:hAnsi="宋体"/>
                      <w:color w:val="auto"/>
                      <w:szCs w:val="21"/>
                    </w:rPr>
                    <w:t>符合</w:t>
                  </w:r>
                </w:p>
              </w:tc>
            </w:tr>
            <w:tr w14:paraId="0A28F41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571" w:type="dxa"/>
                  <w:vAlign w:val="center"/>
                </w:tcPr>
                <w:p w14:paraId="4AE33F4A">
                  <w:pPr>
                    <w:spacing w:line="276" w:lineRule="auto"/>
                    <w:jc w:val="center"/>
                    <w:rPr>
                      <w:rFonts w:hAnsi="宋体"/>
                      <w:color w:val="auto"/>
                      <w:szCs w:val="21"/>
                    </w:rPr>
                  </w:pPr>
                  <w:r>
                    <w:rPr>
                      <w:rFonts w:hint="eastAsia" w:hAnsi="宋体"/>
                      <w:color w:val="auto"/>
                      <w:szCs w:val="21"/>
                    </w:rPr>
                    <w:t>3</w:t>
                  </w:r>
                </w:p>
              </w:tc>
              <w:tc>
                <w:tcPr>
                  <w:tcW w:w="4283" w:type="dxa"/>
                  <w:vAlign w:val="center"/>
                </w:tcPr>
                <w:p w14:paraId="5AFA3337">
                  <w:pPr>
                    <w:spacing w:line="276" w:lineRule="auto"/>
                    <w:jc w:val="center"/>
                    <w:rPr>
                      <w:rFonts w:hAnsi="宋体"/>
                      <w:color w:val="auto"/>
                      <w:szCs w:val="21"/>
                    </w:rPr>
                  </w:pPr>
                  <w:r>
                    <w:rPr>
                      <w:rFonts w:hint="eastAsia" w:hAnsi="宋体"/>
                      <w:color w:val="auto"/>
                      <w:szCs w:val="21"/>
                    </w:rPr>
                    <w:t>严格项目准入。禁止建设生产和使用高VOCs含量的溶剂型涂料、油墨、胶黏剂等项目，全省工业涂装、包装印刷等重点行业和涂料、油墨等生产企业的新（改、扩）建项目需满足低（无）VOCs含量限值要求。省内市场上流通的水性涂料等低VOCs含量涂料产品，执行《低挥发性有机化合物含量涂料产品技术要求》，应在包装标志或产品说明上标明符合标准的分类、产品类别及产品类型（或施涂方式）。</w:t>
                  </w:r>
                </w:p>
              </w:tc>
              <w:tc>
                <w:tcPr>
                  <w:tcW w:w="1910" w:type="dxa"/>
                  <w:vAlign w:val="center"/>
                </w:tcPr>
                <w:p w14:paraId="678AB114">
                  <w:pPr>
                    <w:spacing w:line="276" w:lineRule="auto"/>
                    <w:jc w:val="center"/>
                    <w:rPr>
                      <w:rFonts w:hAnsi="宋体"/>
                      <w:color w:val="auto"/>
                      <w:szCs w:val="21"/>
                    </w:rPr>
                  </w:pPr>
                  <w:r>
                    <w:rPr>
                      <w:rFonts w:hint="eastAsia" w:hAnsi="宋体"/>
                      <w:color w:val="auto"/>
                      <w:szCs w:val="21"/>
                    </w:rPr>
                    <w:t>本项目主要生产着色玻璃制品，生产喷涂工序采用的水性漆，不属于生产和使用溶剂型涂料、油墨、胶黏剂等项目；本项目使用的水性漆VOC含量符合《低挥发性有机化合物含量涂料产品技术要求》（GB/T38597-2020）中相关限值要求。</w:t>
                  </w:r>
                </w:p>
              </w:tc>
              <w:tc>
                <w:tcPr>
                  <w:tcW w:w="879" w:type="dxa"/>
                  <w:vAlign w:val="center"/>
                </w:tcPr>
                <w:p w14:paraId="3DD94A27">
                  <w:pPr>
                    <w:spacing w:line="276" w:lineRule="auto"/>
                    <w:jc w:val="center"/>
                    <w:rPr>
                      <w:rFonts w:hAnsi="宋体"/>
                      <w:color w:val="auto"/>
                      <w:szCs w:val="21"/>
                    </w:rPr>
                  </w:pPr>
                  <w:r>
                    <w:rPr>
                      <w:rFonts w:hint="eastAsia" w:hAnsi="宋体"/>
                      <w:color w:val="auto"/>
                      <w:szCs w:val="21"/>
                    </w:rPr>
                    <w:t>符合</w:t>
                  </w:r>
                </w:p>
              </w:tc>
            </w:tr>
          </w:tbl>
          <w:p w14:paraId="47A554D2">
            <w:pPr>
              <w:pStyle w:val="219"/>
              <w:ind w:firstLine="480" w:firstLineChars="200"/>
              <w:rPr>
                <w:color w:val="auto"/>
              </w:rPr>
            </w:pPr>
            <w:r>
              <w:rPr>
                <w:rFonts w:hint="eastAsia"/>
                <w:color w:val="auto"/>
              </w:rPr>
              <w:t>（</w:t>
            </w:r>
            <w:r>
              <w:rPr>
                <w:color w:val="auto"/>
              </w:rPr>
              <w:t>2</w:t>
            </w:r>
            <w:r>
              <w:rPr>
                <w:rFonts w:hint="eastAsia"/>
                <w:color w:val="auto"/>
              </w:rPr>
              <w:t>）与《挥发性有机物无组织排放控制标准》（GB37822-2019）相符性分析</w:t>
            </w:r>
          </w:p>
          <w:p w14:paraId="6A10E5DD">
            <w:pPr>
              <w:pStyle w:val="219"/>
              <w:jc w:val="center"/>
              <w:rPr>
                <w:rFonts w:hAnsi="黑体" w:eastAsia="黑体"/>
                <w:color w:val="auto"/>
                <w:szCs w:val="21"/>
              </w:rPr>
            </w:pPr>
            <w:r>
              <w:rPr>
                <w:rFonts w:hint="eastAsia" w:hAnsi="黑体" w:eastAsia="黑体"/>
                <w:color w:val="auto"/>
                <w:szCs w:val="24"/>
              </w:rPr>
              <w:t>表3</w:t>
            </w:r>
            <w:r>
              <w:rPr>
                <w:rFonts w:hAnsi="黑体" w:eastAsia="黑体"/>
                <w:color w:val="auto"/>
                <w:szCs w:val="24"/>
              </w:rPr>
              <w:t xml:space="preserve">  </w:t>
            </w:r>
            <w:r>
              <w:rPr>
                <w:rFonts w:hint="eastAsia" w:hAnsi="黑体" w:eastAsia="黑体"/>
                <w:color w:val="auto"/>
                <w:szCs w:val="24"/>
              </w:rPr>
              <w:t>项目与GB37822-2019符合性分析</w:t>
            </w:r>
          </w:p>
          <w:tbl>
            <w:tblPr>
              <w:tblStyle w:val="34"/>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575"/>
              <w:gridCol w:w="3248"/>
              <w:gridCol w:w="2933"/>
              <w:gridCol w:w="887"/>
            </w:tblGrid>
            <w:tr w14:paraId="331B3F9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587" w:type="dxa"/>
                  <w:vAlign w:val="center"/>
                </w:tcPr>
                <w:p w14:paraId="3CC9EF6A">
                  <w:pPr>
                    <w:spacing w:line="276" w:lineRule="auto"/>
                    <w:jc w:val="center"/>
                    <w:rPr>
                      <w:rFonts w:hAnsi="宋体"/>
                      <w:b/>
                      <w:color w:val="auto"/>
                      <w:szCs w:val="21"/>
                    </w:rPr>
                  </w:pPr>
                  <w:r>
                    <w:rPr>
                      <w:rFonts w:hint="eastAsia" w:hAnsi="宋体"/>
                      <w:b/>
                      <w:color w:val="auto"/>
                      <w:szCs w:val="21"/>
                    </w:rPr>
                    <w:t>序号</w:t>
                  </w:r>
                </w:p>
              </w:tc>
              <w:tc>
                <w:tcPr>
                  <w:tcW w:w="3440" w:type="dxa"/>
                  <w:vAlign w:val="center"/>
                </w:tcPr>
                <w:p w14:paraId="16733D69">
                  <w:pPr>
                    <w:spacing w:line="276" w:lineRule="auto"/>
                    <w:jc w:val="center"/>
                    <w:rPr>
                      <w:rFonts w:hAnsi="宋体"/>
                      <w:b/>
                      <w:color w:val="auto"/>
                      <w:szCs w:val="21"/>
                    </w:rPr>
                  </w:pPr>
                  <w:r>
                    <w:rPr>
                      <w:rFonts w:hint="eastAsia" w:hAnsi="宋体"/>
                      <w:b/>
                      <w:color w:val="auto"/>
                      <w:szCs w:val="21"/>
                    </w:rPr>
                    <w:t>相关要求</w:t>
                  </w:r>
                </w:p>
              </w:tc>
              <w:tc>
                <w:tcPr>
                  <w:tcW w:w="3102" w:type="dxa"/>
                  <w:vAlign w:val="center"/>
                </w:tcPr>
                <w:p w14:paraId="2B9E68C2">
                  <w:pPr>
                    <w:spacing w:line="276" w:lineRule="auto"/>
                    <w:jc w:val="center"/>
                    <w:rPr>
                      <w:rFonts w:hAnsi="宋体"/>
                      <w:b/>
                      <w:color w:val="auto"/>
                      <w:szCs w:val="21"/>
                    </w:rPr>
                  </w:pPr>
                  <w:r>
                    <w:rPr>
                      <w:rFonts w:hint="eastAsia" w:hAnsi="宋体"/>
                      <w:b/>
                      <w:color w:val="auto"/>
                      <w:szCs w:val="21"/>
                    </w:rPr>
                    <w:t>本项目情况</w:t>
                  </w:r>
                </w:p>
              </w:tc>
              <w:tc>
                <w:tcPr>
                  <w:tcW w:w="924" w:type="dxa"/>
                  <w:vAlign w:val="center"/>
                </w:tcPr>
                <w:p w14:paraId="5B5F2589">
                  <w:pPr>
                    <w:spacing w:line="276" w:lineRule="auto"/>
                    <w:jc w:val="center"/>
                    <w:rPr>
                      <w:rFonts w:hAnsi="宋体"/>
                      <w:b/>
                      <w:color w:val="auto"/>
                      <w:szCs w:val="21"/>
                    </w:rPr>
                  </w:pPr>
                  <w:r>
                    <w:rPr>
                      <w:rFonts w:hint="eastAsia" w:hAnsi="宋体"/>
                      <w:b/>
                      <w:color w:val="auto"/>
                      <w:szCs w:val="21"/>
                    </w:rPr>
                    <w:t>符合性分析</w:t>
                  </w:r>
                </w:p>
              </w:tc>
            </w:tr>
            <w:tr w14:paraId="52A8E4A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587" w:type="dxa"/>
                  <w:vAlign w:val="center"/>
                </w:tcPr>
                <w:p w14:paraId="19FF41B2">
                  <w:pPr>
                    <w:spacing w:line="276" w:lineRule="auto"/>
                    <w:jc w:val="center"/>
                    <w:rPr>
                      <w:rFonts w:hAnsi="宋体"/>
                      <w:color w:val="auto"/>
                      <w:szCs w:val="21"/>
                    </w:rPr>
                  </w:pPr>
                  <w:r>
                    <w:rPr>
                      <w:rFonts w:hint="eastAsia" w:hAnsi="宋体"/>
                      <w:color w:val="auto"/>
                      <w:szCs w:val="21"/>
                    </w:rPr>
                    <w:t>1</w:t>
                  </w:r>
                </w:p>
              </w:tc>
              <w:tc>
                <w:tcPr>
                  <w:tcW w:w="3440" w:type="dxa"/>
                  <w:vAlign w:val="center"/>
                </w:tcPr>
                <w:p w14:paraId="733A0FD5">
                  <w:pPr>
                    <w:autoSpaceDE w:val="0"/>
                    <w:autoSpaceDN w:val="0"/>
                    <w:adjustRightInd w:val="0"/>
                    <w:spacing w:line="276" w:lineRule="auto"/>
                    <w:jc w:val="center"/>
                    <w:rPr>
                      <w:rFonts w:hAnsi="宋体"/>
                      <w:color w:val="auto"/>
                      <w:szCs w:val="21"/>
                      <w:shd w:val="clear" w:color="auto" w:fill="FFFFFF"/>
                    </w:rPr>
                  </w:pPr>
                  <w:r>
                    <w:rPr>
                      <w:rFonts w:hint="eastAsia" w:hAnsi="宋体"/>
                      <w:color w:val="auto"/>
                      <w:szCs w:val="21"/>
                      <w:shd w:val="clear" w:color="auto" w:fill="FFFFFF"/>
                    </w:rPr>
                    <w:t>暂存：</w:t>
                  </w:r>
                  <w:r>
                    <w:rPr>
                      <w:rFonts w:hAnsi="宋体"/>
                      <w:color w:val="auto"/>
                      <w:szCs w:val="21"/>
                      <w:shd w:val="clear" w:color="auto" w:fill="FFFFFF"/>
                    </w:rPr>
                    <w:t>VOCs</w:t>
                  </w:r>
                  <w:r>
                    <w:rPr>
                      <w:rFonts w:hint="eastAsia" w:hAnsi="宋体"/>
                      <w:color w:val="auto"/>
                      <w:szCs w:val="21"/>
                      <w:shd w:val="clear" w:color="auto" w:fill="FFFFFF"/>
                    </w:rPr>
                    <w:t>物料应储存于密闭的储罐、储库中。</w:t>
                  </w:r>
                  <w:r>
                    <w:rPr>
                      <w:rFonts w:hAnsi="宋体"/>
                      <w:color w:val="auto"/>
                      <w:szCs w:val="21"/>
                      <w:shd w:val="clear" w:color="auto" w:fill="FFFFFF"/>
                    </w:rPr>
                    <w:t>VOCs</w:t>
                  </w:r>
                  <w:r>
                    <w:rPr>
                      <w:rFonts w:hint="eastAsia" w:hAnsi="宋体"/>
                      <w:color w:val="auto"/>
                      <w:szCs w:val="21"/>
                      <w:shd w:val="clear" w:color="auto" w:fill="FFFFFF"/>
                    </w:rPr>
                    <w:t>物料储罐应密封良好，采用固定顶罐，排放的废气应收集处理，处理效率不低于</w:t>
                  </w:r>
                  <w:r>
                    <w:rPr>
                      <w:rFonts w:hAnsi="宋体"/>
                      <w:color w:val="auto"/>
                      <w:szCs w:val="21"/>
                      <w:shd w:val="clear" w:color="auto" w:fill="FFFFFF"/>
                    </w:rPr>
                    <w:t>90%</w:t>
                  </w:r>
                  <w:r>
                    <w:rPr>
                      <w:rFonts w:hint="eastAsia" w:hAnsi="宋体"/>
                      <w:color w:val="auto"/>
                      <w:szCs w:val="21"/>
                      <w:shd w:val="clear" w:color="auto" w:fill="FFFFFF"/>
                    </w:rPr>
                    <w:t>。</w:t>
                  </w:r>
                  <w:r>
                    <w:rPr>
                      <w:rFonts w:hAnsi="宋体"/>
                      <w:color w:val="auto"/>
                      <w:szCs w:val="21"/>
                      <w:shd w:val="clear" w:color="auto" w:fill="FFFFFF"/>
                    </w:rPr>
                    <w:t>VOCs</w:t>
                  </w:r>
                  <w:r>
                    <w:rPr>
                      <w:rFonts w:hint="eastAsia" w:hAnsi="宋体"/>
                      <w:color w:val="auto"/>
                      <w:szCs w:val="21"/>
                      <w:shd w:val="clear" w:color="auto" w:fill="FFFFFF"/>
                    </w:rPr>
                    <w:t>物料应利用完整的围护结构将污染物质与周围空间阻隔，该封闭区域除人员、车辆、设备、物料进出时随时保持关闭状态。</w:t>
                  </w:r>
                </w:p>
                <w:p w14:paraId="122F1154">
                  <w:pPr>
                    <w:spacing w:line="276" w:lineRule="auto"/>
                    <w:jc w:val="center"/>
                    <w:rPr>
                      <w:rFonts w:hAnsi="宋体"/>
                      <w:color w:val="auto"/>
                      <w:szCs w:val="21"/>
                    </w:rPr>
                  </w:pPr>
                  <w:r>
                    <w:rPr>
                      <w:rFonts w:hint="eastAsia" w:hAnsi="宋体"/>
                      <w:color w:val="auto"/>
                      <w:kern w:val="0"/>
                      <w:szCs w:val="21"/>
                      <w:shd w:val="clear" w:color="auto" w:fill="FFFFFF"/>
                    </w:rPr>
                    <w:t>盛装</w:t>
                  </w:r>
                  <w:r>
                    <w:rPr>
                      <w:rFonts w:hAnsi="宋体"/>
                      <w:color w:val="auto"/>
                      <w:kern w:val="0"/>
                      <w:szCs w:val="21"/>
                      <w:shd w:val="clear" w:color="auto" w:fill="FFFFFF"/>
                    </w:rPr>
                    <w:t>VOCs</w:t>
                  </w:r>
                  <w:r>
                    <w:rPr>
                      <w:rFonts w:hint="eastAsia" w:hAnsi="宋体"/>
                      <w:color w:val="auto"/>
                      <w:kern w:val="0"/>
                      <w:szCs w:val="21"/>
                      <w:shd w:val="clear" w:color="auto" w:fill="FFFFFF"/>
                    </w:rPr>
                    <w:t>物料的容器或包装袋应存放于室内，或存放于设置有雨棚、遮阳和防渗设施的专用场地。盛装</w:t>
                  </w:r>
                  <w:r>
                    <w:rPr>
                      <w:rFonts w:hAnsi="宋体"/>
                      <w:color w:val="auto"/>
                      <w:kern w:val="0"/>
                      <w:szCs w:val="21"/>
                      <w:shd w:val="clear" w:color="auto" w:fill="FFFFFF"/>
                    </w:rPr>
                    <w:t>VOCs</w:t>
                  </w:r>
                  <w:r>
                    <w:rPr>
                      <w:rFonts w:hint="eastAsia" w:hAnsi="宋体"/>
                      <w:color w:val="auto"/>
                      <w:kern w:val="0"/>
                      <w:szCs w:val="21"/>
                      <w:shd w:val="clear" w:color="auto" w:fill="FFFFFF"/>
                    </w:rPr>
                    <w:t>物料的容器或包装袋在非取用状态时应加盖、封口，保持密闭。</w:t>
                  </w:r>
                </w:p>
              </w:tc>
              <w:tc>
                <w:tcPr>
                  <w:tcW w:w="3102" w:type="dxa"/>
                  <w:vAlign w:val="center"/>
                </w:tcPr>
                <w:p w14:paraId="24D6964E">
                  <w:pPr>
                    <w:spacing w:line="276" w:lineRule="auto"/>
                    <w:jc w:val="center"/>
                    <w:rPr>
                      <w:rFonts w:hAnsi="宋体"/>
                      <w:color w:val="auto"/>
                      <w:szCs w:val="21"/>
                    </w:rPr>
                  </w:pPr>
                  <w:r>
                    <w:rPr>
                      <w:rFonts w:hAnsi="宋体"/>
                      <w:color w:val="auto"/>
                      <w:szCs w:val="21"/>
                    </w:rPr>
                    <w:t>本项目水性漆等物料采取密闭桶装，储存于</w:t>
                  </w:r>
                  <w:r>
                    <w:rPr>
                      <w:rFonts w:hint="eastAsia" w:hAnsi="宋体"/>
                      <w:color w:val="auto"/>
                      <w:szCs w:val="21"/>
                    </w:rPr>
                    <w:t>原料</w:t>
                  </w:r>
                  <w:r>
                    <w:rPr>
                      <w:rFonts w:hAnsi="宋体"/>
                      <w:color w:val="auto"/>
                      <w:szCs w:val="21"/>
                    </w:rPr>
                    <w:t>库</w:t>
                  </w:r>
                  <w:r>
                    <w:rPr>
                      <w:rFonts w:hint="eastAsia" w:hAnsi="宋体"/>
                      <w:color w:val="auto"/>
                      <w:szCs w:val="21"/>
                    </w:rPr>
                    <w:t>2</w:t>
                  </w:r>
                  <w:r>
                    <w:rPr>
                      <w:rFonts w:hAnsi="宋体"/>
                      <w:color w:val="auto"/>
                      <w:szCs w:val="21"/>
                    </w:rPr>
                    <w:t>内；本评价要求所有盛装</w:t>
                  </w:r>
                  <w:r>
                    <w:rPr>
                      <w:rFonts w:hint="eastAsia" w:hAnsi="宋体"/>
                      <w:color w:val="auto"/>
                      <w:szCs w:val="21"/>
                    </w:rPr>
                    <w:t>VOCs物料的容器在非取用状态时应加盖、封口，保持密闭。</w:t>
                  </w:r>
                </w:p>
              </w:tc>
              <w:tc>
                <w:tcPr>
                  <w:tcW w:w="924" w:type="dxa"/>
                  <w:vAlign w:val="center"/>
                </w:tcPr>
                <w:p w14:paraId="56CE2B90">
                  <w:pPr>
                    <w:spacing w:line="276" w:lineRule="auto"/>
                    <w:jc w:val="center"/>
                    <w:rPr>
                      <w:rFonts w:hAnsi="宋体"/>
                      <w:color w:val="auto"/>
                      <w:szCs w:val="21"/>
                    </w:rPr>
                  </w:pPr>
                  <w:r>
                    <w:rPr>
                      <w:rFonts w:hint="eastAsia" w:hAnsi="宋体"/>
                      <w:color w:val="auto"/>
                      <w:szCs w:val="21"/>
                    </w:rPr>
                    <w:t>符合</w:t>
                  </w:r>
                </w:p>
              </w:tc>
            </w:tr>
            <w:tr w14:paraId="1B12252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587" w:type="dxa"/>
                  <w:vAlign w:val="center"/>
                </w:tcPr>
                <w:p w14:paraId="214A9282">
                  <w:pPr>
                    <w:spacing w:line="276" w:lineRule="auto"/>
                    <w:jc w:val="center"/>
                    <w:rPr>
                      <w:rFonts w:hAnsi="宋体"/>
                      <w:color w:val="auto"/>
                      <w:szCs w:val="21"/>
                    </w:rPr>
                  </w:pPr>
                  <w:r>
                    <w:rPr>
                      <w:rFonts w:hint="eastAsia" w:hAnsi="宋体"/>
                      <w:color w:val="auto"/>
                      <w:szCs w:val="21"/>
                    </w:rPr>
                    <w:t>2</w:t>
                  </w:r>
                </w:p>
              </w:tc>
              <w:tc>
                <w:tcPr>
                  <w:tcW w:w="3440" w:type="dxa"/>
                  <w:vAlign w:val="center"/>
                </w:tcPr>
                <w:p w14:paraId="7DBF5C62">
                  <w:pPr>
                    <w:autoSpaceDE w:val="0"/>
                    <w:autoSpaceDN w:val="0"/>
                    <w:adjustRightInd w:val="0"/>
                    <w:spacing w:line="276" w:lineRule="auto"/>
                    <w:jc w:val="center"/>
                    <w:rPr>
                      <w:rFonts w:hAnsi="宋体"/>
                      <w:color w:val="auto"/>
                      <w:szCs w:val="21"/>
                    </w:rPr>
                  </w:pPr>
                  <w:r>
                    <w:rPr>
                      <w:rFonts w:hint="eastAsia" w:hAnsi="宋体"/>
                      <w:color w:val="auto"/>
                      <w:szCs w:val="21"/>
                      <w:shd w:val="clear" w:color="auto" w:fill="FFFFFF"/>
                    </w:rPr>
                    <w:t>生产：</w:t>
                  </w:r>
                  <w:r>
                    <w:rPr>
                      <w:rFonts w:hAnsi="宋体"/>
                      <w:color w:val="auto"/>
                      <w:szCs w:val="21"/>
                      <w:shd w:val="clear" w:color="auto" w:fill="FFFFFF"/>
                    </w:rPr>
                    <w:t>VOCs</w:t>
                  </w:r>
                  <w:r>
                    <w:rPr>
                      <w:rFonts w:hint="eastAsia" w:hAnsi="宋体"/>
                      <w:color w:val="auto"/>
                      <w:szCs w:val="21"/>
                      <w:shd w:val="clear" w:color="auto" w:fill="FFFFFF"/>
                    </w:rPr>
                    <w:t>质量占比大于等于</w:t>
                  </w:r>
                  <w:r>
                    <w:rPr>
                      <w:rFonts w:hAnsi="宋体"/>
                      <w:color w:val="auto"/>
                      <w:szCs w:val="21"/>
                      <w:shd w:val="clear" w:color="auto" w:fill="FFFFFF"/>
                    </w:rPr>
                    <w:t>10%</w:t>
                  </w:r>
                  <w:r>
                    <w:rPr>
                      <w:rFonts w:hint="eastAsia" w:hAnsi="宋体"/>
                      <w:color w:val="auto"/>
                      <w:szCs w:val="21"/>
                      <w:shd w:val="clear" w:color="auto" w:fill="FFFFFF"/>
                    </w:rPr>
                    <w:t>的含</w:t>
                  </w:r>
                  <w:r>
                    <w:rPr>
                      <w:rFonts w:hAnsi="宋体"/>
                      <w:color w:val="auto"/>
                      <w:szCs w:val="21"/>
                      <w:shd w:val="clear" w:color="auto" w:fill="FFFFFF"/>
                    </w:rPr>
                    <w:t>VOCs</w:t>
                  </w:r>
                  <w:r>
                    <w:rPr>
                      <w:rFonts w:hint="eastAsia" w:hAnsi="宋体"/>
                      <w:color w:val="auto"/>
                      <w:szCs w:val="21"/>
                      <w:shd w:val="clear" w:color="auto" w:fill="FFFFFF"/>
                    </w:rPr>
                    <w:t>产品，其使用过程中应采用密闭设备或在密闭空间内操作，废气应排至</w:t>
                  </w:r>
                  <w:r>
                    <w:rPr>
                      <w:rFonts w:hAnsi="宋体"/>
                      <w:color w:val="auto"/>
                      <w:szCs w:val="21"/>
                      <w:shd w:val="clear" w:color="auto" w:fill="FFFFFF"/>
                    </w:rPr>
                    <w:t>VOCs</w:t>
                  </w:r>
                  <w:r>
                    <w:rPr>
                      <w:rFonts w:hint="eastAsia" w:hAnsi="宋体"/>
                      <w:color w:val="auto"/>
                      <w:szCs w:val="21"/>
                      <w:shd w:val="clear" w:color="auto" w:fill="FFFFFF"/>
                    </w:rPr>
                    <w:t>废气收集处理系统；无法密闭的，应采取局部气体收集措施，废气应排至</w:t>
                  </w:r>
                  <w:r>
                    <w:rPr>
                      <w:rFonts w:hAnsi="宋体"/>
                      <w:color w:val="auto"/>
                      <w:szCs w:val="21"/>
                      <w:shd w:val="clear" w:color="auto" w:fill="FFFFFF"/>
                    </w:rPr>
                    <w:t>VOCs</w:t>
                  </w:r>
                  <w:r>
                    <w:rPr>
                      <w:rFonts w:hint="eastAsia" w:hAnsi="宋体"/>
                      <w:color w:val="auto"/>
                      <w:szCs w:val="21"/>
                      <w:shd w:val="clear" w:color="auto" w:fill="FFFFFF"/>
                    </w:rPr>
                    <w:t>废气收集处理系统。含</w:t>
                  </w:r>
                  <w:r>
                    <w:rPr>
                      <w:rFonts w:hAnsi="宋体"/>
                      <w:color w:val="auto"/>
                      <w:szCs w:val="21"/>
                      <w:shd w:val="clear" w:color="auto" w:fill="FFFFFF"/>
                    </w:rPr>
                    <w:t>VOCs</w:t>
                  </w:r>
                  <w:r>
                    <w:rPr>
                      <w:rFonts w:hint="eastAsia" w:hAnsi="宋体"/>
                      <w:color w:val="auto"/>
                      <w:szCs w:val="21"/>
                      <w:shd w:val="clear" w:color="auto" w:fill="FFFFFF"/>
                    </w:rPr>
                    <w:t>产品的使用过程包括但不限于以下作业：</w:t>
                  </w:r>
                  <w:r>
                    <w:rPr>
                      <w:rFonts w:hAnsi="宋体"/>
                      <w:color w:val="auto"/>
                      <w:szCs w:val="21"/>
                      <w:shd w:val="clear" w:color="auto" w:fill="FFFFFF"/>
                    </w:rPr>
                    <w:t>a</w:t>
                  </w:r>
                  <w:r>
                    <w:rPr>
                      <w:rFonts w:hint="eastAsia" w:hAnsi="宋体"/>
                      <w:color w:val="auto"/>
                      <w:szCs w:val="21"/>
                      <w:shd w:val="clear" w:color="auto" w:fill="FFFFFF"/>
                    </w:rPr>
                    <w:t>）调配（混合、搅拌等）；</w:t>
                  </w:r>
                  <w:r>
                    <w:rPr>
                      <w:rFonts w:hAnsi="宋体"/>
                      <w:color w:val="auto"/>
                      <w:kern w:val="0"/>
                      <w:szCs w:val="21"/>
                      <w:shd w:val="clear" w:color="auto" w:fill="FFFFFF"/>
                    </w:rPr>
                    <w:t>b</w:t>
                  </w:r>
                  <w:r>
                    <w:rPr>
                      <w:rFonts w:hint="eastAsia" w:hAnsi="宋体"/>
                      <w:color w:val="auto"/>
                      <w:kern w:val="0"/>
                      <w:szCs w:val="21"/>
                      <w:shd w:val="clear" w:color="auto" w:fill="FFFFFF"/>
                    </w:rPr>
                    <w:t>）涂装（喷涂、浸涂、淋涂、辊涂、刷涂、涂布等）。</w:t>
                  </w:r>
                </w:p>
              </w:tc>
              <w:tc>
                <w:tcPr>
                  <w:tcW w:w="3102" w:type="dxa"/>
                  <w:vAlign w:val="center"/>
                </w:tcPr>
                <w:p w14:paraId="50B4020A">
                  <w:pPr>
                    <w:spacing w:line="276" w:lineRule="auto"/>
                    <w:jc w:val="center"/>
                    <w:rPr>
                      <w:rFonts w:hAnsi="宋体"/>
                      <w:color w:val="auto"/>
                      <w:szCs w:val="21"/>
                    </w:rPr>
                  </w:pPr>
                  <w:r>
                    <w:rPr>
                      <w:rFonts w:hint="eastAsia" w:hAnsi="宋体"/>
                      <w:color w:val="auto"/>
                      <w:szCs w:val="21"/>
                    </w:rPr>
                    <w:t>本项目生产喷涂工序使用水性漆作为喷涂原料，</w:t>
                  </w:r>
                  <w:r>
                    <w:rPr>
                      <w:color w:val="auto"/>
                      <w:kern w:val="0"/>
                      <w:szCs w:val="21"/>
                    </w:rPr>
                    <w:t>水性漆</w:t>
                  </w:r>
                  <w:r>
                    <w:rPr>
                      <w:rFonts w:hint="eastAsia" w:hAnsi="宋体"/>
                      <w:color w:val="auto"/>
                      <w:szCs w:val="21"/>
                    </w:rPr>
                    <w:t>属于</w:t>
                  </w:r>
                  <w:r>
                    <w:rPr>
                      <w:rFonts w:hAnsi="宋体"/>
                      <w:color w:val="auto"/>
                      <w:szCs w:val="21"/>
                      <w:shd w:val="clear" w:color="auto" w:fill="FFFFFF"/>
                    </w:rPr>
                    <w:t>VOCs</w:t>
                  </w:r>
                  <w:r>
                    <w:rPr>
                      <w:rFonts w:hint="eastAsia" w:hAnsi="宋体"/>
                      <w:color w:val="auto"/>
                      <w:szCs w:val="21"/>
                      <w:shd w:val="clear" w:color="auto" w:fill="FFFFFF"/>
                    </w:rPr>
                    <w:t>质量占</w:t>
                  </w:r>
                  <w:r>
                    <w:rPr>
                      <w:color w:val="auto"/>
                      <w:szCs w:val="21"/>
                      <w:shd w:val="clear" w:color="auto" w:fill="FFFFFF"/>
                    </w:rPr>
                    <w:t>比</w:t>
                  </w:r>
                  <w:r>
                    <w:rPr>
                      <w:rFonts w:hint="eastAsia"/>
                      <w:color w:val="auto"/>
                      <w:szCs w:val="21"/>
                      <w:shd w:val="clear" w:color="auto" w:fill="FFFFFF"/>
                    </w:rPr>
                    <w:t>大于</w:t>
                  </w:r>
                  <w:r>
                    <w:rPr>
                      <w:color w:val="auto"/>
                      <w:szCs w:val="21"/>
                      <w:shd w:val="clear" w:color="auto" w:fill="FFFFFF"/>
                    </w:rPr>
                    <w:t>10%、小于50%的含VOCs产</w:t>
                  </w:r>
                  <w:r>
                    <w:rPr>
                      <w:rFonts w:hint="eastAsia" w:hAnsi="宋体"/>
                      <w:color w:val="auto"/>
                      <w:szCs w:val="21"/>
                      <w:shd w:val="clear" w:color="auto" w:fill="FFFFFF"/>
                    </w:rPr>
                    <w:t>品</w:t>
                  </w:r>
                  <w:r>
                    <w:rPr>
                      <w:rFonts w:hint="eastAsia" w:hAnsi="宋体"/>
                      <w:color w:val="auto"/>
                      <w:szCs w:val="21"/>
                    </w:rPr>
                    <w:t>，</w:t>
                  </w:r>
                  <w:r>
                    <w:rPr>
                      <w:rFonts w:hint="eastAsia" w:hAnsi="宋体"/>
                      <w:color w:val="auto"/>
                      <w:szCs w:val="21"/>
                      <w:shd w:val="clear" w:color="auto" w:fill="FFFFFF"/>
                    </w:rPr>
                    <w:t>喷涂装置无法密闭，对喷涂时产生的喷涂废气</w:t>
                  </w:r>
                  <w:r>
                    <w:rPr>
                      <w:rFonts w:hint="eastAsia" w:hAnsi="宋体"/>
                      <w:color w:val="auto"/>
                      <w:szCs w:val="21"/>
                    </w:rPr>
                    <w:t>采取局部气体收集措施：喷涂废气经</w:t>
                  </w:r>
                  <w:r>
                    <w:rPr>
                      <w:color w:val="auto"/>
                      <w:kern w:val="0"/>
                      <w:szCs w:val="21"/>
                    </w:rPr>
                    <w:t>集气罩收集后排至“两级活性炭吸附装置”处理达标后排放</w:t>
                  </w:r>
                  <w:r>
                    <w:rPr>
                      <w:rFonts w:hint="eastAsia"/>
                      <w:color w:val="auto"/>
                      <w:kern w:val="0"/>
                      <w:szCs w:val="21"/>
                    </w:rPr>
                    <w:t>。</w:t>
                  </w:r>
                </w:p>
              </w:tc>
              <w:tc>
                <w:tcPr>
                  <w:tcW w:w="924" w:type="dxa"/>
                  <w:vAlign w:val="center"/>
                </w:tcPr>
                <w:p w14:paraId="4D130059">
                  <w:pPr>
                    <w:spacing w:line="276" w:lineRule="auto"/>
                    <w:jc w:val="center"/>
                    <w:rPr>
                      <w:rFonts w:hAnsi="宋体"/>
                      <w:color w:val="auto"/>
                      <w:szCs w:val="21"/>
                    </w:rPr>
                  </w:pPr>
                  <w:r>
                    <w:rPr>
                      <w:rFonts w:hint="eastAsia" w:hAnsi="宋体"/>
                      <w:color w:val="auto"/>
                      <w:szCs w:val="21"/>
                    </w:rPr>
                    <w:t>符合</w:t>
                  </w:r>
                </w:p>
              </w:tc>
            </w:tr>
            <w:tr w14:paraId="1B216C8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587" w:type="dxa"/>
                  <w:vAlign w:val="center"/>
                </w:tcPr>
                <w:p w14:paraId="57E94F0A">
                  <w:pPr>
                    <w:spacing w:line="276" w:lineRule="auto"/>
                    <w:jc w:val="center"/>
                    <w:rPr>
                      <w:rFonts w:hAnsi="宋体"/>
                      <w:color w:val="auto"/>
                      <w:szCs w:val="21"/>
                    </w:rPr>
                  </w:pPr>
                  <w:r>
                    <w:rPr>
                      <w:rFonts w:hint="eastAsia" w:hAnsi="宋体"/>
                      <w:color w:val="auto"/>
                      <w:szCs w:val="21"/>
                    </w:rPr>
                    <w:t>3</w:t>
                  </w:r>
                </w:p>
              </w:tc>
              <w:tc>
                <w:tcPr>
                  <w:tcW w:w="3440" w:type="dxa"/>
                  <w:vAlign w:val="center"/>
                </w:tcPr>
                <w:p w14:paraId="67C8DF4F">
                  <w:pPr>
                    <w:spacing w:line="276" w:lineRule="auto"/>
                    <w:jc w:val="center"/>
                    <w:rPr>
                      <w:rFonts w:hAnsi="宋体"/>
                      <w:color w:val="auto"/>
                      <w:szCs w:val="21"/>
                    </w:rPr>
                  </w:pPr>
                  <w:r>
                    <w:rPr>
                      <w:rFonts w:hint="eastAsia" w:hAnsi="宋体"/>
                      <w:color w:val="auto"/>
                      <w:kern w:val="0"/>
                      <w:szCs w:val="21"/>
                      <w:shd w:val="clear" w:color="auto" w:fill="FFFFFF"/>
                    </w:rPr>
                    <w:t>企业应建立台账，记录含</w:t>
                  </w:r>
                  <w:r>
                    <w:rPr>
                      <w:rFonts w:hAnsi="宋体"/>
                      <w:color w:val="auto"/>
                      <w:kern w:val="0"/>
                      <w:szCs w:val="21"/>
                      <w:shd w:val="clear" w:color="auto" w:fill="FFFFFF"/>
                    </w:rPr>
                    <w:t>VOCs</w:t>
                  </w:r>
                  <w:r>
                    <w:rPr>
                      <w:rFonts w:hint="eastAsia" w:hAnsi="宋体"/>
                      <w:color w:val="auto"/>
                      <w:kern w:val="0"/>
                      <w:szCs w:val="21"/>
                      <w:shd w:val="clear" w:color="auto" w:fill="FFFFFF"/>
                    </w:rPr>
                    <w:t>原辅材料和含</w:t>
                  </w:r>
                  <w:r>
                    <w:rPr>
                      <w:rFonts w:hAnsi="宋体"/>
                      <w:color w:val="auto"/>
                      <w:kern w:val="0"/>
                      <w:szCs w:val="21"/>
                      <w:shd w:val="clear" w:color="auto" w:fill="FFFFFF"/>
                    </w:rPr>
                    <w:t>VOCs</w:t>
                  </w:r>
                  <w:r>
                    <w:rPr>
                      <w:rFonts w:hint="eastAsia" w:hAnsi="宋体"/>
                      <w:color w:val="auto"/>
                      <w:kern w:val="0"/>
                      <w:szCs w:val="21"/>
                      <w:shd w:val="clear" w:color="auto" w:fill="FFFFFF"/>
                    </w:rPr>
                    <w:t>产品的名称、使用量、回收量、废弃量、去向以及</w:t>
                  </w:r>
                  <w:r>
                    <w:rPr>
                      <w:rFonts w:hAnsi="宋体"/>
                      <w:color w:val="auto"/>
                      <w:kern w:val="0"/>
                      <w:szCs w:val="21"/>
                      <w:shd w:val="clear" w:color="auto" w:fill="FFFFFF"/>
                    </w:rPr>
                    <w:t>VOCs</w:t>
                  </w:r>
                  <w:r>
                    <w:rPr>
                      <w:rFonts w:hint="eastAsia" w:hAnsi="宋体"/>
                      <w:color w:val="auto"/>
                      <w:kern w:val="0"/>
                      <w:szCs w:val="21"/>
                      <w:shd w:val="clear" w:color="auto" w:fill="FFFFFF"/>
                    </w:rPr>
                    <w:t>含量等信息。台账保存期限不少于</w:t>
                  </w:r>
                  <w:r>
                    <w:rPr>
                      <w:rFonts w:hAnsi="宋体"/>
                      <w:color w:val="auto"/>
                      <w:kern w:val="0"/>
                      <w:szCs w:val="21"/>
                      <w:shd w:val="clear" w:color="auto" w:fill="FFFFFF"/>
                    </w:rPr>
                    <w:t>3</w:t>
                  </w:r>
                  <w:r>
                    <w:rPr>
                      <w:rFonts w:hint="eastAsia" w:hAnsi="宋体"/>
                      <w:color w:val="auto"/>
                      <w:kern w:val="0"/>
                      <w:szCs w:val="21"/>
                      <w:shd w:val="clear" w:color="auto" w:fill="FFFFFF"/>
                    </w:rPr>
                    <w:t>年。</w:t>
                  </w:r>
                </w:p>
              </w:tc>
              <w:tc>
                <w:tcPr>
                  <w:tcW w:w="3102" w:type="dxa"/>
                  <w:vAlign w:val="center"/>
                </w:tcPr>
                <w:p w14:paraId="26FE4CFC">
                  <w:pPr>
                    <w:spacing w:line="276" w:lineRule="auto"/>
                    <w:jc w:val="center"/>
                    <w:rPr>
                      <w:rFonts w:hAnsi="宋体"/>
                      <w:color w:val="auto"/>
                      <w:szCs w:val="21"/>
                    </w:rPr>
                  </w:pPr>
                  <w:r>
                    <w:rPr>
                      <w:rFonts w:hint="eastAsia" w:hAnsi="宋体"/>
                      <w:color w:val="auto"/>
                      <w:szCs w:val="21"/>
                    </w:rPr>
                    <w:t>本评价要求企业水性漆等原辅材料进出库均设置台账记录；废包装桶</w:t>
                  </w:r>
                  <w:r>
                    <w:rPr>
                      <w:rFonts w:hint="eastAsia"/>
                      <w:color w:val="auto"/>
                    </w:rPr>
                    <w:t>、废漆料、废活性炭等危险废物进出库也需设置台账记录，</w:t>
                  </w:r>
                  <w:r>
                    <w:rPr>
                      <w:rFonts w:hint="eastAsia"/>
                      <w:color w:val="auto"/>
                      <w:kern w:val="0"/>
                      <w:szCs w:val="21"/>
                    </w:rPr>
                    <w:t>台账保存期限不少于</w:t>
                  </w:r>
                  <w:r>
                    <w:rPr>
                      <w:color w:val="auto"/>
                      <w:kern w:val="0"/>
                      <w:szCs w:val="21"/>
                    </w:rPr>
                    <w:t>3</w:t>
                  </w:r>
                  <w:r>
                    <w:rPr>
                      <w:rFonts w:hint="eastAsia"/>
                      <w:color w:val="auto"/>
                      <w:kern w:val="0"/>
                      <w:szCs w:val="21"/>
                    </w:rPr>
                    <w:t>年。</w:t>
                  </w:r>
                </w:p>
              </w:tc>
              <w:tc>
                <w:tcPr>
                  <w:tcW w:w="924" w:type="dxa"/>
                  <w:vAlign w:val="center"/>
                </w:tcPr>
                <w:p w14:paraId="67250602">
                  <w:pPr>
                    <w:spacing w:line="276" w:lineRule="auto"/>
                    <w:jc w:val="center"/>
                    <w:rPr>
                      <w:rFonts w:hAnsi="宋体"/>
                      <w:color w:val="auto"/>
                      <w:szCs w:val="21"/>
                    </w:rPr>
                  </w:pPr>
                  <w:r>
                    <w:rPr>
                      <w:rFonts w:hint="eastAsia" w:hAnsi="宋体"/>
                      <w:color w:val="auto"/>
                      <w:szCs w:val="21"/>
                    </w:rPr>
                    <w:t>符合</w:t>
                  </w:r>
                </w:p>
              </w:tc>
            </w:tr>
          </w:tbl>
          <w:p w14:paraId="1D4B9075">
            <w:pPr>
              <w:spacing w:line="360" w:lineRule="auto"/>
              <w:ind w:firstLine="480" w:firstLineChars="200"/>
              <w:rPr>
                <w:rFonts w:hAnsi="宋体"/>
                <w:color w:val="auto"/>
                <w:sz w:val="24"/>
              </w:rPr>
            </w:pPr>
            <w:r>
              <w:rPr>
                <w:rFonts w:hint="eastAsia" w:hAnsi="宋体"/>
                <w:color w:val="auto"/>
                <w:sz w:val="24"/>
              </w:rPr>
              <w:t>（3）与《淮南市大气环境质量限期达标规划》的相符性分析</w:t>
            </w:r>
          </w:p>
          <w:p w14:paraId="56BC2104">
            <w:pPr>
              <w:autoSpaceDE w:val="0"/>
              <w:autoSpaceDN w:val="0"/>
              <w:adjustRightInd w:val="0"/>
              <w:snapToGrid w:val="0"/>
              <w:spacing w:line="360" w:lineRule="auto"/>
              <w:jc w:val="center"/>
              <w:rPr>
                <w:rFonts w:hAnsi="黑体" w:eastAsia="黑体"/>
                <w:color w:val="auto"/>
                <w:szCs w:val="21"/>
              </w:rPr>
            </w:pPr>
            <w:r>
              <w:rPr>
                <w:rFonts w:hint="eastAsia" w:hAnsi="黑体" w:eastAsia="黑体"/>
                <w:color w:val="auto"/>
                <w:sz w:val="24"/>
                <w:szCs w:val="24"/>
              </w:rPr>
              <w:t>表4</w:t>
            </w:r>
            <w:r>
              <w:rPr>
                <w:rFonts w:hAnsi="黑体" w:eastAsia="黑体"/>
                <w:color w:val="auto"/>
                <w:sz w:val="24"/>
                <w:szCs w:val="24"/>
              </w:rPr>
              <w:t xml:space="preserve">  </w:t>
            </w:r>
            <w:r>
              <w:rPr>
                <w:rFonts w:hint="eastAsia" w:hAnsi="黑体" w:eastAsia="黑体"/>
                <w:color w:val="auto"/>
                <w:sz w:val="24"/>
                <w:szCs w:val="24"/>
              </w:rPr>
              <w:t>与《淮南市大气环境质量限期达标规划》相符性分析</w:t>
            </w:r>
          </w:p>
          <w:tbl>
            <w:tblPr>
              <w:tblStyle w:val="3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720"/>
              <w:gridCol w:w="2978"/>
              <w:gridCol w:w="945"/>
            </w:tblGrid>
            <w:tr w14:paraId="6AFB00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34" w:type="pct"/>
                  <w:vAlign w:val="center"/>
                </w:tcPr>
                <w:p w14:paraId="6C2BB031">
                  <w:pPr>
                    <w:spacing w:line="276" w:lineRule="auto"/>
                    <w:jc w:val="center"/>
                    <w:rPr>
                      <w:b/>
                      <w:color w:val="auto"/>
                      <w:szCs w:val="21"/>
                    </w:rPr>
                  </w:pPr>
                  <w:r>
                    <w:rPr>
                      <w:b/>
                      <w:color w:val="auto"/>
                      <w:szCs w:val="21"/>
                    </w:rPr>
                    <w:t>相关规范情况</w:t>
                  </w:r>
                </w:p>
              </w:tc>
              <w:tc>
                <w:tcPr>
                  <w:tcW w:w="1948" w:type="pct"/>
                  <w:vAlign w:val="center"/>
                </w:tcPr>
                <w:p w14:paraId="5F21CEB5">
                  <w:pPr>
                    <w:spacing w:line="276" w:lineRule="auto"/>
                    <w:jc w:val="center"/>
                    <w:rPr>
                      <w:b/>
                      <w:color w:val="auto"/>
                      <w:szCs w:val="21"/>
                    </w:rPr>
                  </w:pPr>
                  <w:r>
                    <w:rPr>
                      <w:b/>
                      <w:color w:val="auto"/>
                      <w:szCs w:val="21"/>
                    </w:rPr>
                    <w:t>建设项目情况</w:t>
                  </w:r>
                </w:p>
              </w:tc>
              <w:tc>
                <w:tcPr>
                  <w:tcW w:w="619" w:type="pct"/>
                  <w:vAlign w:val="center"/>
                </w:tcPr>
                <w:p w14:paraId="1090823C">
                  <w:pPr>
                    <w:spacing w:line="276" w:lineRule="auto"/>
                    <w:jc w:val="center"/>
                    <w:rPr>
                      <w:b/>
                      <w:color w:val="auto"/>
                      <w:szCs w:val="21"/>
                    </w:rPr>
                  </w:pPr>
                  <w:r>
                    <w:rPr>
                      <w:b/>
                      <w:color w:val="auto"/>
                      <w:szCs w:val="21"/>
                    </w:rPr>
                    <w:t>是否符合</w:t>
                  </w:r>
                </w:p>
              </w:tc>
            </w:tr>
            <w:tr w14:paraId="0AE1E9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34" w:type="pct"/>
                  <w:vAlign w:val="center"/>
                </w:tcPr>
                <w:p w14:paraId="16650957">
                  <w:pPr>
                    <w:spacing w:line="276" w:lineRule="auto"/>
                    <w:jc w:val="center"/>
                    <w:rPr>
                      <w:rFonts w:eastAsiaTheme="minorEastAsia"/>
                      <w:color w:val="auto"/>
                    </w:rPr>
                  </w:pPr>
                  <w:r>
                    <w:rPr>
                      <w:rFonts w:eastAsiaTheme="minorEastAsia"/>
                      <w:color w:val="auto"/>
                    </w:rPr>
                    <w:t>严格执行国家和省高耗能、高污染和资源型行业准入条件。严控“两高”行业产能，原则上禁止新建、扩建单纯新增产能的钢铁、水泥、平板玻璃、铸造等产能过剩的传统产业项目严格执行钢铁、水泥熟料、平板玻璃、化工等行业产能置换实施办法。原则上不得新建热电联产、天然气化工和未纳入国家规划的煤化工等项目。严格控制燃煤项目，强化新建燃煤项目审批管理，限制高污染高耗能项目落地，新改扩建耗煤项目严格执行安徽省煤炭消费减量替代制度，并且排污强度、能效和碳排放水平达到国内先进水平。</w:t>
                  </w:r>
                </w:p>
              </w:tc>
              <w:tc>
                <w:tcPr>
                  <w:tcW w:w="1948" w:type="pct"/>
                  <w:vAlign w:val="center"/>
                </w:tcPr>
                <w:p w14:paraId="77C46D40">
                  <w:pPr>
                    <w:spacing w:line="276" w:lineRule="auto"/>
                    <w:jc w:val="center"/>
                    <w:rPr>
                      <w:rFonts w:eastAsiaTheme="minorEastAsia"/>
                      <w:color w:val="auto"/>
                    </w:rPr>
                  </w:pPr>
                  <w:r>
                    <w:rPr>
                      <w:rFonts w:eastAsiaTheme="minorEastAsia"/>
                      <w:color w:val="auto"/>
                      <w:szCs w:val="21"/>
                    </w:rPr>
                    <w:t>本项目属于C30</w:t>
                  </w:r>
                  <w:r>
                    <w:rPr>
                      <w:rFonts w:hint="eastAsia" w:eastAsiaTheme="minorEastAsia"/>
                      <w:color w:val="auto"/>
                      <w:szCs w:val="21"/>
                    </w:rPr>
                    <w:t>54</w:t>
                  </w:r>
                  <w:r>
                    <w:rPr>
                      <w:rFonts w:eastAsiaTheme="minorEastAsia"/>
                      <w:color w:val="auto"/>
                      <w:szCs w:val="21"/>
                    </w:rPr>
                    <w:t>日用玻璃制品制造，对照《产业结构调整指导目录（2024年本）》，本项目不属于限制类或淘汰类项目，视为允许建设项目，本项目建设符合国家产业政策要求；对照《安徽</w:t>
                  </w:r>
                  <w:r>
                    <w:rPr>
                      <w:rFonts w:ascii="宋体" w:hAnsi="宋体"/>
                      <w:color w:val="auto"/>
                      <w:szCs w:val="21"/>
                    </w:rPr>
                    <w:t>省“两高”项</w:t>
                  </w:r>
                  <w:r>
                    <w:rPr>
                      <w:rFonts w:eastAsiaTheme="minorEastAsia"/>
                      <w:color w:val="auto"/>
                      <w:szCs w:val="21"/>
                    </w:rPr>
                    <w:t>目管理目录（试行）》，本项目不属于高耗能、高排放项目；本项目不属于</w:t>
                  </w:r>
                  <w:r>
                    <w:rPr>
                      <w:rFonts w:eastAsiaTheme="minorEastAsia"/>
                      <w:color w:val="auto"/>
                    </w:rPr>
                    <w:t>钢铁、水泥、平板玻璃、铸造等产能过剩的传统产业。</w:t>
                  </w:r>
                </w:p>
              </w:tc>
              <w:tc>
                <w:tcPr>
                  <w:tcW w:w="619" w:type="pct"/>
                  <w:vAlign w:val="center"/>
                </w:tcPr>
                <w:p w14:paraId="02101CCD">
                  <w:pPr>
                    <w:spacing w:line="276" w:lineRule="auto"/>
                    <w:jc w:val="center"/>
                    <w:rPr>
                      <w:rFonts w:hAnsiTheme="minorHAnsi" w:eastAsiaTheme="minorEastAsia"/>
                      <w:color w:val="auto"/>
                    </w:rPr>
                  </w:pPr>
                  <w:r>
                    <w:rPr>
                      <w:rFonts w:hAnsiTheme="minorHAnsi" w:eastAsiaTheme="minorEastAsia"/>
                      <w:color w:val="auto"/>
                    </w:rPr>
                    <w:t>符合</w:t>
                  </w:r>
                </w:p>
              </w:tc>
            </w:tr>
            <w:tr w14:paraId="375D2B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34" w:type="pct"/>
                  <w:vAlign w:val="center"/>
                </w:tcPr>
                <w:p w14:paraId="6EFEF360">
                  <w:pPr>
                    <w:spacing w:line="276" w:lineRule="auto"/>
                    <w:jc w:val="center"/>
                    <w:rPr>
                      <w:rFonts w:eastAsiaTheme="minorEastAsia"/>
                      <w:color w:val="auto"/>
                    </w:rPr>
                  </w:pPr>
                  <w:r>
                    <w:rPr>
                      <w:rFonts w:eastAsiaTheme="minorEastAsia"/>
                      <w:color w:val="auto"/>
                    </w:rPr>
                    <w:t>持续推进落后产能淘汰工作。落实国家修订的《产业结构调整指导目录》，关停退出环保、能耗、安全、质量技术等方面不达标、不合格产品。同时，鼓励引导“限制类”生产工艺装备和产品逐步退出。重点对水泥、砖瓦、铸造、化工等重点行业过剩产能逐渐淘汰，加快淘汰落后产能和不达标工业炉窑。制定工作方案，明确重点任务、时间节点、工作措施和责任部门</w:t>
                  </w:r>
                </w:p>
              </w:tc>
              <w:tc>
                <w:tcPr>
                  <w:tcW w:w="1948" w:type="pct"/>
                  <w:vAlign w:val="center"/>
                </w:tcPr>
                <w:p w14:paraId="49726774">
                  <w:pPr>
                    <w:spacing w:line="276" w:lineRule="auto"/>
                    <w:jc w:val="center"/>
                    <w:rPr>
                      <w:rFonts w:eastAsiaTheme="minorEastAsia"/>
                      <w:color w:val="auto"/>
                    </w:rPr>
                  </w:pPr>
                  <w:r>
                    <w:rPr>
                      <w:rFonts w:eastAsiaTheme="minorEastAsia"/>
                      <w:color w:val="auto"/>
                      <w:szCs w:val="21"/>
                    </w:rPr>
                    <w:t>对照《产业结构调整指导目录（2024年本）》，本项目不属于限制类或淘汰类项目，视为允许建设项目；本项目不属于产能过剩行业，不涉及不达标工业炉窑。</w:t>
                  </w:r>
                </w:p>
              </w:tc>
              <w:tc>
                <w:tcPr>
                  <w:tcW w:w="619" w:type="pct"/>
                  <w:vAlign w:val="center"/>
                </w:tcPr>
                <w:p w14:paraId="5D9957F8">
                  <w:pPr>
                    <w:spacing w:line="276" w:lineRule="auto"/>
                    <w:jc w:val="center"/>
                    <w:rPr>
                      <w:rFonts w:hAnsiTheme="minorHAnsi" w:eastAsiaTheme="minorEastAsia"/>
                      <w:color w:val="auto"/>
                    </w:rPr>
                  </w:pPr>
                  <w:r>
                    <w:rPr>
                      <w:rFonts w:hAnsiTheme="minorHAnsi" w:eastAsiaTheme="minorEastAsia"/>
                      <w:color w:val="auto"/>
                    </w:rPr>
                    <w:t>符合</w:t>
                  </w:r>
                </w:p>
              </w:tc>
            </w:tr>
          </w:tbl>
          <w:p w14:paraId="706ECAF7">
            <w:pPr>
              <w:spacing w:line="360" w:lineRule="auto"/>
              <w:ind w:firstLine="480" w:firstLineChars="200"/>
              <w:rPr>
                <w:rFonts w:hAnsi="宋体"/>
                <w:color w:val="auto"/>
                <w:sz w:val="24"/>
              </w:rPr>
            </w:pPr>
            <w:r>
              <w:rPr>
                <w:rFonts w:hint="eastAsia" w:hAnsi="宋体"/>
                <w:color w:val="auto"/>
                <w:sz w:val="24"/>
              </w:rPr>
              <w:t>（4）与《淮南市“十四五”大气污染防治规划（2021-2025年）》（淮环委办[2022]49号）的相符性分析</w:t>
            </w:r>
          </w:p>
          <w:p w14:paraId="2A934177">
            <w:pPr>
              <w:autoSpaceDE w:val="0"/>
              <w:autoSpaceDN w:val="0"/>
              <w:adjustRightInd w:val="0"/>
              <w:snapToGrid w:val="0"/>
              <w:spacing w:line="360" w:lineRule="auto"/>
              <w:jc w:val="center"/>
              <w:rPr>
                <w:rFonts w:hAnsi="黑体" w:eastAsia="黑体"/>
                <w:color w:val="auto"/>
                <w:szCs w:val="21"/>
              </w:rPr>
            </w:pPr>
            <w:r>
              <w:rPr>
                <w:rFonts w:hint="eastAsia" w:hAnsi="黑体" w:eastAsia="黑体"/>
                <w:color w:val="auto"/>
                <w:sz w:val="24"/>
                <w:szCs w:val="24"/>
              </w:rPr>
              <w:t>表5</w:t>
            </w:r>
            <w:r>
              <w:rPr>
                <w:rFonts w:hAnsi="黑体" w:eastAsia="黑体"/>
                <w:color w:val="auto"/>
                <w:sz w:val="24"/>
                <w:szCs w:val="24"/>
              </w:rPr>
              <w:t xml:space="preserve">  </w:t>
            </w:r>
            <w:r>
              <w:rPr>
                <w:rFonts w:hint="eastAsia" w:hAnsi="黑体" w:eastAsia="黑体"/>
                <w:color w:val="auto"/>
                <w:sz w:val="24"/>
                <w:szCs w:val="24"/>
              </w:rPr>
              <w:t>与《淮南市“十四五”大气污染防治规划》相符性分析</w:t>
            </w:r>
          </w:p>
          <w:tbl>
            <w:tblPr>
              <w:tblStyle w:val="34"/>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576"/>
              <w:gridCol w:w="3569"/>
              <w:gridCol w:w="2607"/>
              <w:gridCol w:w="891"/>
            </w:tblGrid>
            <w:tr w14:paraId="5AEFAA2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1B4E831">
                  <w:pPr>
                    <w:spacing w:line="276" w:lineRule="auto"/>
                    <w:jc w:val="center"/>
                    <w:rPr>
                      <w:rFonts w:hAnsi="宋体"/>
                      <w:b/>
                      <w:color w:val="auto"/>
                      <w:szCs w:val="21"/>
                    </w:rPr>
                  </w:pPr>
                  <w:r>
                    <w:rPr>
                      <w:rFonts w:hint="eastAsia" w:hAnsi="宋体"/>
                      <w:b/>
                      <w:color w:val="auto"/>
                      <w:szCs w:val="21"/>
                    </w:rPr>
                    <w:t>序号</w:t>
                  </w:r>
                </w:p>
              </w:tc>
              <w:tc>
                <w:tcPr>
                  <w:tcW w:w="3569" w:type="dxa"/>
                  <w:vAlign w:val="center"/>
                </w:tcPr>
                <w:p w14:paraId="582C04E1">
                  <w:pPr>
                    <w:spacing w:line="276" w:lineRule="auto"/>
                    <w:jc w:val="center"/>
                    <w:rPr>
                      <w:rFonts w:hAnsi="宋体"/>
                      <w:b/>
                      <w:color w:val="auto"/>
                      <w:szCs w:val="21"/>
                    </w:rPr>
                  </w:pPr>
                  <w:r>
                    <w:rPr>
                      <w:rFonts w:hint="eastAsia" w:hAnsi="宋体"/>
                      <w:b/>
                      <w:color w:val="auto"/>
                      <w:szCs w:val="21"/>
                    </w:rPr>
                    <w:t>相关要求</w:t>
                  </w:r>
                </w:p>
              </w:tc>
              <w:tc>
                <w:tcPr>
                  <w:tcW w:w="2607" w:type="dxa"/>
                  <w:vAlign w:val="center"/>
                </w:tcPr>
                <w:p w14:paraId="1A9F7424">
                  <w:pPr>
                    <w:spacing w:line="276" w:lineRule="auto"/>
                    <w:jc w:val="center"/>
                    <w:rPr>
                      <w:rFonts w:hAnsi="宋体"/>
                      <w:b/>
                      <w:color w:val="auto"/>
                      <w:szCs w:val="21"/>
                    </w:rPr>
                  </w:pPr>
                  <w:r>
                    <w:rPr>
                      <w:rFonts w:hint="eastAsia" w:hAnsi="宋体"/>
                      <w:b/>
                      <w:color w:val="auto"/>
                      <w:szCs w:val="21"/>
                    </w:rPr>
                    <w:t>本项目情况</w:t>
                  </w:r>
                </w:p>
              </w:tc>
              <w:tc>
                <w:tcPr>
                  <w:tcW w:w="891" w:type="dxa"/>
                  <w:vAlign w:val="center"/>
                </w:tcPr>
                <w:p w14:paraId="26CDBC19">
                  <w:pPr>
                    <w:spacing w:line="276" w:lineRule="auto"/>
                    <w:jc w:val="center"/>
                    <w:rPr>
                      <w:rFonts w:hAnsi="宋体"/>
                      <w:b/>
                      <w:color w:val="auto"/>
                      <w:szCs w:val="21"/>
                    </w:rPr>
                  </w:pPr>
                  <w:r>
                    <w:rPr>
                      <w:rFonts w:hint="eastAsia" w:hAnsi="宋体"/>
                      <w:b/>
                      <w:color w:val="auto"/>
                      <w:szCs w:val="21"/>
                    </w:rPr>
                    <w:t>符合性分析</w:t>
                  </w:r>
                </w:p>
              </w:tc>
            </w:tr>
            <w:tr w14:paraId="0D4A05D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3B0F2AF">
                  <w:pPr>
                    <w:spacing w:line="276" w:lineRule="auto"/>
                    <w:jc w:val="center"/>
                    <w:rPr>
                      <w:rFonts w:hAnsi="宋体"/>
                      <w:color w:val="auto"/>
                      <w:szCs w:val="21"/>
                    </w:rPr>
                  </w:pPr>
                  <w:r>
                    <w:rPr>
                      <w:rFonts w:hint="eastAsia" w:hAnsi="宋体"/>
                      <w:color w:val="auto"/>
                      <w:szCs w:val="21"/>
                    </w:rPr>
                    <w:t>1</w:t>
                  </w:r>
                </w:p>
              </w:tc>
              <w:tc>
                <w:tcPr>
                  <w:tcW w:w="3569" w:type="dxa"/>
                  <w:vAlign w:val="center"/>
                </w:tcPr>
                <w:p w14:paraId="1A7AE43E">
                  <w:pPr>
                    <w:spacing w:line="276" w:lineRule="auto"/>
                    <w:jc w:val="center"/>
                    <w:rPr>
                      <w:rFonts w:hAnsi="宋体"/>
                      <w:color w:val="auto"/>
                      <w:szCs w:val="21"/>
                    </w:rPr>
                  </w:pPr>
                  <w:r>
                    <w:rPr>
                      <w:rFonts w:hint="eastAsia" w:hAnsi="宋体"/>
                      <w:color w:val="auto"/>
                      <w:szCs w:val="21"/>
                    </w:rPr>
                    <w:t>严格执行国家和省高耗能、高污染和资源型行业准入条件。严控“两高”行业产能，原则上禁止新建、扩建单纯新增产能的钢铁、水泥、平板玻璃、铸造等产能过剩的传统产业项目，严格执行钢铁、水泥、平板玻璃等行业产能置换实施办法。原则上不得新建热电联产、天然气化工和未纳入国家规划的煤化工等项目。严格控制涉工业炉窑建设项目，原则上禁止新建燃料类煤气发生炉（园区现有企业统一建设的清洁煤制气项目除外）。</w:t>
                  </w:r>
                </w:p>
              </w:tc>
              <w:tc>
                <w:tcPr>
                  <w:tcW w:w="2607" w:type="dxa"/>
                  <w:vAlign w:val="center"/>
                </w:tcPr>
                <w:p w14:paraId="0B953322">
                  <w:pPr>
                    <w:spacing w:line="276" w:lineRule="auto"/>
                    <w:jc w:val="center"/>
                    <w:rPr>
                      <w:rFonts w:hAnsi="宋体"/>
                      <w:color w:val="auto"/>
                      <w:szCs w:val="21"/>
                    </w:rPr>
                  </w:pPr>
                  <w:r>
                    <w:rPr>
                      <w:rFonts w:hint="eastAsia" w:hAnsi="宋体"/>
                      <w:color w:val="auto"/>
                      <w:szCs w:val="21"/>
                    </w:rPr>
                    <w:t>对照《安徽省“两高”项目管理目录（试行）》，本项目不属于高耗能、高排放项目；本项目不属于钢铁、水泥、平板玻璃、铸造等产能过剩的传统产业，不属于热电联产、天然气化工和未纳入国家规划的煤化工项目，不涉及燃料类煤气发生炉。</w:t>
                  </w:r>
                </w:p>
              </w:tc>
              <w:tc>
                <w:tcPr>
                  <w:tcW w:w="891" w:type="dxa"/>
                  <w:vAlign w:val="center"/>
                </w:tcPr>
                <w:p w14:paraId="326CD375">
                  <w:pPr>
                    <w:spacing w:line="276" w:lineRule="auto"/>
                    <w:jc w:val="center"/>
                    <w:rPr>
                      <w:rFonts w:hAnsi="宋体"/>
                      <w:color w:val="auto"/>
                      <w:szCs w:val="21"/>
                    </w:rPr>
                  </w:pPr>
                  <w:r>
                    <w:rPr>
                      <w:rFonts w:hint="eastAsia" w:hAnsi="宋体"/>
                      <w:color w:val="auto"/>
                      <w:szCs w:val="21"/>
                    </w:rPr>
                    <w:t>符合</w:t>
                  </w:r>
                </w:p>
              </w:tc>
            </w:tr>
            <w:tr w14:paraId="29F4A6F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705A605">
                  <w:pPr>
                    <w:spacing w:line="276" w:lineRule="auto"/>
                    <w:jc w:val="center"/>
                    <w:rPr>
                      <w:rFonts w:hAnsi="宋体"/>
                      <w:color w:val="auto"/>
                      <w:szCs w:val="21"/>
                    </w:rPr>
                  </w:pPr>
                  <w:r>
                    <w:rPr>
                      <w:rFonts w:hint="eastAsia" w:hAnsi="宋体"/>
                      <w:color w:val="auto"/>
                      <w:szCs w:val="21"/>
                    </w:rPr>
                    <w:t>2</w:t>
                  </w:r>
                </w:p>
              </w:tc>
              <w:tc>
                <w:tcPr>
                  <w:tcW w:w="3569" w:type="dxa"/>
                  <w:vAlign w:val="center"/>
                </w:tcPr>
                <w:p w14:paraId="5444AC32">
                  <w:pPr>
                    <w:spacing w:line="276" w:lineRule="auto"/>
                    <w:jc w:val="center"/>
                    <w:rPr>
                      <w:rFonts w:hAnsi="宋体"/>
                      <w:color w:val="auto"/>
                      <w:szCs w:val="21"/>
                    </w:rPr>
                  </w:pPr>
                  <w:r>
                    <w:rPr>
                      <w:rFonts w:hint="eastAsia" w:hAnsi="宋体"/>
                      <w:color w:val="auto"/>
                      <w:szCs w:val="21"/>
                    </w:rPr>
                    <w:t>严格控制燃煤项目，强化新建燃煤项目审批管理，限制高污染高耗能项目落地，新改扩建耗煤项目严格执行安徽省煤炭消费减量替代制度，并且排污强度、能效和碳排放水平达到国内先进水平。</w:t>
                  </w:r>
                </w:p>
              </w:tc>
              <w:tc>
                <w:tcPr>
                  <w:tcW w:w="2607" w:type="dxa"/>
                  <w:vAlign w:val="center"/>
                </w:tcPr>
                <w:p w14:paraId="217FEFA7">
                  <w:pPr>
                    <w:spacing w:line="276" w:lineRule="auto"/>
                    <w:jc w:val="center"/>
                    <w:rPr>
                      <w:rFonts w:hAnsi="宋体"/>
                      <w:color w:val="auto"/>
                      <w:szCs w:val="21"/>
                    </w:rPr>
                  </w:pPr>
                  <w:r>
                    <w:rPr>
                      <w:rFonts w:hint="eastAsia" w:hAnsi="宋体"/>
                      <w:color w:val="auto"/>
                      <w:szCs w:val="21"/>
                    </w:rPr>
                    <w:t>本项目不涉及燃煤项目建设。</w:t>
                  </w:r>
                </w:p>
              </w:tc>
              <w:tc>
                <w:tcPr>
                  <w:tcW w:w="891" w:type="dxa"/>
                  <w:vAlign w:val="center"/>
                </w:tcPr>
                <w:p w14:paraId="2DD66F48">
                  <w:pPr>
                    <w:spacing w:line="276" w:lineRule="auto"/>
                    <w:jc w:val="center"/>
                    <w:rPr>
                      <w:rFonts w:hAnsi="宋体"/>
                      <w:color w:val="auto"/>
                      <w:szCs w:val="21"/>
                    </w:rPr>
                  </w:pPr>
                  <w:r>
                    <w:rPr>
                      <w:rFonts w:hint="eastAsia" w:hAnsi="宋体"/>
                      <w:color w:val="auto"/>
                      <w:szCs w:val="21"/>
                    </w:rPr>
                    <w:t>符合</w:t>
                  </w:r>
                </w:p>
              </w:tc>
            </w:tr>
            <w:tr w14:paraId="3D0B484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5B9F753">
                  <w:pPr>
                    <w:spacing w:line="276" w:lineRule="auto"/>
                    <w:jc w:val="center"/>
                    <w:rPr>
                      <w:rFonts w:hAnsi="宋体"/>
                      <w:color w:val="auto"/>
                      <w:szCs w:val="21"/>
                    </w:rPr>
                  </w:pPr>
                  <w:r>
                    <w:rPr>
                      <w:rFonts w:hint="eastAsia" w:hAnsi="宋体"/>
                      <w:color w:val="auto"/>
                      <w:szCs w:val="21"/>
                    </w:rPr>
                    <w:t>3</w:t>
                  </w:r>
                </w:p>
              </w:tc>
              <w:tc>
                <w:tcPr>
                  <w:tcW w:w="3569" w:type="dxa"/>
                  <w:vAlign w:val="center"/>
                </w:tcPr>
                <w:p w14:paraId="7135E602">
                  <w:pPr>
                    <w:spacing w:line="276" w:lineRule="auto"/>
                    <w:jc w:val="center"/>
                    <w:rPr>
                      <w:rFonts w:hAnsi="宋体"/>
                      <w:color w:val="auto"/>
                      <w:szCs w:val="21"/>
                    </w:rPr>
                  </w:pPr>
                  <w:r>
                    <w:rPr>
                      <w:rFonts w:hint="eastAsia" w:hAnsi="宋体"/>
                      <w:color w:val="auto"/>
                      <w:szCs w:val="21"/>
                    </w:rPr>
                    <w:t>加严涉VOCs项目建设。严格限制高VOCs排放化工类建设项目。禁止建设生产和使用VOCs含量限值不符合国家标准的涂料、油墨、胶黏剂、清洗剂等项目。其他新、改、扩建排放VOCs的项目，应从源头加强控制，配套安装高效收集、治理设施。新建涉VOCs排放的工业企业要入园区。实行区域内VOCs排放等量、倍量削减替代，将替代方案落实到企业排污许可证中，纳入环境执法管理</w:t>
                  </w:r>
                </w:p>
              </w:tc>
              <w:tc>
                <w:tcPr>
                  <w:tcW w:w="2607" w:type="dxa"/>
                  <w:vAlign w:val="center"/>
                </w:tcPr>
                <w:p w14:paraId="446ADC3F">
                  <w:pPr>
                    <w:spacing w:line="276" w:lineRule="auto"/>
                    <w:jc w:val="center"/>
                    <w:rPr>
                      <w:rFonts w:hAnsi="宋体"/>
                      <w:color w:val="auto"/>
                      <w:szCs w:val="21"/>
                    </w:rPr>
                  </w:pPr>
                  <w:r>
                    <w:rPr>
                      <w:rFonts w:hint="eastAsia" w:hAnsi="宋体"/>
                      <w:color w:val="auto"/>
                      <w:szCs w:val="21"/>
                    </w:rPr>
                    <w:t>本项目为C3054日用玻璃制品制造行业，不属于高VOCs排放化工类建设项目；本项目使用的水性漆VOC含量符合《低挥发性有机化合物含量涂料产品技术要求》（GB/T38597-2020）中相关限值要求，符合国家标准要求；本项目喷涂工序产生的喷涂废气经集气罩收集后通过两级活性炭吸附装置处理，处理后可达标排放；本项目为改建项目，依托现有厂区一车间、三车间进行建设，不属于新建涉VOCs排放的工业企业；本项目新增废气VOCs总量由生态环境主管部门统一调配，投产前完成排污许可变更，纳入环境执法管理。</w:t>
                  </w:r>
                </w:p>
              </w:tc>
              <w:tc>
                <w:tcPr>
                  <w:tcW w:w="891" w:type="dxa"/>
                  <w:vAlign w:val="center"/>
                </w:tcPr>
                <w:p w14:paraId="68F71ED9">
                  <w:pPr>
                    <w:spacing w:line="276" w:lineRule="auto"/>
                    <w:jc w:val="center"/>
                    <w:rPr>
                      <w:rFonts w:hAnsi="宋体"/>
                      <w:color w:val="auto"/>
                      <w:szCs w:val="21"/>
                    </w:rPr>
                  </w:pPr>
                  <w:r>
                    <w:rPr>
                      <w:rFonts w:hint="eastAsia" w:hAnsi="宋体"/>
                      <w:color w:val="auto"/>
                      <w:szCs w:val="21"/>
                    </w:rPr>
                    <w:t>符合</w:t>
                  </w:r>
                </w:p>
              </w:tc>
            </w:tr>
          </w:tbl>
          <w:p w14:paraId="33B55B7B">
            <w:pPr>
              <w:spacing w:line="360" w:lineRule="auto"/>
              <w:rPr>
                <w:rFonts w:hAnsi="宋体"/>
                <w:color w:val="auto"/>
                <w:sz w:val="24"/>
              </w:rPr>
            </w:pPr>
          </w:p>
          <w:p w14:paraId="3CAF3A97">
            <w:pPr>
              <w:spacing w:line="360" w:lineRule="auto"/>
              <w:jc w:val="left"/>
              <w:rPr>
                <w:rFonts w:hAnsi="宋体"/>
                <w:color w:val="auto"/>
                <w:sz w:val="24"/>
              </w:rPr>
            </w:pPr>
          </w:p>
          <w:p w14:paraId="04168234">
            <w:pPr>
              <w:spacing w:line="360" w:lineRule="auto"/>
              <w:jc w:val="left"/>
              <w:rPr>
                <w:rFonts w:hAnsi="宋体"/>
                <w:color w:val="auto"/>
                <w:sz w:val="24"/>
              </w:rPr>
            </w:pPr>
          </w:p>
          <w:p w14:paraId="23E5F359">
            <w:pPr>
              <w:spacing w:line="360" w:lineRule="auto"/>
              <w:jc w:val="left"/>
              <w:rPr>
                <w:rFonts w:hAnsi="宋体"/>
                <w:color w:val="auto"/>
                <w:sz w:val="24"/>
              </w:rPr>
            </w:pPr>
          </w:p>
          <w:p w14:paraId="67AECCE5">
            <w:pPr>
              <w:spacing w:line="360" w:lineRule="auto"/>
              <w:jc w:val="left"/>
              <w:rPr>
                <w:rFonts w:hAnsi="宋体"/>
                <w:color w:val="auto"/>
                <w:sz w:val="24"/>
              </w:rPr>
            </w:pPr>
          </w:p>
          <w:p w14:paraId="51EEBFD4">
            <w:pPr>
              <w:spacing w:line="360" w:lineRule="auto"/>
              <w:jc w:val="left"/>
              <w:rPr>
                <w:rFonts w:hAnsi="宋体"/>
                <w:color w:val="auto"/>
                <w:sz w:val="24"/>
              </w:rPr>
            </w:pPr>
          </w:p>
          <w:p w14:paraId="17041FBE">
            <w:pPr>
              <w:spacing w:line="360" w:lineRule="auto"/>
              <w:jc w:val="left"/>
              <w:rPr>
                <w:rFonts w:hAnsi="宋体"/>
                <w:color w:val="auto"/>
                <w:sz w:val="24"/>
              </w:rPr>
            </w:pPr>
          </w:p>
          <w:p w14:paraId="290BDEDA">
            <w:pPr>
              <w:spacing w:line="360" w:lineRule="auto"/>
              <w:jc w:val="left"/>
              <w:rPr>
                <w:rFonts w:hAnsi="宋体"/>
                <w:color w:val="auto"/>
                <w:sz w:val="24"/>
              </w:rPr>
            </w:pPr>
          </w:p>
          <w:p w14:paraId="7F133398">
            <w:pPr>
              <w:spacing w:line="360" w:lineRule="auto"/>
              <w:jc w:val="left"/>
              <w:rPr>
                <w:rFonts w:hAnsi="宋体"/>
                <w:color w:val="auto"/>
                <w:sz w:val="24"/>
              </w:rPr>
            </w:pPr>
          </w:p>
          <w:p w14:paraId="481073E5">
            <w:pPr>
              <w:spacing w:line="360" w:lineRule="auto"/>
              <w:jc w:val="left"/>
              <w:rPr>
                <w:rFonts w:hAnsi="宋体"/>
                <w:color w:val="auto"/>
                <w:sz w:val="24"/>
              </w:rPr>
            </w:pPr>
          </w:p>
          <w:p w14:paraId="47625732">
            <w:pPr>
              <w:spacing w:line="360" w:lineRule="auto"/>
              <w:jc w:val="left"/>
              <w:rPr>
                <w:rFonts w:hAnsi="宋体"/>
                <w:color w:val="auto"/>
                <w:sz w:val="24"/>
              </w:rPr>
            </w:pPr>
          </w:p>
          <w:p w14:paraId="5FF18F78">
            <w:pPr>
              <w:spacing w:line="360" w:lineRule="auto"/>
              <w:jc w:val="left"/>
              <w:rPr>
                <w:rFonts w:hAnsi="宋体"/>
                <w:color w:val="auto"/>
                <w:sz w:val="24"/>
              </w:rPr>
            </w:pPr>
          </w:p>
          <w:p w14:paraId="36C1DB2F">
            <w:pPr>
              <w:spacing w:line="360" w:lineRule="auto"/>
              <w:jc w:val="left"/>
              <w:rPr>
                <w:rFonts w:hAnsi="宋体"/>
                <w:color w:val="auto"/>
                <w:sz w:val="24"/>
              </w:rPr>
            </w:pPr>
          </w:p>
          <w:p w14:paraId="2EF98C6C">
            <w:pPr>
              <w:spacing w:line="360" w:lineRule="auto"/>
              <w:jc w:val="left"/>
              <w:rPr>
                <w:rFonts w:hAnsi="宋体"/>
                <w:color w:val="auto"/>
                <w:sz w:val="24"/>
              </w:rPr>
            </w:pPr>
          </w:p>
          <w:p w14:paraId="29D8BE65">
            <w:pPr>
              <w:spacing w:line="360" w:lineRule="auto"/>
              <w:jc w:val="left"/>
              <w:rPr>
                <w:rFonts w:hAnsi="宋体"/>
                <w:color w:val="auto"/>
                <w:sz w:val="24"/>
              </w:rPr>
            </w:pPr>
          </w:p>
          <w:p w14:paraId="0733B634">
            <w:pPr>
              <w:spacing w:line="360" w:lineRule="auto"/>
              <w:jc w:val="left"/>
              <w:rPr>
                <w:rFonts w:hAnsi="宋体"/>
                <w:color w:val="auto"/>
                <w:sz w:val="24"/>
              </w:rPr>
            </w:pPr>
          </w:p>
          <w:p w14:paraId="770659A5">
            <w:pPr>
              <w:spacing w:line="360" w:lineRule="auto"/>
              <w:jc w:val="left"/>
              <w:rPr>
                <w:rFonts w:hAnsi="宋体"/>
                <w:color w:val="auto"/>
                <w:sz w:val="24"/>
              </w:rPr>
            </w:pPr>
          </w:p>
          <w:p w14:paraId="1689664F">
            <w:pPr>
              <w:spacing w:line="360" w:lineRule="auto"/>
              <w:jc w:val="left"/>
              <w:rPr>
                <w:rFonts w:hAnsi="宋体"/>
                <w:color w:val="auto"/>
                <w:sz w:val="24"/>
              </w:rPr>
            </w:pPr>
          </w:p>
          <w:p w14:paraId="7B8755BA">
            <w:pPr>
              <w:rPr>
                <w:color w:val="auto"/>
              </w:rPr>
            </w:pPr>
          </w:p>
        </w:tc>
      </w:tr>
    </w:tbl>
    <w:p w14:paraId="29133F7E">
      <w:pPr>
        <w:widowControl/>
        <w:jc w:val="center"/>
        <w:outlineLvl w:val="0"/>
        <w:rPr>
          <w:rFonts w:ascii="宋体" w:hAnsi="宋体"/>
          <w:b/>
          <w:bCs/>
          <w:color w:val="auto"/>
          <w:kern w:val="0"/>
          <w:sz w:val="30"/>
          <w:szCs w:val="30"/>
        </w:rPr>
        <w:sectPr>
          <w:headerReference r:id="rId3" w:type="default"/>
          <w:footerReference r:id="rId5" w:type="default"/>
          <w:headerReference r:id="rId4" w:type="even"/>
          <w:footerReference r:id="rId6" w:type="even"/>
          <w:pgSz w:w="11906" w:h="16838"/>
          <w:pgMar w:top="1440" w:right="1508" w:bottom="1440" w:left="1797" w:header="851" w:footer="992" w:gutter="0"/>
          <w:cols w:space="720" w:num="1"/>
          <w:docGrid w:type="lines" w:linePitch="312" w:charSpace="0"/>
        </w:sectPr>
      </w:pP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12944"/>
      </w:tblGrid>
      <w:tr w14:paraId="30F07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14:paraId="7E19191C">
            <w:pPr>
              <w:widowControl/>
              <w:spacing w:line="360" w:lineRule="auto"/>
              <w:jc w:val="center"/>
              <w:outlineLvl w:val="0"/>
              <w:rPr>
                <w:rFonts w:ascii="宋体" w:hAnsi="宋体"/>
                <w:b/>
                <w:bCs/>
                <w:color w:val="auto"/>
                <w:kern w:val="0"/>
                <w:sz w:val="24"/>
                <w:szCs w:val="24"/>
              </w:rPr>
            </w:pPr>
            <w:r>
              <w:rPr>
                <w:rFonts w:hint="eastAsia" w:ascii="宋体" w:hAnsi="宋体" w:cs="宋体"/>
                <w:color w:val="auto"/>
                <w:kern w:val="0"/>
                <w:sz w:val="24"/>
                <w:szCs w:val="24"/>
              </w:rPr>
              <w:t>其他符合性分析</w:t>
            </w:r>
          </w:p>
        </w:tc>
        <w:tc>
          <w:tcPr>
            <w:tcW w:w="12944" w:type="dxa"/>
          </w:tcPr>
          <w:p w14:paraId="23F0D55A">
            <w:pPr>
              <w:spacing w:line="360" w:lineRule="auto"/>
              <w:ind w:firstLine="480" w:firstLineChars="200"/>
              <w:rPr>
                <w:rFonts w:hAnsi="宋体"/>
                <w:color w:val="auto"/>
                <w:sz w:val="24"/>
              </w:rPr>
            </w:pPr>
            <w:r>
              <w:rPr>
                <w:rFonts w:hint="eastAsia" w:hAnsi="宋体"/>
                <w:color w:val="auto"/>
                <w:sz w:val="24"/>
              </w:rPr>
              <w:t>（5）与《淮南市涉气建设项目环评审批负面清单》的相符性分析</w:t>
            </w:r>
          </w:p>
          <w:p w14:paraId="12CD2752">
            <w:pPr>
              <w:spacing w:line="360" w:lineRule="auto"/>
              <w:jc w:val="center"/>
              <w:rPr>
                <w:rFonts w:eastAsia="黑体"/>
                <w:color w:val="auto"/>
                <w:sz w:val="24"/>
              </w:rPr>
            </w:pPr>
            <w:r>
              <w:rPr>
                <w:rFonts w:hAnsi="黑体" w:eastAsia="黑体"/>
                <w:color w:val="auto"/>
                <w:sz w:val="24"/>
                <w:szCs w:val="24"/>
              </w:rPr>
              <w:t>表</w:t>
            </w:r>
            <w:r>
              <w:rPr>
                <w:rFonts w:hint="eastAsia" w:eastAsia="黑体"/>
                <w:color w:val="auto"/>
                <w:sz w:val="24"/>
                <w:szCs w:val="24"/>
              </w:rPr>
              <w:t>6</w:t>
            </w:r>
            <w:r>
              <w:rPr>
                <w:rFonts w:eastAsia="黑体"/>
                <w:color w:val="auto"/>
                <w:sz w:val="24"/>
                <w:szCs w:val="24"/>
              </w:rPr>
              <w:t xml:space="preserve">  </w:t>
            </w:r>
            <w:r>
              <w:rPr>
                <w:rFonts w:hAnsi="黑体" w:eastAsia="黑体"/>
                <w:color w:val="auto"/>
                <w:sz w:val="24"/>
                <w:szCs w:val="24"/>
              </w:rPr>
              <w:t>项目与《</w:t>
            </w:r>
            <w:r>
              <w:rPr>
                <w:rFonts w:hAnsi="黑体" w:eastAsia="黑体"/>
                <w:color w:val="auto"/>
                <w:sz w:val="24"/>
              </w:rPr>
              <w:t>淮南市涉气建设项目环评审批负面清单</w:t>
            </w:r>
            <w:r>
              <w:rPr>
                <w:rFonts w:hAnsi="黑体" w:eastAsia="黑体"/>
                <w:color w:val="auto"/>
                <w:sz w:val="24"/>
                <w:szCs w:val="24"/>
              </w:rPr>
              <w:t>》符合性分析</w:t>
            </w:r>
          </w:p>
          <w:tbl>
            <w:tblPr>
              <w:tblStyle w:val="35"/>
              <w:tblW w:w="5000" w:type="pct"/>
              <w:jc w:val="center"/>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7"/>
              <w:gridCol w:w="1706"/>
              <w:gridCol w:w="3549"/>
              <w:gridCol w:w="2983"/>
              <w:gridCol w:w="2416"/>
              <w:gridCol w:w="1247"/>
            </w:tblGrid>
            <w:tr w14:paraId="5975F2A5">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5" w:type="pct"/>
                  <w:vAlign w:val="center"/>
                </w:tcPr>
                <w:p w14:paraId="19E066A3">
                  <w:pPr>
                    <w:spacing w:line="276" w:lineRule="auto"/>
                    <w:jc w:val="center"/>
                    <w:rPr>
                      <w:rFonts w:eastAsiaTheme="minorEastAsia"/>
                      <w:b/>
                      <w:color w:val="auto"/>
                      <w:szCs w:val="21"/>
                    </w:rPr>
                  </w:pPr>
                  <w:r>
                    <w:rPr>
                      <w:rFonts w:eastAsiaTheme="minorEastAsia"/>
                      <w:b/>
                      <w:color w:val="auto"/>
                      <w:szCs w:val="21"/>
                    </w:rPr>
                    <w:t>序号</w:t>
                  </w:r>
                </w:p>
              </w:tc>
              <w:tc>
                <w:tcPr>
                  <w:tcW w:w="670" w:type="pct"/>
                  <w:vAlign w:val="center"/>
                </w:tcPr>
                <w:p w14:paraId="725DC315">
                  <w:pPr>
                    <w:spacing w:line="276" w:lineRule="auto"/>
                    <w:jc w:val="center"/>
                    <w:rPr>
                      <w:rFonts w:eastAsiaTheme="minorEastAsia"/>
                      <w:b/>
                      <w:color w:val="auto"/>
                      <w:szCs w:val="21"/>
                    </w:rPr>
                  </w:pPr>
                  <w:r>
                    <w:rPr>
                      <w:rFonts w:eastAsiaTheme="minorEastAsia"/>
                      <w:b/>
                      <w:color w:val="auto"/>
                      <w:szCs w:val="21"/>
                    </w:rPr>
                    <w:t>重点工作任务</w:t>
                  </w:r>
                </w:p>
              </w:tc>
              <w:tc>
                <w:tcPr>
                  <w:tcW w:w="1394" w:type="pct"/>
                  <w:vAlign w:val="center"/>
                </w:tcPr>
                <w:p w14:paraId="2F455175">
                  <w:pPr>
                    <w:spacing w:line="276" w:lineRule="auto"/>
                    <w:jc w:val="center"/>
                    <w:rPr>
                      <w:rFonts w:eastAsiaTheme="minorEastAsia"/>
                      <w:b/>
                      <w:color w:val="auto"/>
                      <w:szCs w:val="21"/>
                    </w:rPr>
                  </w:pPr>
                  <w:r>
                    <w:rPr>
                      <w:rFonts w:eastAsiaTheme="minorEastAsia"/>
                      <w:b/>
                      <w:color w:val="auto"/>
                      <w:szCs w:val="21"/>
                    </w:rPr>
                    <w:t>推进举措</w:t>
                  </w:r>
                </w:p>
              </w:tc>
              <w:tc>
                <w:tcPr>
                  <w:tcW w:w="1172" w:type="pct"/>
                  <w:vAlign w:val="center"/>
                </w:tcPr>
                <w:p w14:paraId="790615E9">
                  <w:pPr>
                    <w:spacing w:line="276" w:lineRule="auto"/>
                    <w:jc w:val="center"/>
                    <w:rPr>
                      <w:rFonts w:eastAsiaTheme="minorEastAsia"/>
                      <w:b/>
                      <w:color w:val="auto"/>
                      <w:szCs w:val="21"/>
                    </w:rPr>
                  </w:pPr>
                  <w:r>
                    <w:rPr>
                      <w:rFonts w:eastAsiaTheme="minorEastAsia"/>
                      <w:b/>
                      <w:color w:val="auto"/>
                      <w:szCs w:val="21"/>
                    </w:rPr>
                    <w:t>环评审批的负面清单</w:t>
                  </w:r>
                </w:p>
              </w:tc>
              <w:tc>
                <w:tcPr>
                  <w:tcW w:w="949" w:type="pct"/>
                  <w:vAlign w:val="center"/>
                </w:tcPr>
                <w:p w14:paraId="0DC146BF">
                  <w:pPr>
                    <w:spacing w:line="276" w:lineRule="auto"/>
                    <w:jc w:val="center"/>
                    <w:rPr>
                      <w:rFonts w:eastAsiaTheme="minorEastAsia"/>
                      <w:b/>
                      <w:color w:val="auto"/>
                      <w:szCs w:val="21"/>
                    </w:rPr>
                  </w:pPr>
                  <w:r>
                    <w:rPr>
                      <w:rFonts w:eastAsiaTheme="minorEastAsia"/>
                      <w:b/>
                      <w:color w:val="auto"/>
                      <w:szCs w:val="21"/>
                    </w:rPr>
                    <w:t>本项目情况</w:t>
                  </w:r>
                </w:p>
              </w:tc>
              <w:tc>
                <w:tcPr>
                  <w:tcW w:w="490" w:type="pct"/>
                  <w:vAlign w:val="center"/>
                </w:tcPr>
                <w:p w14:paraId="21579E58">
                  <w:pPr>
                    <w:spacing w:line="276" w:lineRule="auto"/>
                    <w:jc w:val="center"/>
                    <w:rPr>
                      <w:rFonts w:eastAsiaTheme="minorEastAsia"/>
                      <w:b/>
                      <w:color w:val="auto"/>
                      <w:szCs w:val="21"/>
                    </w:rPr>
                  </w:pPr>
                  <w:r>
                    <w:rPr>
                      <w:rFonts w:eastAsiaTheme="minorEastAsia"/>
                      <w:b/>
                      <w:color w:val="auto"/>
                      <w:szCs w:val="21"/>
                    </w:rPr>
                    <w:t>是否属于负面清单情形</w:t>
                  </w:r>
                </w:p>
              </w:tc>
            </w:tr>
            <w:tr w14:paraId="3E4C8590">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00" w:type="pct"/>
                  <w:gridSpan w:val="6"/>
                  <w:vAlign w:val="center"/>
                </w:tcPr>
                <w:p w14:paraId="6FA5F4E6">
                  <w:pPr>
                    <w:spacing w:line="276" w:lineRule="auto"/>
                    <w:jc w:val="center"/>
                    <w:rPr>
                      <w:rFonts w:eastAsiaTheme="minorEastAsia"/>
                      <w:b/>
                      <w:color w:val="auto"/>
                      <w:szCs w:val="21"/>
                    </w:rPr>
                  </w:pPr>
                  <w:r>
                    <w:rPr>
                      <w:rFonts w:hAnsiTheme="minorEastAsia" w:eastAsiaTheme="minorEastAsia"/>
                      <w:color w:val="auto"/>
                      <w:szCs w:val="21"/>
                    </w:rPr>
                    <w:t>（一）坚决遏制高耗能、高排放、低水平项目盲目上马</w:t>
                  </w:r>
                </w:p>
              </w:tc>
            </w:tr>
            <w:tr w14:paraId="43D190C2">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5" w:type="pct"/>
                  <w:vAlign w:val="center"/>
                </w:tcPr>
                <w:p w14:paraId="2D8AB2FA">
                  <w:pPr>
                    <w:autoSpaceDE w:val="0"/>
                    <w:autoSpaceDN w:val="0"/>
                    <w:spacing w:line="276" w:lineRule="auto"/>
                    <w:jc w:val="center"/>
                    <w:rPr>
                      <w:rFonts w:eastAsiaTheme="minorEastAsia"/>
                      <w:color w:val="auto"/>
                      <w:szCs w:val="21"/>
                    </w:rPr>
                  </w:pPr>
                  <w:r>
                    <w:rPr>
                      <w:rFonts w:eastAsiaTheme="minorEastAsia"/>
                      <w:color w:val="auto"/>
                      <w:szCs w:val="21"/>
                    </w:rPr>
                    <w:t>1</w:t>
                  </w:r>
                </w:p>
              </w:tc>
              <w:tc>
                <w:tcPr>
                  <w:tcW w:w="670" w:type="pct"/>
                  <w:vAlign w:val="center"/>
                </w:tcPr>
                <w:p w14:paraId="16F97D86">
                  <w:pPr>
                    <w:autoSpaceDE w:val="0"/>
                    <w:autoSpaceDN w:val="0"/>
                    <w:spacing w:line="276" w:lineRule="auto"/>
                    <w:jc w:val="center"/>
                    <w:rPr>
                      <w:rFonts w:eastAsiaTheme="minorEastAsia"/>
                      <w:color w:val="auto"/>
                      <w:szCs w:val="21"/>
                    </w:rPr>
                  </w:pPr>
                  <w:r>
                    <w:rPr>
                      <w:rFonts w:eastAsiaTheme="minorEastAsia"/>
                      <w:color w:val="auto"/>
                      <w:szCs w:val="21"/>
                    </w:rPr>
                    <w:t>新改扩建项目严格落实国家产业政策</w:t>
                  </w:r>
                  <w:r>
                    <w:rPr>
                      <w:rFonts w:ascii="宋体" w:hAnsi="宋体"/>
                      <w:color w:val="auto"/>
                      <w:szCs w:val="21"/>
                    </w:rPr>
                    <w:t>要求，严把“两高”项</w:t>
                  </w:r>
                  <w:r>
                    <w:rPr>
                      <w:rFonts w:eastAsiaTheme="minorEastAsia"/>
                      <w:color w:val="auto"/>
                      <w:szCs w:val="21"/>
                    </w:rPr>
                    <w:t>目审批</w:t>
                  </w:r>
                </w:p>
              </w:tc>
              <w:tc>
                <w:tcPr>
                  <w:tcW w:w="1394" w:type="pct"/>
                  <w:vAlign w:val="center"/>
                </w:tcPr>
                <w:p w14:paraId="67A55FBC">
                  <w:pPr>
                    <w:autoSpaceDE w:val="0"/>
                    <w:autoSpaceDN w:val="0"/>
                    <w:spacing w:line="276" w:lineRule="auto"/>
                    <w:jc w:val="center"/>
                    <w:rPr>
                      <w:rFonts w:eastAsiaTheme="minorEastAsia"/>
                      <w:color w:val="auto"/>
                      <w:szCs w:val="21"/>
                    </w:rPr>
                  </w:pPr>
                  <w:r>
                    <w:rPr>
                      <w:rFonts w:eastAsiaTheme="minorEastAsia"/>
                      <w:color w:val="auto"/>
                      <w:szCs w:val="21"/>
                    </w:rPr>
                    <w:t>新改扩建项目严格落实国家产业规划、产业政策、生态环境分区管控方案、规划环评、项目环评、节能审查、产能置换、重点污染物总量控制、污染物排放区域削减、碳排放达峰目标等相关要求，原则上采用清洁运输方式。实</w:t>
                  </w:r>
                  <w:r>
                    <w:rPr>
                      <w:rFonts w:ascii="宋体" w:hAnsi="宋体"/>
                      <w:color w:val="auto"/>
                      <w:szCs w:val="21"/>
                    </w:rPr>
                    <w:t>施“高污染、高耗能”项</w:t>
                  </w:r>
                  <w:r>
                    <w:rPr>
                      <w:rFonts w:eastAsiaTheme="minorEastAsia"/>
                      <w:color w:val="auto"/>
                      <w:szCs w:val="21"/>
                    </w:rPr>
                    <w:t>目部门联审，严格论证项目建设必要性、可行性，推动行业集约发展和绿色转型</w:t>
                  </w:r>
                </w:p>
              </w:tc>
              <w:tc>
                <w:tcPr>
                  <w:tcW w:w="1172" w:type="pct"/>
                  <w:vAlign w:val="center"/>
                </w:tcPr>
                <w:p w14:paraId="0FC33527">
                  <w:pPr>
                    <w:autoSpaceDE w:val="0"/>
                    <w:autoSpaceDN w:val="0"/>
                    <w:spacing w:line="276" w:lineRule="auto"/>
                    <w:jc w:val="center"/>
                    <w:rPr>
                      <w:rFonts w:eastAsiaTheme="minorEastAsia"/>
                      <w:color w:val="auto"/>
                      <w:szCs w:val="21"/>
                    </w:rPr>
                  </w:pPr>
                  <w:r>
                    <w:rPr>
                      <w:rFonts w:eastAsiaTheme="minorEastAsia"/>
                      <w:color w:val="auto"/>
                      <w:szCs w:val="21"/>
                    </w:rPr>
                    <w:t>1、新改扩建项目严格落实国家产业规划、产业政策、生态环境分区管控方案、规划环评、项目环评、节能审查、产能置换、重点污染物总量控制、污染物排放区域削减、碳排放达峰目标等相关要求；</w:t>
                  </w:r>
                </w:p>
                <w:p w14:paraId="7B911B5D">
                  <w:pPr>
                    <w:autoSpaceDE w:val="0"/>
                    <w:autoSpaceDN w:val="0"/>
                    <w:spacing w:line="276" w:lineRule="auto"/>
                    <w:jc w:val="center"/>
                    <w:rPr>
                      <w:rFonts w:eastAsiaTheme="minorEastAsia"/>
                      <w:color w:val="auto"/>
                      <w:szCs w:val="21"/>
                    </w:rPr>
                  </w:pPr>
                  <w:r>
                    <w:rPr>
                      <w:rFonts w:eastAsiaTheme="minorEastAsia"/>
                      <w:color w:val="auto"/>
                      <w:szCs w:val="21"/>
                    </w:rPr>
                    <w:t>2、两高项目应实施部门联审</w:t>
                  </w:r>
                </w:p>
              </w:tc>
              <w:tc>
                <w:tcPr>
                  <w:tcW w:w="949" w:type="pct"/>
                  <w:vAlign w:val="center"/>
                </w:tcPr>
                <w:p w14:paraId="106A08BC">
                  <w:pPr>
                    <w:autoSpaceDE w:val="0"/>
                    <w:autoSpaceDN w:val="0"/>
                    <w:spacing w:line="276" w:lineRule="auto"/>
                    <w:jc w:val="center"/>
                    <w:rPr>
                      <w:rFonts w:eastAsiaTheme="minorEastAsia"/>
                      <w:color w:val="auto"/>
                      <w:szCs w:val="21"/>
                    </w:rPr>
                  </w:pPr>
                  <w:r>
                    <w:rPr>
                      <w:rFonts w:eastAsiaTheme="minorEastAsia"/>
                      <w:color w:val="auto"/>
                      <w:szCs w:val="21"/>
                    </w:rPr>
                    <w:t>本项目</w:t>
                  </w:r>
                  <w:r>
                    <w:rPr>
                      <w:rFonts w:hint="eastAsia" w:eastAsiaTheme="minorEastAsia"/>
                      <w:color w:val="auto"/>
                      <w:szCs w:val="21"/>
                    </w:rPr>
                    <w:t>属于C3054日用玻璃制品制造，</w:t>
                  </w:r>
                  <w:r>
                    <w:rPr>
                      <w:rFonts w:eastAsiaTheme="minorEastAsia"/>
                      <w:color w:val="auto"/>
                      <w:szCs w:val="21"/>
                    </w:rPr>
                    <w:t>对照《产业结构调整指导目录</w:t>
                  </w:r>
                  <w:r>
                    <w:rPr>
                      <w:rFonts w:hint="eastAsia" w:eastAsiaTheme="minorEastAsia"/>
                      <w:color w:val="auto"/>
                      <w:szCs w:val="21"/>
                    </w:rPr>
                    <w:t>（</w:t>
                  </w:r>
                  <w:r>
                    <w:rPr>
                      <w:rFonts w:eastAsiaTheme="minorEastAsia"/>
                      <w:color w:val="auto"/>
                      <w:szCs w:val="21"/>
                    </w:rPr>
                    <w:t>20</w:t>
                  </w:r>
                  <w:r>
                    <w:rPr>
                      <w:rFonts w:hint="eastAsia" w:eastAsiaTheme="minorEastAsia"/>
                      <w:color w:val="auto"/>
                      <w:szCs w:val="21"/>
                    </w:rPr>
                    <w:t>24</w:t>
                  </w:r>
                  <w:r>
                    <w:rPr>
                      <w:rFonts w:eastAsiaTheme="minorEastAsia"/>
                      <w:color w:val="auto"/>
                      <w:szCs w:val="21"/>
                    </w:rPr>
                    <w:t>年本</w:t>
                  </w:r>
                  <w:r>
                    <w:rPr>
                      <w:rFonts w:hint="eastAsia" w:eastAsiaTheme="minorEastAsia"/>
                      <w:color w:val="auto"/>
                      <w:szCs w:val="21"/>
                    </w:rPr>
                    <w:t>）</w:t>
                  </w:r>
                  <w:r>
                    <w:rPr>
                      <w:rFonts w:eastAsiaTheme="minorEastAsia"/>
                      <w:color w:val="auto"/>
                      <w:szCs w:val="21"/>
                    </w:rPr>
                    <w:t>》，本项目不属于限制类或淘汰类项目</w:t>
                  </w:r>
                  <w:r>
                    <w:rPr>
                      <w:rFonts w:hint="eastAsia" w:eastAsiaTheme="minorEastAsia"/>
                      <w:color w:val="auto"/>
                      <w:szCs w:val="21"/>
                    </w:rPr>
                    <w:t>，视为允许建设项目，本项目建设符合国家产业政策要求；对照</w:t>
                  </w:r>
                  <w:r>
                    <w:rPr>
                      <w:rFonts w:eastAsiaTheme="minorEastAsia"/>
                      <w:color w:val="auto"/>
                      <w:szCs w:val="21"/>
                    </w:rPr>
                    <w:t>《安徽</w:t>
                  </w:r>
                  <w:r>
                    <w:rPr>
                      <w:rFonts w:ascii="宋体" w:hAnsi="宋体"/>
                      <w:color w:val="auto"/>
                      <w:szCs w:val="21"/>
                    </w:rPr>
                    <w:t>省“两高”项</w:t>
                  </w:r>
                  <w:r>
                    <w:rPr>
                      <w:rFonts w:eastAsiaTheme="minorEastAsia"/>
                      <w:color w:val="auto"/>
                      <w:szCs w:val="21"/>
                    </w:rPr>
                    <w:t>目管理目录（</w:t>
                  </w:r>
                  <w:r>
                    <w:rPr>
                      <w:rFonts w:hint="eastAsia" w:eastAsiaTheme="minorEastAsia"/>
                      <w:color w:val="auto"/>
                      <w:szCs w:val="21"/>
                    </w:rPr>
                    <w:t>试行</w:t>
                  </w:r>
                  <w:r>
                    <w:rPr>
                      <w:rFonts w:eastAsiaTheme="minorEastAsia"/>
                      <w:color w:val="auto"/>
                      <w:szCs w:val="21"/>
                    </w:rPr>
                    <w:t>）》</w:t>
                  </w:r>
                  <w:r>
                    <w:rPr>
                      <w:rFonts w:hint="eastAsia" w:eastAsiaTheme="minorEastAsia"/>
                      <w:color w:val="auto"/>
                      <w:szCs w:val="21"/>
                    </w:rPr>
                    <w:t>，</w:t>
                  </w:r>
                  <w:r>
                    <w:rPr>
                      <w:rFonts w:eastAsiaTheme="minorEastAsia"/>
                      <w:color w:val="auto"/>
                      <w:szCs w:val="21"/>
                    </w:rPr>
                    <w:t>本项目不属于</w:t>
                  </w:r>
                  <w:r>
                    <w:rPr>
                      <w:rFonts w:hint="eastAsia" w:eastAsiaTheme="minorEastAsia"/>
                      <w:color w:val="auto"/>
                      <w:szCs w:val="21"/>
                    </w:rPr>
                    <w:t>高</w:t>
                  </w:r>
                  <w:r>
                    <w:rPr>
                      <w:rFonts w:eastAsiaTheme="minorEastAsia"/>
                      <w:color w:val="auto"/>
                      <w:szCs w:val="21"/>
                    </w:rPr>
                    <w:t>耗能</w:t>
                  </w:r>
                  <w:r>
                    <w:rPr>
                      <w:rFonts w:hint="eastAsia" w:eastAsiaTheme="minorEastAsia"/>
                      <w:color w:val="auto"/>
                      <w:szCs w:val="21"/>
                    </w:rPr>
                    <w:t>、</w:t>
                  </w:r>
                  <w:r>
                    <w:rPr>
                      <w:rFonts w:eastAsiaTheme="minorEastAsia"/>
                      <w:color w:val="auto"/>
                      <w:szCs w:val="21"/>
                    </w:rPr>
                    <w:t>高排放项目</w:t>
                  </w:r>
                </w:p>
              </w:tc>
              <w:tc>
                <w:tcPr>
                  <w:tcW w:w="490" w:type="pct"/>
                  <w:vAlign w:val="center"/>
                </w:tcPr>
                <w:p w14:paraId="3A469356">
                  <w:pPr>
                    <w:autoSpaceDE w:val="0"/>
                    <w:autoSpaceDN w:val="0"/>
                    <w:spacing w:line="276" w:lineRule="auto"/>
                    <w:jc w:val="center"/>
                    <w:rPr>
                      <w:rFonts w:eastAsiaTheme="minorEastAsia"/>
                      <w:color w:val="auto"/>
                      <w:szCs w:val="21"/>
                    </w:rPr>
                  </w:pPr>
                  <w:r>
                    <w:rPr>
                      <w:rFonts w:hint="eastAsia" w:eastAsiaTheme="minorEastAsia"/>
                      <w:color w:val="auto"/>
                      <w:szCs w:val="21"/>
                    </w:rPr>
                    <w:t>不属于</w:t>
                  </w:r>
                </w:p>
              </w:tc>
            </w:tr>
            <w:tr w14:paraId="16AD5680">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5" w:type="pct"/>
                  <w:vMerge w:val="restart"/>
                  <w:vAlign w:val="center"/>
                </w:tcPr>
                <w:p w14:paraId="749E15D2">
                  <w:pPr>
                    <w:adjustRightInd w:val="0"/>
                    <w:snapToGrid w:val="0"/>
                    <w:spacing w:line="276" w:lineRule="auto"/>
                    <w:jc w:val="center"/>
                    <w:rPr>
                      <w:rFonts w:eastAsiaTheme="minorEastAsia"/>
                      <w:color w:val="auto"/>
                      <w:szCs w:val="21"/>
                    </w:rPr>
                  </w:pPr>
                  <w:r>
                    <w:rPr>
                      <w:rFonts w:eastAsiaTheme="minorEastAsia"/>
                      <w:color w:val="auto"/>
                      <w:szCs w:val="21"/>
                    </w:rPr>
                    <w:t>2</w:t>
                  </w:r>
                </w:p>
              </w:tc>
              <w:tc>
                <w:tcPr>
                  <w:tcW w:w="670" w:type="pct"/>
                  <w:vMerge w:val="restart"/>
                  <w:vAlign w:val="center"/>
                </w:tcPr>
                <w:p w14:paraId="1F0185CD">
                  <w:pPr>
                    <w:adjustRightInd w:val="0"/>
                    <w:snapToGrid w:val="0"/>
                    <w:spacing w:line="276" w:lineRule="auto"/>
                    <w:jc w:val="center"/>
                    <w:rPr>
                      <w:rFonts w:eastAsiaTheme="minorEastAsia"/>
                      <w:color w:val="auto"/>
                      <w:szCs w:val="21"/>
                    </w:rPr>
                  </w:pPr>
                  <w:r>
                    <w:rPr>
                      <w:rFonts w:hAnsiTheme="minorEastAsia" w:eastAsiaTheme="minorEastAsia"/>
                      <w:color w:val="auto"/>
                      <w:szCs w:val="21"/>
                    </w:rPr>
                    <w:t>严格落实产能置换要求</w:t>
                  </w:r>
                </w:p>
              </w:tc>
              <w:tc>
                <w:tcPr>
                  <w:tcW w:w="1394" w:type="pct"/>
                  <w:vAlign w:val="center"/>
                </w:tcPr>
                <w:p w14:paraId="55D89D3E">
                  <w:pPr>
                    <w:adjustRightInd w:val="0"/>
                    <w:snapToGrid w:val="0"/>
                    <w:spacing w:line="276" w:lineRule="auto"/>
                    <w:jc w:val="center"/>
                    <w:rPr>
                      <w:rFonts w:eastAsiaTheme="minorEastAsia"/>
                      <w:color w:val="auto"/>
                      <w:szCs w:val="21"/>
                    </w:rPr>
                  </w:pPr>
                  <w:r>
                    <w:rPr>
                      <w:rFonts w:hAnsiTheme="minorEastAsia" w:eastAsiaTheme="minorEastAsia"/>
                      <w:color w:val="auto"/>
                      <w:szCs w:val="21"/>
                    </w:rPr>
                    <w:t>推动产能过剩行业减量发展、优化布局。不以任何名义、任何方式核准、备案产能严重过剩行业新增产能项目</w:t>
                  </w:r>
                </w:p>
              </w:tc>
              <w:tc>
                <w:tcPr>
                  <w:tcW w:w="1172" w:type="pct"/>
                  <w:vAlign w:val="center"/>
                </w:tcPr>
                <w:p w14:paraId="3B801A13">
                  <w:pPr>
                    <w:adjustRightInd w:val="0"/>
                    <w:snapToGrid w:val="0"/>
                    <w:spacing w:line="276" w:lineRule="auto"/>
                    <w:jc w:val="center"/>
                    <w:rPr>
                      <w:rFonts w:hAnsiTheme="minorEastAsia" w:eastAsiaTheme="minorEastAsia"/>
                      <w:color w:val="auto"/>
                      <w:szCs w:val="21"/>
                    </w:rPr>
                  </w:pPr>
                  <w:r>
                    <w:rPr>
                      <w:rFonts w:hAnsiTheme="minorEastAsia" w:eastAsiaTheme="minorEastAsia"/>
                      <w:color w:val="auto"/>
                      <w:szCs w:val="21"/>
                    </w:rPr>
                    <w:t>严重过剩行业新增产能项目环评不予审批</w:t>
                  </w:r>
                </w:p>
              </w:tc>
              <w:tc>
                <w:tcPr>
                  <w:tcW w:w="949" w:type="pct"/>
                  <w:vAlign w:val="center"/>
                </w:tcPr>
                <w:p w14:paraId="29C70F51">
                  <w:pPr>
                    <w:spacing w:line="276" w:lineRule="auto"/>
                    <w:jc w:val="center"/>
                    <w:rPr>
                      <w:rFonts w:hAnsiTheme="minorEastAsia" w:eastAsiaTheme="minorEastAsia"/>
                      <w:color w:val="auto"/>
                      <w:szCs w:val="21"/>
                    </w:rPr>
                  </w:pPr>
                  <w:r>
                    <w:rPr>
                      <w:rFonts w:hAnsiTheme="minorEastAsia" w:eastAsiaTheme="minorEastAsia"/>
                      <w:color w:val="auto"/>
                      <w:szCs w:val="21"/>
                    </w:rPr>
                    <w:t>本项目</w:t>
                  </w:r>
                  <w:r>
                    <w:rPr>
                      <w:rFonts w:hint="eastAsia" w:hAnsiTheme="minorEastAsia" w:eastAsiaTheme="minorEastAsia"/>
                      <w:color w:val="auto"/>
                      <w:szCs w:val="21"/>
                    </w:rPr>
                    <w:t>不属于产能过剩行业</w:t>
                  </w:r>
                </w:p>
              </w:tc>
              <w:tc>
                <w:tcPr>
                  <w:tcW w:w="490" w:type="pct"/>
                  <w:vAlign w:val="center"/>
                </w:tcPr>
                <w:p w14:paraId="036AF18F">
                  <w:pPr>
                    <w:spacing w:line="276" w:lineRule="auto"/>
                    <w:jc w:val="center"/>
                    <w:rPr>
                      <w:rFonts w:eastAsiaTheme="minorEastAsia"/>
                      <w:b/>
                      <w:color w:val="auto"/>
                      <w:szCs w:val="21"/>
                    </w:rPr>
                  </w:pPr>
                  <w:r>
                    <w:rPr>
                      <w:rFonts w:hint="eastAsia" w:eastAsiaTheme="minorEastAsia"/>
                      <w:color w:val="auto"/>
                      <w:szCs w:val="21"/>
                    </w:rPr>
                    <w:t>不属于</w:t>
                  </w:r>
                </w:p>
              </w:tc>
            </w:tr>
            <w:tr w14:paraId="22980FBA">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jc w:val="center"/>
              </w:trPr>
              <w:tc>
                <w:tcPr>
                  <w:tcW w:w="325" w:type="pct"/>
                  <w:vMerge w:val="continue"/>
                  <w:vAlign w:val="center"/>
                </w:tcPr>
                <w:p w14:paraId="67EFB4E2">
                  <w:pPr>
                    <w:spacing w:line="276" w:lineRule="auto"/>
                    <w:jc w:val="center"/>
                    <w:rPr>
                      <w:rFonts w:eastAsiaTheme="minorEastAsia"/>
                      <w:b/>
                      <w:color w:val="auto"/>
                      <w:szCs w:val="21"/>
                    </w:rPr>
                  </w:pPr>
                </w:p>
              </w:tc>
              <w:tc>
                <w:tcPr>
                  <w:tcW w:w="670" w:type="pct"/>
                  <w:vMerge w:val="continue"/>
                  <w:vAlign w:val="center"/>
                </w:tcPr>
                <w:p w14:paraId="0F657209">
                  <w:pPr>
                    <w:spacing w:line="276" w:lineRule="auto"/>
                    <w:jc w:val="center"/>
                    <w:rPr>
                      <w:rFonts w:eastAsiaTheme="minorEastAsia"/>
                      <w:b/>
                      <w:color w:val="auto"/>
                      <w:szCs w:val="21"/>
                    </w:rPr>
                  </w:pPr>
                </w:p>
              </w:tc>
              <w:tc>
                <w:tcPr>
                  <w:tcW w:w="1394" w:type="pct"/>
                  <w:vAlign w:val="center"/>
                </w:tcPr>
                <w:p w14:paraId="68ED377D">
                  <w:pPr>
                    <w:spacing w:line="276" w:lineRule="auto"/>
                    <w:jc w:val="center"/>
                    <w:rPr>
                      <w:rFonts w:hAnsiTheme="minorEastAsia" w:eastAsiaTheme="minorEastAsia"/>
                      <w:color w:val="auto"/>
                      <w:szCs w:val="21"/>
                    </w:rPr>
                  </w:pPr>
                  <w:r>
                    <w:rPr>
                      <w:rFonts w:hAnsiTheme="minorEastAsia" w:eastAsiaTheme="minorEastAsia"/>
                      <w:color w:val="auto"/>
                      <w:szCs w:val="21"/>
                    </w:rPr>
                    <w:t>被置换产能及其配套设施关停后，新建项目方可投产</w:t>
                  </w:r>
                </w:p>
              </w:tc>
              <w:tc>
                <w:tcPr>
                  <w:tcW w:w="1172" w:type="pct"/>
                  <w:vAlign w:val="center"/>
                </w:tcPr>
                <w:p w14:paraId="6E80CFFD">
                  <w:pPr>
                    <w:spacing w:line="276" w:lineRule="auto"/>
                    <w:jc w:val="center"/>
                    <w:rPr>
                      <w:rFonts w:hAnsiTheme="minorEastAsia" w:eastAsiaTheme="minorEastAsia"/>
                      <w:color w:val="auto"/>
                      <w:szCs w:val="21"/>
                    </w:rPr>
                  </w:pPr>
                  <w:r>
                    <w:rPr>
                      <w:rFonts w:hAnsiTheme="minorEastAsia" w:eastAsiaTheme="minorEastAsia"/>
                      <w:color w:val="auto"/>
                      <w:szCs w:val="21"/>
                    </w:rPr>
                    <w:t>涉及产能置换项目环评阶段应取得置换产能</w:t>
                  </w:r>
                </w:p>
              </w:tc>
              <w:tc>
                <w:tcPr>
                  <w:tcW w:w="949" w:type="pct"/>
                  <w:vAlign w:val="center"/>
                </w:tcPr>
                <w:p w14:paraId="7EA8F3F9">
                  <w:pPr>
                    <w:spacing w:line="276" w:lineRule="auto"/>
                    <w:jc w:val="center"/>
                    <w:rPr>
                      <w:rFonts w:hAnsiTheme="minorEastAsia" w:eastAsiaTheme="minorEastAsia"/>
                      <w:color w:val="auto"/>
                      <w:szCs w:val="21"/>
                    </w:rPr>
                  </w:pPr>
                  <w:r>
                    <w:rPr>
                      <w:rFonts w:hAnsiTheme="minorEastAsia" w:eastAsiaTheme="minorEastAsia"/>
                      <w:color w:val="auto"/>
                      <w:szCs w:val="21"/>
                    </w:rPr>
                    <w:t>不涉及</w:t>
                  </w:r>
                </w:p>
              </w:tc>
              <w:tc>
                <w:tcPr>
                  <w:tcW w:w="490" w:type="pct"/>
                  <w:vAlign w:val="center"/>
                </w:tcPr>
                <w:p w14:paraId="6DAC156F">
                  <w:pPr>
                    <w:spacing w:line="276" w:lineRule="auto"/>
                    <w:jc w:val="center"/>
                    <w:rPr>
                      <w:rFonts w:eastAsiaTheme="minorEastAsia"/>
                      <w:b/>
                      <w:color w:val="auto"/>
                      <w:szCs w:val="21"/>
                    </w:rPr>
                  </w:pPr>
                  <w:r>
                    <w:rPr>
                      <w:rFonts w:hint="eastAsia" w:eastAsiaTheme="minorEastAsia"/>
                      <w:color w:val="auto"/>
                      <w:szCs w:val="21"/>
                    </w:rPr>
                    <w:t>不属于</w:t>
                  </w:r>
                </w:p>
              </w:tc>
            </w:tr>
            <w:tr w14:paraId="4FB803F7">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00" w:type="pct"/>
                  <w:gridSpan w:val="6"/>
                  <w:vAlign w:val="center"/>
                </w:tcPr>
                <w:p w14:paraId="7C21F216">
                  <w:pPr>
                    <w:spacing w:line="276" w:lineRule="auto"/>
                    <w:jc w:val="center"/>
                    <w:rPr>
                      <w:rFonts w:eastAsiaTheme="minorEastAsia"/>
                      <w:b/>
                      <w:color w:val="auto"/>
                      <w:szCs w:val="21"/>
                    </w:rPr>
                  </w:pPr>
                  <w:r>
                    <w:rPr>
                      <w:rFonts w:hAnsiTheme="minorEastAsia" w:eastAsiaTheme="minorEastAsia"/>
                      <w:color w:val="auto"/>
                      <w:szCs w:val="21"/>
                    </w:rPr>
                    <w:t>（二）有序推动落后产能淘汰</w:t>
                  </w:r>
                </w:p>
              </w:tc>
            </w:tr>
            <w:tr w14:paraId="5E624690">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5" w:type="pct"/>
                  <w:vMerge w:val="restart"/>
                  <w:vAlign w:val="center"/>
                </w:tcPr>
                <w:p w14:paraId="2A0ECD66">
                  <w:pPr>
                    <w:adjustRightInd w:val="0"/>
                    <w:snapToGrid w:val="0"/>
                    <w:spacing w:line="276" w:lineRule="auto"/>
                    <w:jc w:val="center"/>
                    <w:rPr>
                      <w:rFonts w:eastAsiaTheme="minorEastAsia"/>
                      <w:color w:val="auto"/>
                      <w:szCs w:val="21"/>
                    </w:rPr>
                  </w:pPr>
                  <w:r>
                    <w:rPr>
                      <w:rFonts w:eastAsiaTheme="minorEastAsia"/>
                      <w:color w:val="auto"/>
                      <w:szCs w:val="21"/>
                    </w:rPr>
                    <w:t>5</w:t>
                  </w:r>
                </w:p>
              </w:tc>
              <w:tc>
                <w:tcPr>
                  <w:tcW w:w="670" w:type="pct"/>
                  <w:vMerge w:val="restart"/>
                  <w:vAlign w:val="center"/>
                </w:tcPr>
                <w:p w14:paraId="66865F30">
                  <w:pPr>
                    <w:adjustRightInd w:val="0"/>
                    <w:snapToGrid w:val="0"/>
                    <w:spacing w:line="276" w:lineRule="auto"/>
                    <w:jc w:val="center"/>
                    <w:rPr>
                      <w:rFonts w:eastAsiaTheme="minorEastAsia"/>
                      <w:color w:val="auto"/>
                      <w:szCs w:val="21"/>
                    </w:rPr>
                  </w:pPr>
                  <w:r>
                    <w:rPr>
                      <w:rFonts w:hAnsiTheme="minorEastAsia" w:eastAsiaTheme="minorEastAsia"/>
                      <w:color w:val="auto"/>
                      <w:szCs w:val="21"/>
                    </w:rPr>
                    <w:t>有序推动生产设施老旧、工艺水平落后、环境管理水平低下等企业退出市场</w:t>
                  </w:r>
                </w:p>
              </w:tc>
              <w:tc>
                <w:tcPr>
                  <w:tcW w:w="1394" w:type="pct"/>
                  <w:vAlign w:val="center"/>
                </w:tcPr>
                <w:p w14:paraId="3C141156">
                  <w:pPr>
                    <w:adjustRightInd w:val="0"/>
                    <w:snapToGrid w:val="0"/>
                    <w:spacing w:line="276" w:lineRule="auto"/>
                    <w:jc w:val="center"/>
                    <w:rPr>
                      <w:rFonts w:eastAsiaTheme="minorEastAsia"/>
                      <w:color w:val="auto"/>
                      <w:szCs w:val="21"/>
                    </w:rPr>
                  </w:pPr>
                  <w:r>
                    <w:rPr>
                      <w:rFonts w:hAnsiTheme="minorEastAsia" w:eastAsiaTheme="minorEastAsia"/>
                      <w:color w:val="auto"/>
                      <w:szCs w:val="21"/>
                    </w:rPr>
                    <w:t>逐步淘汰步进式烧结机和球团竖炉以及半封闭式硅锰合金、镍铁、高碳铬铁、高碳锰铁电炉。</w:t>
                  </w:r>
                </w:p>
                <w:p w14:paraId="22939AD6">
                  <w:pPr>
                    <w:adjustRightInd w:val="0"/>
                    <w:snapToGrid w:val="0"/>
                    <w:spacing w:line="276" w:lineRule="auto"/>
                    <w:jc w:val="center"/>
                    <w:rPr>
                      <w:rFonts w:eastAsiaTheme="minorEastAsia"/>
                      <w:color w:val="auto"/>
                      <w:szCs w:val="21"/>
                    </w:rPr>
                  </w:pPr>
                  <w:r>
                    <w:rPr>
                      <w:rFonts w:hAnsiTheme="minorEastAsia" w:eastAsiaTheme="minorEastAsia"/>
                      <w:color w:val="auto"/>
                      <w:szCs w:val="21"/>
                    </w:rPr>
                    <w:t>有序推动落后煤炭洗选企业退出市场。</w:t>
                  </w:r>
                </w:p>
                <w:p w14:paraId="43F410A0">
                  <w:pPr>
                    <w:adjustRightInd w:val="0"/>
                    <w:snapToGrid w:val="0"/>
                    <w:spacing w:line="276" w:lineRule="auto"/>
                    <w:jc w:val="center"/>
                    <w:rPr>
                      <w:rFonts w:eastAsiaTheme="minorEastAsia"/>
                      <w:color w:val="auto"/>
                      <w:szCs w:val="21"/>
                    </w:rPr>
                  </w:pPr>
                  <w:r>
                    <w:rPr>
                      <w:rFonts w:hAnsiTheme="minorEastAsia" w:eastAsiaTheme="minorEastAsia"/>
                      <w:color w:val="auto"/>
                      <w:szCs w:val="21"/>
                    </w:rPr>
                    <w:t>禁止铝加工（深井铸造）企业新改扩建项目采用固定式保温炉组、钢丝绳铸造机</w:t>
                  </w:r>
                </w:p>
              </w:tc>
              <w:tc>
                <w:tcPr>
                  <w:tcW w:w="1172" w:type="pct"/>
                  <w:vAlign w:val="center"/>
                </w:tcPr>
                <w:p w14:paraId="32C6FAFF">
                  <w:pPr>
                    <w:adjustRightInd w:val="0"/>
                    <w:snapToGrid w:val="0"/>
                    <w:spacing w:line="276" w:lineRule="auto"/>
                    <w:jc w:val="center"/>
                    <w:rPr>
                      <w:rFonts w:hAnsiTheme="minorEastAsia" w:eastAsiaTheme="minorEastAsia"/>
                      <w:color w:val="auto"/>
                      <w:szCs w:val="21"/>
                    </w:rPr>
                  </w:pPr>
                  <w:r>
                    <w:rPr>
                      <w:rFonts w:hAnsiTheme="minorEastAsia" w:eastAsiaTheme="minorEastAsia"/>
                      <w:color w:val="auto"/>
                      <w:szCs w:val="21"/>
                    </w:rPr>
                    <w:t>采用步进式烧结机和球团竖炉以及半封闭式硅锰合金、镍铁、高碳铬铁、高碳锰铁电炉新建项目环评不予审批</w:t>
                  </w:r>
                </w:p>
              </w:tc>
              <w:tc>
                <w:tcPr>
                  <w:tcW w:w="949" w:type="pct"/>
                  <w:vAlign w:val="center"/>
                </w:tcPr>
                <w:p w14:paraId="4D14E293">
                  <w:pPr>
                    <w:spacing w:line="276" w:lineRule="auto"/>
                    <w:jc w:val="center"/>
                    <w:rPr>
                      <w:rFonts w:hAnsiTheme="minorEastAsia" w:eastAsiaTheme="minorEastAsia"/>
                      <w:color w:val="auto"/>
                      <w:szCs w:val="21"/>
                    </w:rPr>
                  </w:pPr>
                  <w:r>
                    <w:rPr>
                      <w:rFonts w:hAnsiTheme="minorEastAsia" w:eastAsiaTheme="minorEastAsia"/>
                      <w:color w:val="auto"/>
                      <w:szCs w:val="21"/>
                    </w:rPr>
                    <w:t>不涉及</w:t>
                  </w:r>
                </w:p>
              </w:tc>
              <w:tc>
                <w:tcPr>
                  <w:tcW w:w="490" w:type="pct"/>
                  <w:vAlign w:val="center"/>
                </w:tcPr>
                <w:p w14:paraId="28447780">
                  <w:pPr>
                    <w:autoSpaceDE w:val="0"/>
                    <w:autoSpaceDN w:val="0"/>
                    <w:spacing w:line="276" w:lineRule="auto"/>
                    <w:jc w:val="center"/>
                    <w:rPr>
                      <w:rFonts w:eastAsiaTheme="minorEastAsia"/>
                      <w:color w:val="auto"/>
                      <w:szCs w:val="21"/>
                    </w:rPr>
                  </w:pPr>
                  <w:r>
                    <w:rPr>
                      <w:rFonts w:hint="eastAsia" w:eastAsiaTheme="minorEastAsia"/>
                      <w:color w:val="auto"/>
                      <w:szCs w:val="21"/>
                    </w:rPr>
                    <w:t>不属于</w:t>
                  </w:r>
                </w:p>
              </w:tc>
            </w:tr>
            <w:tr w14:paraId="506B763F">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5" w:type="pct"/>
                  <w:vMerge w:val="continue"/>
                  <w:vAlign w:val="center"/>
                </w:tcPr>
                <w:p w14:paraId="3B18F449">
                  <w:pPr>
                    <w:spacing w:line="276" w:lineRule="auto"/>
                    <w:jc w:val="center"/>
                    <w:rPr>
                      <w:rFonts w:eastAsiaTheme="minorEastAsia"/>
                      <w:b/>
                      <w:color w:val="auto"/>
                      <w:szCs w:val="21"/>
                    </w:rPr>
                  </w:pPr>
                </w:p>
              </w:tc>
              <w:tc>
                <w:tcPr>
                  <w:tcW w:w="670" w:type="pct"/>
                  <w:vMerge w:val="continue"/>
                  <w:vAlign w:val="center"/>
                </w:tcPr>
                <w:p w14:paraId="44A0A679">
                  <w:pPr>
                    <w:spacing w:line="276" w:lineRule="auto"/>
                    <w:jc w:val="center"/>
                    <w:rPr>
                      <w:rFonts w:eastAsiaTheme="minorEastAsia"/>
                      <w:b/>
                      <w:color w:val="auto"/>
                      <w:szCs w:val="21"/>
                    </w:rPr>
                  </w:pPr>
                </w:p>
              </w:tc>
              <w:tc>
                <w:tcPr>
                  <w:tcW w:w="1394" w:type="pct"/>
                  <w:vAlign w:val="center"/>
                </w:tcPr>
                <w:p w14:paraId="15C4A740">
                  <w:pPr>
                    <w:spacing w:line="276" w:lineRule="auto"/>
                    <w:jc w:val="center"/>
                    <w:rPr>
                      <w:rFonts w:eastAsiaTheme="minorEastAsia"/>
                      <w:b/>
                      <w:color w:val="auto"/>
                      <w:szCs w:val="21"/>
                    </w:rPr>
                  </w:pPr>
                  <w:r>
                    <w:rPr>
                      <w:rFonts w:hAnsiTheme="minorEastAsia" w:eastAsiaTheme="minorEastAsia"/>
                      <w:color w:val="auto"/>
                      <w:szCs w:val="21"/>
                    </w:rPr>
                    <w:t>落后煤炭洗选项目不予审批</w:t>
                  </w:r>
                </w:p>
              </w:tc>
              <w:tc>
                <w:tcPr>
                  <w:tcW w:w="1172" w:type="pct"/>
                  <w:vAlign w:val="center"/>
                </w:tcPr>
                <w:p w14:paraId="4A936FE6">
                  <w:pPr>
                    <w:adjustRightInd w:val="0"/>
                    <w:snapToGrid w:val="0"/>
                    <w:spacing w:line="276" w:lineRule="auto"/>
                    <w:jc w:val="center"/>
                    <w:rPr>
                      <w:rFonts w:hAnsiTheme="minorEastAsia" w:eastAsiaTheme="minorEastAsia"/>
                      <w:color w:val="auto"/>
                      <w:szCs w:val="21"/>
                    </w:rPr>
                  </w:pPr>
                  <w:r>
                    <w:rPr>
                      <w:rFonts w:hAnsiTheme="minorEastAsia" w:eastAsiaTheme="minorEastAsia"/>
                      <w:color w:val="auto"/>
                      <w:szCs w:val="21"/>
                    </w:rPr>
                    <w:t>落后煤炭洗选项目不予审批</w:t>
                  </w:r>
                </w:p>
              </w:tc>
              <w:tc>
                <w:tcPr>
                  <w:tcW w:w="949" w:type="pct"/>
                  <w:vAlign w:val="center"/>
                </w:tcPr>
                <w:p w14:paraId="6BA1C786">
                  <w:pPr>
                    <w:spacing w:line="276" w:lineRule="auto"/>
                    <w:jc w:val="center"/>
                    <w:rPr>
                      <w:rFonts w:hAnsiTheme="minorEastAsia" w:eastAsiaTheme="minorEastAsia"/>
                      <w:color w:val="auto"/>
                      <w:szCs w:val="21"/>
                    </w:rPr>
                  </w:pPr>
                  <w:r>
                    <w:rPr>
                      <w:rFonts w:hAnsiTheme="minorEastAsia" w:eastAsiaTheme="minorEastAsia"/>
                      <w:color w:val="auto"/>
                      <w:szCs w:val="21"/>
                    </w:rPr>
                    <w:t>本项目</w:t>
                  </w:r>
                  <w:r>
                    <w:rPr>
                      <w:rFonts w:hint="eastAsia" w:eastAsiaTheme="minorEastAsia"/>
                      <w:color w:val="auto"/>
                      <w:szCs w:val="21"/>
                    </w:rPr>
                    <w:t>属于C3054日用玻璃制品制造，涉及喷涂工序，</w:t>
                  </w:r>
                  <w:r>
                    <w:rPr>
                      <w:rFonts w:hAnsiTheme="minorEastAsia" w:eastAsiaTheme="minorEastAsia"/>
                      <w:color w:val="auto"/>
                      <w:szCs w:val="21"/>
                    </w:rPr>
                    <w:t>不属于煤炭洗选项目</w:t>
                  </w:r>
                </w:p>
              </w:tc>
              <w:tc>
                <w:tcPr>
                  <w:tcW w:w="490" w:type="pct"/>
                  <w:vAlign w:val="center"/>
                </w:tcPr>
                <w:p w14:paraId="28A945A3">
                  <w:pPr>
                    <w:spacing w:line="276" w:lineRule="auto"/>
                    <w:jc w:val="center"/>
                    <w:rPr>
                      <w:rFonts w:eastAsiaTheme="minorEastAsia"/>
                      <w:b/>
                      <w:color w:val="auto"/>
                      <w:szCs w:val="21"/>
                    </w:rPr>
                  </w:pPr>
                  <w:r>
                    <w:rPr>
                      <w:rFonts w:hint="eastAsia" w:eastAsiaTheme="minorEastAsia"/>
                      <w:color w:val="auto"/>
                      <w:szCs w:val="21"/>
                    </w:rPr>
                    <w:t>不属于</w:t>
                  </w:r>
                </w:p>
              </w:tc>
            </w:tr>
            <w:tr w14:paraId="7D253C25">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5" w:type="pct"/>
                  <w:vMerge w:val="continue"/>
                  <w:vAlign w:val="center"/>
                </w:tcPr>
                <w:p w14:paraId="53885EF0">
                  <w:pPr>
                    <w:spacing w:line="276" w:lineRule="auto"/>
                    <w:jc w:val="center"/>
                    <w:rPr>
                      <w:rFonts w:eastAsiaTheme="minorEastAsia"/>
                      <w:b/>
                      <w:color w:val="auto"/>
                      <w:szCs w:val="21"/>
                    </w:rPr>
                  </w:pPr>
                </w:p>
              </w:tc>
              <w:tc>
                <w:tcPr>
                  <w:tcW w:w="670" w:type="pct"/>
                  <w:vMerge w:val="continue"/>
                  <w:vAlign w:val="center"/>
                </w:tcPr>
                <w:p w14:paraId="4CEA5CC7">
                  <w:pPr>
                    <w:spacing w:line="276" w:lineRule="auto"/>
                    <w:jc w:val="center"/>
                    <w:rPr>
                      <w:rFonts w:eastAsiaTheme="minorEastAsia"/>
                      <w:b/>
                      <w:color w:val="auto"/>
                      <w:szCs w:val="21"/>
                    </w:rPr>
                  </w:pPr>
                </w:p>
              </w:tc>
              <w:tc>
                <w:tcPr>
                  <w:tcW w:w="1394" w:type="pct"/>
                  <w:vAlign w:val="center"/>
                </w:tcPr>
                <w:p w14:paraId="4E0846ED">
                  <w:pPr>
                    <w:spacing w:line="276" w:lineRule="auto"/>
                    <w:jc w:val="center"/>
                    <w:rPr>
                      <w:rFonts w:eastAsiaTheme="minorEastAsia"/>
                      <w:b/>
                      <w:color w:val="auto"/>
                      <w:szCs w:val="21"/>
                    </w:rPr>
                  </w:pPr>
                  <w:r>
                    <w:rPr>
                      <w:rFonts w:hAnsiTheme="minorEastAsia" w:eastAsiaTheme="minorEastAsia"/>
                      <w:color w:val="auto"/>
                      <w:szCs w:val="21"/>
                    </w:rPr>
                    <w:t>采用固定式保温炉组、钢丝绳铸造机的新改扩建铝加工（深井铸造）项目环评不予审批</w:t>
                  </w:r>
                </w:p>
              </w:tc>
              <w:tc>
                <w:tcPr>
                  <w:tcW w:w="1172" w:type="pct"/>
                  <w:vAlign w:val="center"/>
                </w:tcPr>
                <w:p w14:paraId="4EFECA77">
                  <w:pPr>
                    <w:adjustRightInd w:val="0"/>
                    <w:snapToGrid w:val="0"/>
                    <w:spacing w:line="276" w:lineRule="auto"/>
                    <w:jc w:val="center"/>
                    <w:rPr>
                      <w:rFonts w:hAnsiTheme="minorEastAsia" w:eastAsiaTheme="minorEastAsia"/>
                      <w:color w:val="auto"/>
                      <w:szCs w:val="21"/>
                    </w:rPr>
                  </w:pPr>
                  <w:r>
                    <w:rPr>
                      <w:rFonts w:hAnsiTheme="minorEastAsia" w:eastAsiaTheme="minorEastAsia"/>
                      <w:color w:val="auto"/>
                      <w:szCs w:val="21"/>
                    </w:rPr>
                    <w:t>采用固定式保温炉组、钢丝绳铸造机的新改扩建铝加工（深井铸造）项目环评不予审批</w:t>
                  </w:r>
                </w:p>
              </w:tc>
              <w:tc>
                <w:tcPr>
                  <w:tcW w:w="949" w:type="pct"/>
                  <w:vAlign w:val="center"/>
                </w:tcPr>
                <w:p w14:paraId="265EE75F">
                  <w:pPr>
                    <w:spacing w:line="276" w:lineRule="auto"/>
                    <w:jc w:val="center"/>
                    <w:rPr>
                      <w:rFonts w:hAnsiTheme="minorEastAsia" w:eastAsiaTheme="minorEastAsia"/>
                      <w:color w:val="auto"/>
                      <w:szCs w:val="21"/>
                    </w:rPr>
                  </w:pPr>
                  <w:r>
                    <w:rPr>
                      <w:rFonts w:hAnsiTheme="minorEastAsia" w:eastAsiaTheme="minorEastAsia"/>
                      <w:color w:val="auto"/>
                      <w:szCs w:val="21"/>
                    </w:rPr>
                    <w:t>不涉及</w:t>
                  </w:r>
                </w:p>
              </w:tc>
              <w:tc>
                <w:tcPr>
                  <w:tcW w:w="490" w:type="pct"/>
                  <w:vAlign w:val="center"/>
                </w:tcPr>
                <w:p w14:paraId="3D9C1925">
                  <w:pPr>
                    <w:autoSpaceDE w:val="0"/>
                    <w:autoSpaceDN w:val="0"/>
                    <w:spacing w:line="276" w:lineRule="auto"/>
                    <w:jc w:val="center"/>
                    <w:rPr>
                      <w:rFonts w:eastAsiaTheme="minorEastAsia"/>
                      <w:color w:val="auto"/>
                      <w:szCs w:val="21"/>
                    </w:rPr>
                  </w:pPr>
                  <w:r>
                    <w:rPr>
                      <w:rFonts w:hint="eastAsia" w:eastAsiaTheme="minorEastAsia"/>
                      <w:color w:val="auto"/>
                      <w:szCs w:val="21"/>
                    </w:rPr>
                    <w:t>不属于</w:t>
                  </w:r>
                </w:p>
              </w:tc>
            </w:tr>
            <w:tr w14:paraId="5F85FE35">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5" w:type="pct"/>
                  <w:vAlign w:val="center"/>
                </w:tcPr>
                <w:p w14:paraId="22DF3901">
                  <w:pPr>
                    <w:spacing w:line="276" w:lineRule="auto"/>
                    <w:jc w:val="center"/>
                    <w:rPr>
                      <w:rFonts w:eastAsiaTheme="minorEastAsia"/>
                      <w:color w:val="auto"/>
                      <w:szCs w:val="21"/>
                    </w:rPr>
                  </w:pPr>
                  <w:r>
                    <w:rPr>
                      <w:rFonts w:eastAsiaTheme="minorEastAsia"/>
                      <w:color w:val="auto"/>
                      <w:szCs w:val="21"/>
                    </w:rPr>
                    <w:t>6</w:t>
                  </w:r>
                </w:p>
              </w:tc>
              <w:tc>
                <w:tcPr>
                  <w:tcW w:w="670" w:type="pct"/>
                  <w:vAlign w:val="center"/>
                </w:tcPr>
                <w:p w14:paraId="7D3F81D5">
                  <w:pPr>
                    <w:adjustRightInd w:val="0"/>
                    <w:snapToGrid w:val="0"/>
                    <w:spacing w:line="276" w:lineRule="auto"/>
                    <w:jc w:val="center"/>
                    <w:rPr>
                      <w:rFonts w:eastAsiaTheme="minorEastAsia"/>
                      <w:color w:val="auto"/>
                      <w:szCs w:val="21"/>
                    </w:rPr>
                  </w:pPr>
                  <w:r>
                    <w:rPr>
                      <w:rFonts w:hAnsiTheme="minorEastAsia" w:eastAsiaTheme="minorEastAsia"/>
                      <w:color w:val="auto"/>
                      <w:szCs w:val="21"/>
                    </w:rPr>
                    <w:t>严禁违规新增产能</w:t>
                  </w:r>
                </w:p>
              </w:tc>
              <w:tc>
                <w:tcPr>
                  <w:tcW w:w="1394" w:type="pct"/>
                  <w:vAlign w:val="center"/>
                </w:tcPr>
                <w:p w14:paraId="5543D109">
                  <w:pPr>
                    <w:adjustRightInd w:val="0"/>
                    <w:snapToGrid w:val="0"/>
                    <w:spacing w:line="276" w:lineRule="auto"/>
                    <w:jc w:val="center"/>
                    <w:rPr>
                      <w:rFonts w:eastAsiaTheme="minorEastAsia"/>
                      <w:color w:val="auto"/>
                      <w:szCs w:val="21"/>
                    </w:rPr>
                  </w:pPr>
                  <w:r>
                    <w:rPr>
                      <w:rFonts w:hAnsiTheme="minorEastAsia" w:eastAsiaTheme="minorEastAsia"/>
                      <w:color w:val="auto"/>
                      <w:szCs w:val="21"/>
                    </w:rPr>
                    <w:t>严禁违规新增钢铁、水泥（熟料）、焦化、电解铝、平板玻璃（不含光伏压延玻璃）产能</w:t>
                  </w:r>
                </w:p>
              </w:tc>
              <w:tc>
                <w:tcPr>
                  <w:tcW w:w="1172" w:type="pct"/>
                  <w:vAlign w:val="center"/>
                </w:tcPr>
                <w:p w14:paraId="4D56AF0F">
                  <w:pPr>
                    <w:adjustRightInd w:val="0"/>
                    <w:snapToGrid w:val="0"/>
                    <w:spacing w:line="276" w:lineRule="auto"/>
                    <w:jc w:val="center"/>
                    <w:rPr>
                      <w:rFonts w:hAnsiTheme="minorEastAsia" w:eastAsiaTheme="minorEastAsia"/>
                      <w:color w:val="auto"/>
                      <w:szCs w:val="21"/>
                    </w:rPr>
                  </w:pPr>
                  <w:r>
                    <w:rPr>
                      <w:rFonts w:hAnsiTheme="minorEastAsia" w:eastAsiaTheme="minorEastAsia"/>
                      <w:color w:val="auto"/>
                      <w:szCs w:val="21"/>
                    </w:rPr>
                    <w:t>违规新增钢铁、水泥（熟料）、焦化、电解铝、平板玻璃（不含光伏压延玻璃）产能项目环评不予审批</w:t>
                  </w:r>
                </w:p>
              </w:tc>
              <w:tc>
                <w:tcPr>
                  <w:tcW w:w="949" w:type="pct"/>
                  <w:vAlign w:val="center"/>
                </w:tcPr>
                <w:p w14:paraId="0D32C487">
                  <w:pPr>
                    <w:spacing w:line="276" w:lineRule="auto"/>
                    <w:jc w:val="center"/>
                    <w:rPr>
                      <w:rFonts w:hAnsiTheme="minorEastAsia" w:eastAsiaTheme="minorEastAsia"/>
                      <w:color w:val="auto"/>
                      <w:szCs w:val="21"/>
                    </w:rPr>
                  </w:pPr>
                  <w:r>
                    <w:rPr>
                      <w:rFonts w:hAnsiTheme="minorEastAsia" w:eastAsiaTheme="minorEastAsia"/>
                      <w:color w:val="auto"/>
                      <w:szCs w:val="21"/>
                    </w:rPr>
                    <w:t>本项目不新增产能</w:t>
                  </w:r>
                  <w:r>
                    <w:rPr>
                      <w:rFonts w:hint="eastAsia" w:hAnsiTheme="minorEastAsia" w:eastAsiaTheme="minorEastAsia"/>
                      <w:color w:val="auto"/>
                      <w:szCs w:val="21"/>
                    </w:rPr>
                    <w:t>，</w:t>
                  </w:r>
                  <w:r>
                    <w:rPr>
                      <w:rFonts w:hAnsiTheme="minorEastAsia" w:eastAsiaTheme="minorEastAsia"/>
                      <w:color w:val="auto"/>
                      <w:szCs w:val="21"/>
                    </w:rPr>
                    <w:t>且不属于钢铁、水泥（熟料）、焦化、电解铝、平板玻璃（不含光伏压延玻璃）行业</w:t>
                  </w:r>
                </w:p>
              </w:tc>
              <w:tc>
                <w:tcPr>
                  <w:tcW w:w="490" w:type="pct"/>
                  <w:vAlign w:val="center"/>
                </w:tcPr>
                <w:p w14:paraId="7C9D390B">
                  <w:pPr>
                    <w:spacing w:line="276" w:lineRule="auto"/>
                    <w:jc w:val="center"/>
                    <w:rPr>
                      <w:rFonts w:eastAsiaTheme="minorEastAsia"/>
                      <w:b/>
                      <w:color w:val="auto"/>
                      <w:szCs w:val="21"/>
                    </w:rPr>
                  </w:pPr>
                  <w:r>
                    <w:rPr>
                      <w:rFonts w:hint="eastAsia" w:eastAsiaTheme="minorEastAsia"/>
                      <w:color w:val="auto"/>
                      <w:szCs w:val="21"/>
                    </w:rPr>
                    <w:t>不属于</w:t>
                  </w:r>
                </w:p>
              </w:tc>
            </w:tr>
            <w:tr w14:paraId="7419B66D">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00" w:type="pct"/>
                  <w:gridSpan w:val="6"/>
                  <w:vAlign w:val="center"/>
                </w:tcPr>
                <w:p w14:paraId="14123234">
                  <w:pPr>
                    <w:spacing w:line="276" w:lineRule="auto"/>
                    <w:jc w:val="center"/>
                    <w:rPr>
                      <w:rFonts w:eastAsiaTheme="minorEastAsia"/>
                      <w:b/>
                      <w:color w:val="auto"/>
                      <w:szCs w:val="21"/>
                    </w:rPr>
                  </w:pPr>
                  <w:r>
                    <w:rPr>
                      <w:rFonts w:hAnsiTheme="minorEastAsia" w:eastAsiaTheme="minorEastAsia"/>
                      <w:color w:val="auto"/>
                      <w:szCs w:val="21"/>
                    </w:rPr>
                    <w:t>（六）推动煤炭消费减量替代</w:t>
                  </w:r>
                </w:p>
              </w:tc>
            </w:tr>
            <w:tr w14:paraId="2AA229C6">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3" w:hRule="atLeast"/>
                <w:jc w:val="center"/>
              </w:trPr>
              <w:tc>
                <w:tcPr>
                  <w:tcW w:w="325" w:type="pct"/>
                  <w:vAlign w:val="center"/>
                </w:tcPr>
                <w:p w14:paraId="722483F8">
                  <w:pPr>
                    <w:adjustRightInd w:val="0"/>
                    <w:snapToGrid w:val="0"/>
                    <w:spacing w:line="276" w:lineRule="auto"/>
                    <w:jc w:val="center"/>
                    <w:rPr>
                      <w:rFonts w:eastAsiaTheme="minorEastAsia"/>
                      <w:color w:val="auto"/>
                      <w:szCs w:val="21"/>
                    </w:rPr>
                  </w:pPr>
                  <w:r>
                    <w:rPr>
                      <w:rFonts w:eastAsiaTheme="minorEastAsia"/>
                      <w:color w:val="auto"/>
                      <w:szCs w:val="21"/>
                    </w:rPr>
                    <w:t>16</w:t>
                  </w:r>
                </w:p>
              </w:tc>
              <w:tc>
                <w:tcPr>
                  <w:tcW w:w="670" w:type="pct"/>
                  <w:vAlign w:val="center"/>
                </w:tcPr>
                <w:p w14:paraId="6161F395">
                  <w:pPr>
                    <w:spacing w:line="276" w:lineRule="auto"/>
                    <w:jc w:val="center"/>
                    <w:rPr>
                      <w:rFonts w:eastAsiaTheme="minorEastAsia"/>
                      <w:color w:val="auto"/>
                      <w:szCs w:val="21"/>
                    </w:rPr>
                  </w:pPr>
                  <w:r>
                    <w:rPr>
                      <w:rFonts w:hAnsiTheme="minorEastAsia" w:eastAsiaTheme="minorEastAsia"/>
                      <w:color w:val="auto"/>
                      <w:szCs w:val="21"/>
                    </w:rPr>
                    <w:t>推动煤炭等量或减量替代</w:t>
                  </w:r>
                </w:p>
              </w:tc>
              <w:tc>
                <w:tcPr>
                  <w:tcW w:w="1394" w:type="pct"/>
                  <w:vAlign w:val="center"/>
                </w:tcPr>
                <w:p w14:paraId="7549BF6F">
                  <w:pPr>
                    <w:adjustRightInd w:val="0"/>
                    <w:snapToGrid w:val="0"/>
                    <w:spacing w:line="276" w:lineRule="auto"/>
                    <w:jc w:val="center"/>
                    <w:rPr>
                      <w:rFonts w:eastAsiaTheme="minorEastAsia"/>
                      <w:color w:val="auto"/>
                      <w:szCs w:val="21"/>
                    </w:rPr>
                  </w:pPr>
                  <w:r>
                    <w:rPr>
                      <w:rFonts w:hAnsiTheme="minorEastAsia" w:eastAsiaTheme="minorEastAsia"/>
                      <w:color w:val="auto"/>
                      <w:szCs w:val="21"/>
                    </w:rPr>
                    <w:t>重点区域新改扩建用煤项目，依法实行煤炭等量或减量替代，替代方案不完善的能评、环评等不予审批；不得使用石油焦、焦炭、兰炭等高污染燃料作为煤炭减量替代措施</w:t>
                  </w:r>
                </w:p>
              </w:tc>
              <w:tc>
                <w:tcPr>
                  <w:tcW w:w="1172" w:type="pct"/>
                  <w:vAlign w:val="center"/>
                </w:tcPr>
                <w:p w14:paraId="12840AD6">
                  <w:pPr>
                    <w:adjustRightInd w:val="0"/>
                    <w:snapToGrid w:val="0"/>
                    <w:spacing w:line="276" w:lineRule="auto"/>
                    <w:jc w:val="center"/>
                    <w:rPr>
                      <w:rFonts w:hAnsiTheme="minorEastAsia" w:eastAsiaTheme="minorEastAsia"/>
                      <w:color w:val="auto"/>
                      <w:szCs w:val="21"/>
                    </w:rPr>
                  </w:pPr>
                  <w:r>
                    <w:rPr>
                      <w:rFonts w:hAnsiTheme="minorEastAsia" w:eastAsiaTheme="minorEastAsia"/>
                      <w:color w:val="auto"/>
                      <w:szCs w:val="21"/>
                    </w:rPr>
                    <w:t>重点区域新改扩建用煤项目，依法实行煤炭等量或减量替代，替代方案不完善的环评不予审批；不得使用石油焦、焦炭、兰炭等高污染燃料作为煤炭减量替代措施</w:t>
                  </w:r>
                </w:p>
              </w:tc>
              <w:tc>
                <w:tcPr>
                  <w:tcW w:w="949" w:type="pct"/>
                  <w:vAlign w:val="center"/>
                </w:tcPr>
                <w:p w14:paraId="2915F478">
                  <w:pPr>
                    <w:spacing w:line="276" w:lineRule="auto"/>
                    <w:jc w:val="center"/>
                    <w:rPr>
                      <w:rFonts w:hAnsiTheme="minorEastAsia" w:eastAsiaTheme="minorEastAsia"/>
                      <w:color w:val="auto"/>
                      <w:szCs w:val="21"/>
                    </w:rPr>
                  </w:pPr>
                  <w:r>
                    <w:rPr>
                      <w:rFonts w:hAnsiTheme="minorEastAsia" w:eastAsiaTheme="minorEastAsia"/>
                      <w:color w:val="auto"/>
                      <w:szCs w:val="21"/>
                    </w:rPr>
                    <w:t>本项目不使用煤</w:t>
                  </w:r>
                  <w:r>
                    <w:rPr>
                      <w:rFonts w:hint="eastAsia" w:hAnsiTheme="minorEastAsia" w:eastAsiaTheme="minorEastAsia"/>
                      <w:color w:val="auto"/>
                      <w:szCs w:val="21"/>
                    </w:rPr>
                    <w:t>，</w:t>
                  </w:r>
                  <w:r>
                    <w:rPr>
                      <w:rFonts w:hAnsiTheme="minorEastAsia" w:eastAsiaTheme="minorEastAsia"/>
                      <w:color w:val="auto"/>
                      <w:szCs w:val="21"/>
                    </w:rPr>
                    <w:t>不使用石油焦、焦炭、兰炭等高污染燃料</w:t>
                  </w:r>
                </w:p>
              </w:tc>
              <w:tc>
                <w:tcPr>
                  <w:tcW w:w="490" w:type="pct"/>
                  <w:vAlign w:val="center"/>
                </w:tcPr>
                <w:p w14:paraId="39E3339F">
                  <w:pPr>
                    <w:spacing w:line="276" w:lineRule="auto"/>
                    <w:jc w:val="center"/>
                    <w:rPr>
                      <w:rFonts w:eastAsiaTheme="minorEastAsia"/>
                      <w:b/>
                      <w:color w:val="auto"/>
                      <w:szCs w:val="21"/>
                    </w:rPr>
                  </w:pPr>
                  <w:r>
                    <w:rPr>
                      <w:rFonts w:hint="eastAsia" w:eastAsiaTheme="minorEastAsia"/>
                      <w:color w:val="auto"/>
                      <w:szCs w:val="21"/>
                    </w:rPr>
                    <w:t>不属于</w:t>
                  </w:r>
                </w:p>
              </w:tc>
            </w:tr>
            <w:tr w14:paraId="487C441F">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00" w:type="pct"/>
                  <w:gridSpan w:val="6"/>
                  <w:vAlign w:val="center"/>
                </w:tcPr>
                <w:p w14:paraId="17FB54A6">
                  <w:pPr>
                    <w:spacing w:line="276" w:lineRule="auto"/>
                    <w:jc w:val="center"/>
                    <w:rPr>
                      <w:rFonts w:eastAsiaTheme="minorEastAsia"/>
                      <w:b/>
                      <w:color w:val="auto"/>
                      <w:szCs w:val="21"/>
                    </w:rPr>
                  </w:pPr>
                  <w:r>
                    <w:rPr>
                      <w:rFonts w:hAnsiTheme="minorEastAsia" w:eastAsiaTheme="minorEastAsia"/>
                      <w:color w:val="auto"/>
                      <w:szCs w:val="21"/>
                    </w:rPr>
                    <w:t>（七）加快推动燃煤锅炉机组升级改造</w:t>
                  </w:r>
                </w:p>
              </w:tc>
            </w:tr>
            <w:tr w14:paraId="3A83920C">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5" w:type="pct"/>
                  <w:vAlign w:val="center"/>
                </w:tcPr>
                <w:p w14:paraId="20122D01">
                  <w:pPr>
                    <w:adjustRightInd w:val="0"/>
                    <w:snapToGrid w:val="0"/>
                    <w:spacing w:line="276" w:lineRule="auto"/>
                    <w:jc w:val="center"/>
                    <w:rPr>
                      <w:rFonts w:eastAsiaTheme="minorEastAsia"/>
                      <w:color w:val="auto"/>
                      <w:szCs w:val="21"/>
                    </w:rPr>
                  </w:pPr>
                  <w:r>
                    <w:rPr>
                      <w:rFonts w:eastAsiaTheme="minorEastAsia"/>
                      <w:color w:val="auto"/>
                      <w:szCs w:val="21"/>
                    </w:rPr>
                    <w:t>19</w:t>
                  </w:r>
                </w:p>
              </w:tc>
              <w:tc>
                <w:tcPr>
                  <w:tcW w:w="670" w:type="pct"/>
                  <w:vAlign w:val="center"/>
                </w:tcPr>
                <w:p w14:paraId="577E89E9">
                  <w:pPr>
                    <w:adjustRightInd w:val="0"/>
                    <w:snapToGrid w:val="0"/>
                    <w:spacing w:line="276" w:lineRule="auto"/>
                    <w:jc w:val="center"/>
                    <w:rPr>
                      <w:rFonts w:eastAsiaTheme="minorEastAsia"/>
                      <w:color w:val="auto"/>
                      <w:szCs w:val="21"/>
                    </w:rPr>
                  </w:pPr>
                  <w:r>
                    <w:rPr>
                      <w:rFonts w:hAnsiTheme="minorEastAsia" w:eastAsiaTheme="minorEastAsia"/>
                      <w:color w:val="auto"/>
                      <w:szCs w:val="21"/>
                    </w:rPr>
                    <w:t>严控热源性燃煤设施建设</w:t>
                  </w:r>
                </w:p>
              </w:tc>
              <w:tc>
                <w:tcPr>
                  <w:tcW w:w="1394" w:type="pct"/>
                  <w:vAlign w:val="center"/>
                </w:tcPr>
                <w:p w14:paraId="567EB130">
                  <w:pPr>
                    <w:adjustRightInd w:val="0"/>
                    <w:snapToGrid w:val="0"/>
                    <w:spacing w:line="276" w:lineRule="auto"/>
                    <w:jc w:val="center"/>
                    <w:rPr>
                      <w:rFonts w:eastAsiaTheme="minorEastAsia"/>
                      <w:color w:val="auto"/>
                      <w:szCs w:val="21"/>
                    </w:rPr>
                  </w:pPr>
                  <w:r>
                    <w:rPr>
                      <w:rFonts w:hAnsiTheme="minorEastAsia" w:eastAsiaTheme="minorEastAsia"/>
                      <w:color w:val="auto"/>
                      <w:szCs w:val="21"/>
                    </w:rPr>
                    <w:t>重点区域原则上不再新建除集中供暖外的燃煤锅炉</w:t>
                  </w:r>
                </w:p>
              </w:tc>
              <w:tc>
                <w:tcPr>
                  <w:tcW w:w="1172" w:type="pct"/>
                  <w:vAlign w:val="center"/>
                </w:tcPr>
                <w:p w14:paraId="6BFB383E">
                  <w:pPr>
                    <w:adjustRightInd w:val="0"/>
                    <w:snapToGrid w:val="0"/>
                    <w:spacing w:line="276" w:lineRule="auto"/>
                    <w:jc w:val="center"/>
                    <w:rPr>
                      <w:rFonts w:hAnsiTheme="minorEastAsia" w:eastAsiaTheme="minorEastAsia"/>
                      <w:color w:val="auto"/>
                      <w:szCs w:val="21"/>
                    </w:rPr>
                  </w:pPr>
                  <w:r>
                    <w:rPr>
                      <w:rFonts w:hAnsiTheme="minorEastAsia" w:eastAsiaTheme="minorEastAsia"/>
                      <w:color w:val="auto"/>
                      <w:szCs w:val="21"/>
                    </w:rPr>
                    <w:t>原则上不得审批除集中供暖外的燃煤锅炉</w:t>
                  </w:r>
                </w:p>
              </w:tc>
              <w:tc>
                <w:tcPr>
                  <w:tcW w:w="949" w:type="pct"/>
                  <w:vAlign w:val="center"/>
                </w:tcPr>
                <w:p w14:paraId="7BFE00C3">
                  <w:pPr>
                    <w:spacing w:line="276" w:lineRule="auto"/>
                    <w:jc w:val="center"/>
                    <w:rPr>
                      <w:rFonts w:hAnsiTheme="minorEastAsia" w:eastAsiaTheme="minorEastAsia"/>
                      <w:color w:val="auto"/>
                      <w:szCs w:val="21"/>
                    </w:rPr>
                  </w:pPr>
                  <w:r>
                    <w:rPr>
                      <w:rFonts w:hAnsiTheme="minorEastAsia" w:eastAsiaTheme="minorEastAsia"/>
                      <w:color w:val="auto"/>
                      <w:szCs w:val="21"/>
                    </w:rPr>
                    <w:t>不涉及</w:t>
                  </w:r>
                </w:p>
              </w:tc>
              <w:tc>
                <w:tcPr>
                  <w:tcW w:w="490" w:type="pct"/>
                  <w:vAlign w:val="center"/>
                </w:tcPr>
                <w:p w14:paraId="28768477">
                  <w:pPr>
                    <w:spacing w:line="276" w:lineRule="auto"/>
                    <w:jc w:val="center"/>
                    <w:rPr>
                      <w:rFonts w:eastAsiaTheme="minorEastAsia"/>
                      <w:b/>
                      <w:color w:val="auto"/>
                      <w:szCs w:val="21"/>
                    </w:rPr>
                  </w:pPr>
                  <w:r>
                    <w:rPr>
                      <w:rFonts w:hint="eastAsia" w:eastAsiaTheme="minorEastAsia"/>
                      <w:color w:val="auto"/>
                      <w:szCs w:val="21"/>
                    </w:rPr>
                    <w:t>不属于</w:t>
                  </w:r>
                </w:p>
              </w:tc>
            </w:tr>
            <w:tr w14:paraId="52632D60">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5" w:type="pct"/>
                  <w:vAlign w:val="center"/>
                </w:tcPr>
                <w:p w14:paraId="5D3F04D2">
                  <w:pPr>
                    <w:adjustRightInd w:val="0"/>
                    <w:snapToGrid w:val="0"/>
                    <w:spacing w:line="276" w:lineRule="auto"/>
                    <w:jc w:val="center"/>
                    <w:rPr>
                      <w:rFonts w:eastAsiaTheme="minorEastAsia"/>
                      <w:color w:val="auto"/>
                      <w:szCs w:val="21"/>
                    </w:rPr>
                  </w:pPr>
                  <w:r>
                    <w:rPr>
                      <w:rFonts w:eastAsiaTheme="minorEastAsia"/>
                      <w:color w:val="auto"/>
                      <w:szCs w:val="21"/>
                    </w:rPr>
                    <w:t>21</w:t>
                  </w:r>
                </w:p>
              </w:tc>
              <w:tc>
                <w:tcPr>
                  <w:tcW w:w="670" w:type="pct"/>
                  <w:vAlign w:val="center"/>
                </w:tcPr>
                <w:p w14:paraId="65D1821C">
                  <w:pPr>
                    <w:adjustRightInd w:val="0"/>
                    <w:snapToGrid w:val="0"/>
                    <w:spacing w:line="276" w:lineRule="auto"/>
                    <w:jc w:val="center"/>
                    <w:rPr>
                      <w:rFonts w:eastAsiaTheme="minorEastAsia"/>
                      <w:color w:val="auto"/>
                      <w:szCs w:val="21"/>
                    </w:rPr>
                  </w:pPr>
                  <w:r>
                    <w:rPr>
                      <w:rFonts w:hAnsiTheme="minorEastAsia" w:eastAsiaTheme="minorEastAsia"/>
                      <w:color w:val="auto"/>
                      <w:szCs w:val="21"/>
                    </w:rPr>
                    <w:t>推动现有燃煤机组升级改造</w:t>
                  </w:r>
                </w:p>
              </w:tc>
              <w:tc>
                <w:tcPr>
                  <w:tcW w:w="1394" w:type="pct"/>
                  <w:vAlign w:val="center"/>
                </w:tcPr>
                <w:p w14:paraId="0BEDE1C3">
                  <w:pPr>
                    <w:adjustRightInd w:val="0"/>
                    <w:snapToGrid w:val="0"/>
                    <w:spacing w:line="276" w:lineRule="auto"/>
                    <w:jc w:val="center"/>
                    <w:rPr>
                      <w:rFonts w:eastAsiaTheme="minorEastAsia"/>
                      <w:color w:val="auto"/>
                      <w:szCs w:val="21"/>
                    </w:rPr>
                  </w:pPr>
                  <w:r>
                    <w:rPr>
                      <w:rFonts w:hAnsiTheme="minorEastAsia" w:eastAsiaTheme="minorEastAsia"/>
                      <w:color w:val="auto"/>
                      <w:szCs w:val="21"/>
                    </w:rPr>
                    <w:t>禁止新建自备燃煤机组，鼓励自备燃煤机组积极开展清洁能源替代。大力推动现有煤电机组开展节能降碳改造、灵活性改造、供热改造</w:t>
                  </w:r>
                  <w:r>
                    <w:rPr>
                      <w:rFonts w:eastAsiaTheme="minorEastAsia"/>
                      <w:color w:val="auto"/>
                      <w:szCs w:val="21"/>
                    </w:rPr>
                    <w:t>“</w:t>
                  </w:r>
                  <w:r>
                    <w:rPr>
                      <w:rFonts w:hAnsiTheme="minorEastAsia" w:eastAsiaTheme="minorEastAsia"/>
                      <w:color w:val="auto"/>
                      <w:szCs w:val="21"/>
                    </w:rPr>
                    <w:t>三改联动</w:t>
                  </w:r>
                  <w:r>
                    <w:rPr>
                      <w:rFonts w:eastAsiaTheme="minorEastAsia"/>
                      <w:color w:val="auto"/>
                      <w:szCs w:val="21"/>
                    </w:rPr>
                    <w:t>”</w:t>
                  </w:r>
                </w:p>
              </w:tc>
              <w:tc>
                <w:tcPr>
                  <w:tcW w:w="1172" w:type="pct"/>
                  <w:vAlign w:val="center"/>
                </w:tcPr>
                <w:p w14:paraId="756091EF">
                  <w:pPr>
                    <w:adjustRightInd w:val="0"/>
                    <w:snapToGrid w:val="0"/>
                    <w:spacing w:line="276" w:lineRule="auto"/>
                    <w:jc w:val="center"/>
                    <w:rPr>
                      <w:rFonts w:eastAsiaTheme="minorEastAsia"/>
                      <w:color w:val="auto"/>
                      <w:szCs w:val="21"/>
                    </w:rPr>
                  </w:pPr>
                  <w:r>
                    <w:rPr>
                      <w:rFonts w:hAnsiTheme="minorEastAsia" w:eastAsiaTheme="minorEastAsia"/>
                      <w:color w:val="auto"/>
                      <w:szCs w:val="21"/>
                    </w:rPr>
                    <w:t>新建自备燃煤机组环评项目不予审批</w:t>
                  </w:r>
                </w:p>
              </w:tc>
              <w:tc>
                <w:tcPr>
                  <w:tcW w:w="949" w:type="pct"/>
                  <w:vAlign w:val="center"/>
                </w:tcPr>
                <w:p w14:paraId="3C88BEF7">
                  <w:pPr>
                    <w:spacing w:line="276" w:lineRule="auto"/>
                    <w:jc w:val="center"/>
                    <w:rPr>
                      <w:rFonts w:eastAsiaTheme="minorEastAsia"/>
                      <w:color w:val="auto"/>
                      <w:szCs w:val="21"/>
                    </w:rPr>
                  </w:pPr>
                  <w:r>
                    <w:rPr>
                      <w:rFonts w:eastAsiaTheme="minorEastAsia"/>
                      <w:color w:val="auto"/>
                      <w:szCs w:val="21"/>
                    </w:rPr>
                    <w:t>本项目不</w:t>
                  </w:r>
                  <w:r>
                    <w:rPr>
                      <w:rFonts w:hAnsiTheme="minorEastAsia" w:eastAsiaTheme="minorEastAsia"/>
                      <w:color w:val="auto"/>
                      <w:szCs w:val="21"/>
                    </w:rPr>
                    <w:t>新建自备燃煤机组</w:t>
                  </w:r>
                </w:p>
              </w:tc>
              <w:tc>
                <w:tcPr>
                  <w:tcW w:w="490" w:type="pct"/>
                  <w:vAlign w:val="center"/>
                </w:tcPr>
                <w:p w14:paraId="08A6E5C4">
                  <w:pPr>
                    <w:spacing w:line="276" w:lineRule="auto"/>
                    <w:jc w:val="center"/>
                    <w:rPr>
                      <w:rFonts w:eastAsiaTheme="minorEastAsia"/>
                      <w:b/>
                      <w:color w:val="auto"/>
                      <w:szCs w:val="21"/>
                    </w:rPr>
                  </w:pPr>
                  <w:r>
                    <w:rPr>
                      <w:rFonts w:hint="eastAsia" w:eastAsiaTheme="minorEastAsia"/>
                      <w:color w:val="auto"/>
                      <w:szCs w:val="21"/>
                    </w:rPr>
                    <w:t>不属于</w:t>
                  </w:r>
                </w:p>
              </w:tc>
            </w:tr>
            <w:tr w14:paraId="4C1E20E8">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00" w:type="pct"/>
                  <w:gridSpan w:val="6"/>
                  <w:vAlign w:val="center"/>
                </w:tcPr>
                <w:p w14:paraId="73C01BE2">
                  <w:pPr>
                    <w:spacing w:line="276" w:lineRule="auto"/>
                    <w:jc w:val="center"/>
                    <w:rPr>
                      <w:rFonts w:eastAsiaTheme="minorEastAsia"/>
                      <w:b/>
                      <w:color w:val="auto"/>
                      <w:szCs w:val="21"/>
                    </w:rPr>
                  </w:pPr>
                  <w:r>
                    <w:rPr>
                      <w:rFonts w:hAnsiTheme="minorEastAsia" w:eastAsiaTheme="minorEastAsia"/>
                      <w:color w:val="auto"/>
                      <w:szCs w:val="21"/>
                    </w:rPr>
                    <w:t>（八）推动工业炉窑清洁能源替代</w:t>
                  </w:r>
                </w:p>
              </w:tc>
            </w:tr>
            <w:tr w14:paraId="476B9F8E">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5" w:type="pct"/>
                  <w:vAlign w:val="center"/>
                </w:tcPr>
                <w:p w14:paraId="248CDBB8">
                  <w:pPr>
                    <w:adjustRightInd w:val="0"/>
                    <w:snapToGrid w:val="0"/>
                    <w:spacing w:line="276" w:lineRule="auto"/>
                    <w:jc w:val="center"/>
                    <w:rPr>
                      <w:rFonts w:eastAsiaTheme="minorEastAsia"/>
                      <w:color w:val="auto"/>
                      <w:szCs w:val="21"/>
                    </w:rPr>
                  </w:pPr>
                  <w:r>
                    <w:rPr>
                      <w:rFonts w:eastAsiaTheme="minorEastAsia"/>
                      <w:color w:val="auto"/>
                      <w:szCs w:val="21"/>
                    </w:rPr>
                    <w:t>23</w:t>
                  </w:r>
                </w:p>
              </w:tc>
              <w:tc>
                <w:tcPr>
                  <w:tcW w:w="670" w:type="pct"/>
                  <w:vAlign w:val="center"/>
                </w:tcPr>
                <w:p w14:paraId="3FF02115">
                  <w:pPr>
                    <w:spacing w:line="276" w:lineRule="auto"/>
                    <w:jc w:val="center"/>
                    <w:rPr>
                      <w:rFonts w:eastAsiaTheme="minorEastAsia"/>
                      <w:color w:val="auto"/>
                      <w:szCs w:val="21"/>
                    </w:rPr>
                  </w:pPr>
                  <w:r>
                    <w:rPr>
                      <w:rFonts w:hAnsiTheme="minorEastAsia" w:eastAsiaTheme="minorEastAsia"/>
                      <w:color w:val="auto"/>
                      <w:szCs w:val="21"/>
                    </w:rPr>
                    <w:t>推动煤气发生炉清洁能源替代</w:t>
                  </w:r>
                </w:p>
              </w:tc>
              <w:tc>
                <w:tcPr>
                  <w:tcW w:w="1394" w:type="pct"/>
                  <w:vAlign w:val="center"/>
                </w:tcPr>
                <w:p w14:paraId="7DC81C84">
                  <w:pPr>
                    <w:adjustRightInd w:val="0"/>
                    <w:snapToGrid w:val="0"/>
                    <w:spacing w:line="276" w:lineRule="auto"/>
                    <w:jc w:val="center"/>
                    <w:rPr>
                      <w:rFonts w:eastAsiaTheme="minorEastAsia"/>
                      <w:color w:val="auto"/>
                      <w:szCs w:val="21"/>
                    </w:rPr>
                  </w:pPr>
                  <w:r>
                    <w:rPr>
                      <w:rFonts w:hAnsiTheme="minorEastAsia" w:eastAsiaTheme="minorEastAsia"/>
                      <w:color w:val="auto"/>
                      <w:szCs w:val="21"/>
                    </w:rPr>
                    <w:t>重点区域不再新增燃料类煤气发生炉</w:t>
                  </w:r>
                </w:p>
              </w:tc>
              <w:tc>
                <w:tcPr>
                  <w:tcW w:w="1172" w:type="pct"/>
                  <w:vAlign w:val="center"/>
                </w:tcPr>
                <w:p w14:paraId="642F919D">
                  <w:pPr>
                    <w:adjustRightInd w:val="0"/>
                    <w:snapToGrid w:val="0"/>
                    <w:spacing w:line="276" w:lineRule="auto"/>
                    <w:jc w:val="center"/>
                    <w:rPr>
                      <w:rFonts w:eastAsiaTheme="minorEastAsia"/>
                      <w:color w:val="auto"/>
                      <w:szCs w:val="21"/>
                    </w:rPr>
                  </w:pPr>
                  <w:r>
                    <w:rPr>
                      <w:rFonts w:hAnsiTheme="minorEastAsia" w:eastAsiaTheme="minorEastAsia"/>
                      <w:color w:val="auto"/>
                      <w:szCs w:val="21"/>
                    </w:rPr>
                    <w:t>新增燃煤类煤气发生炉项目不予审批</w:t>
                  </w:r>
                </w:p>
              </w:tc>
              <w:tc>
                <w:tcPr>
                  <w:tcW w:w="949" w:type="pct"/>
                  <w:vAlign w:val="center"/>
                </w:tcPr>
                <w:p w14:paraId="23D44A3B">
                  <w:pPr>
                    <w:spacing w:line="276" w:lineRule="auto"/>
                    <w:jc w:val="center"/>
                    <w:rPr>
                      <w:rFonts w:eastAsiaTheme="minorEastAsia"/>
                      <w:b/>
                      <w:color w:val="auto"/>
                      <w:szCs w:val="21"/>
                    </w:rPr>
                  </w:pPr>
                  <w:r>
                    <w:rPr>
                      <w:rFonts w:hAnsiTheme="minorEastAsia" w:eastAsiaTheme="minorEastAsia"/>
                      <w:color w:val="auto"/>
                      <w:szCs w:val="21"/>
                    </w:rPr>
                    <w:t>本项目不新增燃煤类煤气发生炉</w:t>
                  </w:r>
                </w:p>
              </w:tc>
              <w:tc>
                <w:tcPr>
                  <w:tcW w:w="490" w:type="pct"/>
                  <w:vAlign w:val="center"/>
                </w:tcPr>
                <w:p w14:paraId="7D40D423">
                  <w:pPr>
                    <w:spacing w:line="276" w:lineRule="auto"/>
                    <w:jc w:val="center"/>
                    <w:rPr>
                      <w:rFonts w:eastAsiaTheme="minorEastAsia"/>
                      <w:b/>
                      <w:color w:val="auto"/>
                      <w:szCs w:val="21"/>
                    </w:rPr>
                  </w:pPr>
                  <w:r>
                    <w:rPr>
                      <w:rFonts w:hint="eastAsia" w:eastAsiaTheme="minorEastAsia"/>
                      <w:color w:val="auto"/>
                      <w:szCs w:val="21"/>
                    </w:rPr>
                    <w:t>不属于</w:t>
                  </w:r>
                </w:p>
              </w:tc>
            </w:tr>
            <w:tr w14:paraId="2C2EC98C">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00" w:type="pct"/>
                  <w:gridSpan w:val="6"/>
                  <w:vAlign w:val="center"/>
                </w:tcPr>
                <w:p w14:paraId="60837417">
                  <w:pPr>
                    <w:spacing w:line="276" w:lineRule="auto"/>
                    <w:jc w:val="center"/>
                    <w:rPr>
                      <w:rFonts w:eastAsiaTheme="minorEastAsia"/>
                      <w:b/>
                      <w:color w:val="auto"/>
                      <w:szCs w:val="21"/>
                    </w:rPr>
                  </w:pPr>
                  <w:r>
                    <w:rPr>
                      <w:rFonts w:hAnsiTheme="minorEastAsia" w:eastAsiaTheme="minorEastAsia"/>
                      <w:color w:val="auto"/>
                      <w:szCs w:val="21"/>
                    </w:rPr>
                    <w:t>（九）推动货物运输清洁化</w:t>
                  </w:r>
                </w:p>
              </w:tc>
            </w:tr>
            <w:tr w14:paraId="0589EF8C">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5" w:type="pct"/>
                  <w:vAlign w:val="center"/>
                </w:tcPr>
                <w:p w14:paraId="3A07AA85">
                  <w:pPr>
                    <w:adjustRightInd w:val="0"/>
                    <w:snapToGrid w:val="0"/>
                    <w:spacing w:line="276" w:lineRule="auto"/>
                    <w:jc w:val="center"/>
                    <w:rPr>
                      <w:rFonts w:eastAsiaTheme="minorEastAsia"/>
                      <w:color w:val="auto"/>
                      <w:szCs w:val="21"/>
                    </w:rPr>
                  </w:pPr>
                  <w:r>
                    <w:rPr>
                      <w:rFonts w:eastAsiaTheme="minorEastAsia"/>
                      <w:color w:val="auto"/>
                      <w:szCs w:val="21"/>
                    </w:rPr>
                    <w:t>27</w:t>
                  </w:r>
                </w:p>
              </w:tc>
              <w:tc>
                <w:tcPr>
                  <w:tcW w:w="670" w:type="pct"/>
                  <w:vAlign w:val="center"/>
                </w:tcPr>
                <w:p w14:paraId="7AA706B2">
                  <w:pPr>
                    <w:adjustRightInd w:val="0"/>
                    <w:snapToGrid w:val="0"/>
                    <w:spacing w:line="276" w:lineRule="auto"/>
                    <w:jc w:val="center"/>
                    <w:rPr>
                      <w:rFonts w:eastAsiaTheme="minorEastAsia"/>
                      <w:color w:val="auto"/>
                      <w:szCs w:val="21"/>
                    </w:rPr>
                  </w:pPr>
                  <w:r>
                    <w:rPr>
                      <w:rFonts w:hAnsiTheme="minorEastAsia" w:eastAsiaTheme="minorEastAsia"/>
                      <w:color w:val="auto"/>
                      <w:szCs w:val="21"/>
                    </w:rPr>
                    <w:t>提高重点行业清洁运输比例</w:t>
                  </w:r>
                </w:p>
              </w:tc>
              <w:tc>
                <w:tcPr>
                  <w:tcW w:w="1394" w:type="pct"/>
                  <w:vAlign w:val="center"/>
                </w:tcPr>
                <w:p w14:paraId="0326043D">
                  <w:pPr>
                    <w:adjustRightInd w:val="0"/>
                    <w:snapToGrid w:val="0"/>
                    <w:spacing w:line="276" w:lineRule="auto"/>
                    <w:jc w:val="center"/>
                    <w:rPr>
                      <w:rFonts w:eastAsiaTheme="minorEastAsia"/>
                      <w:color w:val="auto"/>
                      <w:szCs w:val="21"/>
                    </w:rPr>
                  </w:pPr>
                  <w:r>
                    <w:rPr>
                      <w:rFonts w:hAnsiTheme="minorEastAsia" w:eastAsiaTheme="minorEastAsia"/>
                      <w:color w:val="auto"/>
                      <w:szCs w:val="21"/>
                    </w:rPr>
                    <w:t>将清洁运输作为煤矿、钢铁、火电、水泥、有色、焦化、煤化工等行业新改扩建项目审核和监管重点</w:t>
                  </w:r>
                </w:p>
              </w:tc>
              <w:tc>
                <w:tcPr>
                  <w:tcW w:w="1172" w:type="pct"/>
                  <w:vAlign w:val="center"/>
                </w:tcPr>
                <w:p w14:paraId="2DC01D7D">
                  <w:pPr>
                    <w:adjustRightInd w:val="0"/>
                    <w:snapToGrid w:val="0"/>
                    <w:spacing w:line="276" w:lineRule="auto"/>
                    <w:jc w:val="center"/>
                    <w:rPr>
                      <w:rFonts w:hAnsiTheme="minorEastAsia" w:eastAsiaTheme="minorEastAsia"/>
                      <w:color w:val="auto"/>
                      <w:szCs w:val="21"/>
                    </w:rPr>
                  </w:pPr>
                  <w:r>
                    <w:rPr>
                      <w:rFonts w:hAnsiTheme="minorEastAsia" w:eastAsiaTheme="minorEastAsia"/>
                      <w:color w:val="auto"/>
                      <w:szCs w:val="21"/>
                    </w:rPr>
                    <w:t>煤矿、钢铁、火电、水泥、有色、焦化、煤化工等行业新改扩建项目环评审核中重点关注清洁运输</w:t>
                  </w:r>
                </w:p>
              </w:tc>
              <w:tc>
                <w:tcPr>
                  <w:tcW w:w="949" w:type="pct"/>
                  <w:vAlign w:val="center"/>
                </w:tcPr>
                <w:p w14:paraId="228D9A75">
                  <w:pPr>
                    <w:spacing w:line="276" w:lineRule="auto"/>
                    <w:jc w:val="center"/>
                    <w:rPr>
                      <w:rFonts w:hAnsiTheme="minorEastAsia" w:eastAsiaTheme="minorEastAsia"/>
                      <w:color w:val="auto"/>
                      <w:szCs w:val="21"/>
                    </w:rPr>
                  </w:pPr>
                  <w:r>
                    <w:rPr>
                      <w:rFonts w:hAnsiTheme="minorEastAsia" w:eastAsiaTheme="minorEastAsia"/>
                      <w:color w:val="auto"/>
                      <w:szCs w:val="21"/>
                    </w:rPr>
                    <w:t>本项目不</w:t>
                  </w:r>
                  <w:r>
                    <w:rPr>
                      <w:rFonts w:hint="eastAsia" w:hAnsiTheme="minorEastAsia" w:eastAsiaTheme="minorEastAsia"/>
                      <w:color w:val="auto"/>
                      <w:szCs w:val="21"/>
                    </w:rPr>
                    <w:t>属于</w:t>
                  </w:r>
                  <w:r>
                    <w:rPr>
                      <w:rFonts w:hAnsiTheme="minorEastAsia" w:eastAsiaTheme="minorEastAsia"/>
                      <w:color w:val="auto"/>
                      <w:szCs w:val="21"/>
                    </w:rPr>
                    <w:t>煤矿、钢铁、火电、水泥、有色、焦化、煤化工等行业</w:t>
                  </w:r>
                </w:p>
              </w:tc>
              <w:tc>
                <w:tcPr>
                  <w:tcW w:w="490" w:type="pct"/>
                  <w:vAlign w:val="center"/>
                </w:tcPr>
                <w:p w14:paraId="44D96C4E">
                  <w:pPr>
                    <w:spacing w:line="276" w:lineRule="auto"/>
                    <w:jc w:val="center"/>
                    <w:rPr>
                      <w:rFonts w:eastAsiaTheme="minorEastAsia"/>
                      <w:b/>
                      <w:color w:val="auto"/>
                      <w:szCs w:val="21"/>
                    </w:rPr>
                  </w:pPr>
                  <w:r>
                    <w:rPr>
                      <w:rFonts w:hint="eastAsia" w:eastAsiaTheme="minorEastAsia"/>
                      <w:color w:val="auto"/>
                      <w:szCs w:val="21"/>
                    </w:rPr>
                    <w:t>不属于</w:t>
                  </w:r>
                </w:p>
              </w:tc>
            </w:tr>
            <w:tr w14:paraId="067702F6">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00" w:type="pct"/>
                  <w:gridSpan w:val="6"/>
                  <w:vAlign w:val="center"/>
                </w:tcPr>
                <w:p w14:paraId="5B65205B">
                  <w:pPr>
                    <w:spacing w:line="276" w:lineRule="auto"/>
                    <w:jc w:val="center"/>
                    <w:rPr>
                      <w:rFonts w:eastAsiaTheme="minorEastAsia"/>
                      <w:color w:val="auto"/>
                      <w:szCs w:val="21"/>
                    </w:rPr>
                  </w:pPr>
                  <w:r>
                    <w:rPr>
                      <w:rFonts w:hint="eastAsia" w:eastAsiaTheme="minorEastAsia"/>
                      <w:color w:val="auto"/>
                      <w:szCs w:val="21"/>
                    </w:rPr>
                    <w:t>（十七）加快低（无）VOCs原辅材料替代</w:t>
                  </w:r>
                </w:p>
              </w:tc>
            </w:tr>
            <w:tr w14:paraId="703F573B">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5" w:type="pct"/>
                  <w:vAlign w:val="center"/>
                </w:tcPr>
                <w:p w14:paraId="71FEF652">
                  <w:pPr>
                    <w:adjustRightInd w:val="0"/>
                    <w:snapToGrid w:val="0"/>
                    <w:spacing w:line="276" w:lineRule="auto"/>
                    <w:jc w:val="center"/>
                    <w:rPr>
                      <w:rFonts w:eastAsiaTheme="minorEastAsia"/>
                      <w:color w:val="auto"/>
                      <w:szCs w:val="21"/>
                    </w:rPr>
                  </w:pPr>
                  <w:r>
                    <w:rPr>
                      <w:rFonts w:hint="eastAsia" w:eastAsiaTheme="minorEastAsia"/>
                      <w:color w:val="auto"/>
                      <w:szCs w:val="21"/>
                    </w:rPr>
                    <w:t>52</w:t>
                  </w:r>
                </w:p>
              </w:tc>
              <w:tc>
                <w:tcPr>
                  <w:tcW w:w="670" w:type="pct"/>
                  <w:vAlign w:val="center"/>
                </w:tcPr>
                <w:p w14:paraId="70B6AA4E">
                  <w:pPr>
                    <w:adjustRightInd w:val="0"/>
                    <w:snapToGrid w:val="0"/>
                    <w:spacing w:line="276" w:lineRule="auto"/>
                    <w:jc w:val="center"/>
                    <w:rPr>
                      <w:rFonts w:hAnsiTheme="minorEastAsia" w:eastAsiaTheme="minorEastAsia"/>
                      <w:color w:val="auto"/>
                      <w:szCs w:val="21"/>
                    </w:rPr>
                  </w:pPr>
                  <w:r>
                    <w:rPr>
                      <w:rFonts w:hAnsiTheme="minorEastAsia" w:eastAsiaTheme="minorEastAsia"/>
                      <w:color w:val="auto"/>
                      <w:szCs w:val="21"/>
                    </w:rPr>
                    <w:t>严格控制生产和使用高</w:t>
                  </w:r>
                  <w:r>
                    <w:rPr>
                      <w:rFonts w:hint="eastAsia" w:hAnsiTheme="minorEastAsia" w:eastAsiaTheme="minorEastAsia"/>
                      <w:color w:val="auto"/>
                      <w:szCs w:val="21"/>
                    </w:rPr>
                    <w:t>VOCs含量建设项目</w:t>
                  </w:r>
                </w:p>
              </w:tc>
              <w:tc>
                <w:tcPr>
                  <w:tcW w:w="1394" w:type="pct"/>
                  <w:vAlign w:val="center"/>
                </w:tcPr>
                <w:p w14:paraId="1F49767D">
                  <w:pPr>
                    <w:adjustRightInd w:val="0"/>
                    <w:snapToGrid w:val="0"/>
                    <w:spacing w:line="276" w:lineRule="auto"/>
                    <w:jc w:val="center"/>
                    <w:rPr>
                      <w:rFonts w:hAnsiTheme="minorEastAsia" w:eastAsiaTheme="minorEastAsia"/>
                      <w:color w:val="auto"/>
                      <w:szCs w:val="21"/>
                    </w:rPr>
                  </w:pPr>
                  <w:r>
                    <w:rPr>
                      <w:rFonts w:hint="eastAsia" w:hAnsiTheme="minorEastAsia" w:eastAsiaTheme="minorEastAsia"/>
                      <w:color w:val="auto"/>
                      <w:szCs w:val="21"/>
                    </w:rPr>
                    <w:t>实施安徽省低挥发性有机物原辅材料源头替代工作方案，严格控制生产和使用高VOCs含量涂料、油墨、胶粘剂、清洗剂等建设项目</w:t>
                  </w:r>
                </w:p>
              </w:tc>
              <w:tc>
                <w:tcPr>
                  <w:tcW w:w="1172" w:type="pct"/>
                  <w:vAlign w:val="center"/>
                </w:tcPr>
                <w:p w14:paraId="0C897227">
                  <w:pPr>
                    <w:adjustRightInd w:val="0"/>
                    <w:snapToGrid w:val="0"/>
                    <w:spacing w:line="276" w:lineRule="auto"/>
                    <w:jc w:val="center"/>
                    <w:rPr>
                      <w:rFonts w:hAnsiTheme="minorEastAsia" w:eastAsiaTheme="minorEastAsia"/>
                      <w:color w:val="auto"/>
                      <w:szCs w:val="21"/>
                    </w:rPr>
                  </w:pPr>
                  <w:r>
                    <w:rPr>
                      <w:rFonts w:hint="eastAsia" w:hAnsiTheme="minorEastAsia" w:eastAsiaTheme="minorEastAsia"/>
                      <w:color w:val="auto"/>
                      <w:szCs w:val="21"/>
                    </w:rPr>
                    <w:t>严格控制审批生产和使用高VOCs含量涂料、油墨、胶粘剂、清洗剂等建设项目环评</w:t>
                  </w:r>
                </w:p>
              </w:tc>
              <w:tc>
                <w:tcPr>
                  <w:tcW w:w="949" w:type="pct"/>
                  <w:vAlign w:val="center"/>
                </w:tcPr>
                <w:p w14:paraId="4A142B6D">
                  <w:pPr>
                    <w:spacing w:line="276" w:lineRule="auto"/>
                    <w:jc w:val="center"/>
                    <w:rPr>
                      <w:rFonts w:hAnsiTheme="minorEastAsia" w:eastAsiaTheme="minorEastAsia"/>
                      <w:color w:val="auto"/>
                      <w:szCs w:val="21"/>
                    </w:rPr>
                  </w:pPr>
                  <w:r>
                    <w:rPr>
                      <w:rFonts w:hAnsiTheme="minorEastAsia" w:eastAsiaTheme="minorEastAsia"/>
                      <w:color w:val="auto"/>
                      <w:szCs w:val="21"/>
                    </w:rPr>
                    <w:t>本项目主要新增热端喷涂装置，喷涂采用水性涂料</w:t>
                  </w:r>
                  <w:r>
                    <w:rPr>
                      <w:rFonts w:hint="eastAsia" w:hAnsiTheme="minorEastAsia" w:eastAsiaTheme="minorEastAsia"/>
                      <w:color w:val="auto"/>
                      <w:szCs w:val="21"/>
                    </w:rPr>
                    <w:t>作为</w:t>
                  </w:r>
                  <w:r>
                    <w:rPr>
                      <w:rFonts w:hAnsiTheme="minorEastAsia" w:eastAsiaTheme="minorEastAsia"/>
                      <w:color w:val="auto"/>
                      <w:szCs w:val="21"/>
                    </w:rPr>
                    <w:t>喷涂原料，</w:t>
                  </w:r>
                  <w:r>
                    <w:rPr>
                      <w:rFonts w:hint="eastAsia" w:hAnsi="宋体"/>
                      <w:color w:val="auto"/>
                      <w:szCs w:val="21"/>
                    </w:rPr>
                    <w:t>水性漆</w:t>
                  </w:r>
                  <w:r>
                    <w:rPr>
                      <w:rFonts w:hint="eastAsia" w:hAnsiTheme="minorEastAsia" w:eastAsiaTheme="minorEastAsia"/>
                      <w:color w:val="auto"/>
                      <w:szCs w:val="21"/>
                    </w:rPr>
                    <w:t>VOC含量符合《低挥发性有机化合物含量涂料产品技术要求》（GB/T38597-2020）限值要求，不属于使用高VOCs含量涂料项目</w:t>
                  </w:r>
                </w:p>
              </w:tc>
              <w:tc>
                <w:tcPr>
                  <w:tcW w:w="490" w:type="pct"/>
                  <w:vAlign w:val="center"/>
                </w:tcPr>
                <w:p w14:paraId="66021E80">
                  <w:pPr>
                    <w:spacing w:line="276" w:lineRule="auto"/>
                    <w:jc w:val="center"/>
                    <w:rPr>
                      <w:rFonts w:eastAsiaTheme="minorEastAsia"/>
                      <w:color w:val="auto"/>
                      <w:szCs w:val="21"/>
                    </w:rPr>
                  </w:pPr>
                  <w:r>
                    <w:rPr>
                      <w:rFonts w:hint="eastAsia" w:eastAsiaTheme="minorEastAsia"/>
                      <w:color w:val="auto"/>
                      <w:szCs w:val="21"/>
                    </w:rPr>
                    <w:t>不属于</w:t>
                  </w:r>
                </w:p>
              </w:tc>
            </w:tr>
            <w:tr w14:paraId="526E7360">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5" w:type="pct"/>
                  <w:vAlign w:val="center"/>
                </w:tcPr>
                <w:p w14:paraId="3D973F8D">
                  <w:pPr>
                    <w:adjustRightInd w:val="0"/>
                    <w:snapToGrid w:val="0"/>
                    <w:spacing w:line="276" w:lineRule="auto"/>
                    <w:jc w:val="center"/>
                    <w:rPr>
                      <w:rFonts w:eastAsiaTheme="minorEastAsia"/>
                      <w:color w:val="auto"/>
                      <w:szCs w:val="21"/>
                    </w:rPr>
                  </w:pPr>
                  <w:r>
                    <w:rPr>
                      <w:rFonts w:hint="eastAsia" w:eastAsiaTheme="minorEastAsia"/>
                      <w:color w:val="auto"/>
                      <w:szCs w:val="21"/>
                    </w:rPr>
                    <w:t>53</w:t>
                  </w:r>
                </w:p>
              </w:tc>
              <w:tc>
                <w:tcPr>
                  <w:tcW w:w="670" w:type="pct"/>
                  <w:vAlign w:val="center"/>
                </w:tcPr>
                <w:p w14:paraId="7DD6B827">
                  <w:pPr>
                    <w:adjustRightInd w:val="0"/>
                    <w:snapToGrid w:val="0"/>
                    <w:spacing w:line="276" w:lineRule="auto"/>
                    <w:jc w:val="center"/>
                    <w:rPr>
                      <w:rFonts w:hAnsiTheme="minorEastAsia" w:eastAsiaTheme="minorEastAsia"/>
                      <w:color w:val="auto"/>
                      <w:szCs w:val="21"/>
                    </w:rPr>
                  </w:pPr>
                  <w:r>
                    <w:rPr>
                      <w:rFonts w:hAnsiTheme="minorEastAsia" w:eastAsiaTheme="minorEastAsia"/>
                      <w:color w:val="auto"/>
                      <w:szCs w:val="21"/>
                    </w:rPr>
                    <w:t>推动低</w:t>
                  </w:r>
                  <w:r>
                    <w:rPr>
                      <w:rFonts w:hint="eastAsia" w:hAnsiTheme="minorEastAsia" w:eastAsiaTheme="minorEastAsia"/>
                      <w:color w:val="auto"/>
                      <w:szCs w:val="21"/>
                    </w:rPr>
                    <w:t>（无）VOCs原辅材料源头替代</w:t>
                  </w:r>
                </w:p>
              </w:tc>
              <w:tc>
                <w:tcPr>
                  <w:tcW w:w="1394" w:type="pct"/>
                  <w:vAlign w:val="center"/>
                </w:tcPr>
                <w:p w14:paraId="6B505015">
                  <w:pPr>
                    <w:adjustRightInd w:val="0"/>
                    <w:snapToGrid w:val="0"/>
                    <w:spacing w:line="276" w:lineRule="auto"/>
                    <w:jc w:val="center"/>
                    <w:rPr>
                      <w:rFonts w:hAnsiTheme="minorEastAsia" w:eastAsiaTheme="minorEastAsia"/>
                      <w:color w:val="auto"/>
                      <w:szCs w:val="21"/>
                    </w:rPr>
                  </w:pPr>
                  <w:r>
                    <w:rPr>
                      <w:rFonts w:hint="eastAsia" w:hAnsiTheme="minorEastAsia" w:eastAsiaTheme="minorEastAsia"/>
                      <w:color w:val="auto"/>
                      <w:szCs w:val="21"/>
                    </w:rPr>
                    <w:t>加大汽车整车制造、汽车修理、木质家具制造、汽车零部件、工程机械、钢结构、船舶制造等工业涂装行业、包装印刷行业及电子行业低（无）VOCs含量原辅材料的替代力度</w:t>
                  </w:r>
                </w:p>
              </w:tc>
              <w:tc>
                <w:tcPr>
                  <w:tcW w:w="1172" w:type="pct"/>
                  <w:vAlign w:val="center"/>
                </w:tcPr>
                <w:p w14:paraId="2E651ECB">
                  <w:pPr>
                    <w:adjustRightInd w:val="0"/>
                    <w:snapToGrid w:val="0"/>
                    <w:spacing w:line="276" w:lineRule="auto"/>
                    <w:jc w:val="center"/>
                    <w:rPr>
                      <w:rFonts w:hAnsiTheme="minorEastAsia" w:eastAsiaTheme="minorEastAsia"/>
                      <w:color w:val="auto"/>
                      <w:szCs w:val="21"/>
                    </w:rPr>
                  </w:pPr>
                  <w:r>
                    <w:rPr>
                      <w:rFonts w:hint="eastAsia" w:hAnsiTheme="minorEastAsia" w:eastAsiaTheme="minorEastAsia"/>
                      <w:color w:val="auto"/>
                      <w:szCs w:val="21"/>
                    </w:rPr>
                    <w:t>汽车整车制造、汽车修理、木质家具制造、汽车零部件、工程机械、钢结构、船舶制造等工业涂装行业、包装印刷行业及电子行业环评审批中要求加大低（无）VOCs含量原辅材料的替代力度</w:t>
                  </w:r>
                </w:p>
              </w:tc>
              <w:tc>
                <w:tcPr>
                  <w:tcW w:w="949" w:type="pct"/>
                  <w:vAlign w:val="center"/>
                </w:tcPr>
                <w:p w14:paraId="6CE5EFF2">
                  <w:pPr>
                    <w:spacing w:line="276" w:lineRule="auto"/>
                    <w:jc w:val="center"/>
                    <w:rPr>
                      <w:rFonts w:hAnsiTheme="minorEastAsia" w:eastAsiaTheme="minorEastAsia"/>
                      <w:color w:val="auto"/>
                      <w:szCs w:val="21"/>
                    </w:rPr>
                  </w:pPr>
                  <w:r>
                    <w:rPr>
                      <w:rFonts w:hAnsiTheme="minorEastAsia" w:eastAsiaTheme="minorEastAsia"/>
                      <w:color w:val="auto"/>
                      <w:szCs w:val="21"/>
                    </w:rPr>
                    <w:t>本项目为日用玻璃制品制造，不属于</w:t>
                  </w:r>
                  <w:r>
                    <w:rPr>
                      <w:rFonts w:hint="eastAsia" w:hAnsiTheme="minorEastAsia" w:eastAsiaTheme="minorEastAsia"/>
                      <w:color w:val="auto"/>
                      <w:szCs w:val="21"/>
                    </w:rPr>
                    <w:t>汽车整车制造、汽车修理、木质家具制造、汽车零部件、工程机械、钢结构、船舶制造等工业涂装行业、包装印刷行业及电子行业；本项目喷涂工序使用的</w:t>
                  </w:r>
                  <w:r>
                    <w:rPr>
                      <w:rFonts w:hint="eastAsia" w:hAnsi="宋体"/>
                      <w:color w:val="auto"/>
                      <w:szCs w:val="21"/>
                    </w:rPr>
                    <w:t>水性漆</w:t>
                  </w:r>
                  <w:r>
                    <w:rPr>
                      <w:rFonts w:hint="eastAsia" w:hAnsiTheme="minorEastAsia" w:eastAsiaTheme="minorEastAsia"/>
                      <w:color w:val="auto"/>
                      <w:szCs w:val="21"/>
                    </w:rPr>
                    <w:t>VOCs含量符合《低挥发性有机化合物含量涂料产品技术要求》（GB/T38597-2020）中相关限值要求</w:t>
                  </w:r>
                </w:p>
              </w:tc>
              <w:tc>
                <w:tcPr>
                  <w:tcW w:w="490" w:type="pct"/>
                  <w:vAlign w:val="center"/>
                </w:tcPr>
                <w:p w14:paraId="1DF2F924">
                  <w:pPr>
                    <w:spacing w:line="276" w:lineRule="auto"/>
                    <w:jc w:val="center"/>
                    <w:rPr>
                      <w:rFonts w:eastAsiaTheme="minorEastAsia"/>
                      <w:color w:val="auto"/>
                      <w:szCs w:val="21"/>
                    </w:rPr>
                  </w:pPr>
                  <w:r>
                    <w:rPr>
                      <w:rFonts w:hint="eastAsia" w:eastAsiaTheme="minorEastAsia"/>
                      <w:color w:val="auto"/>
                      <w:szCs w:val="21"/>
                    </w:rPr>
                    <w:t>不属于</w:t>
                  </w:r>
                </w:p>
              </w:tc>
            </w:tr>
          </w:tbl>
          <w:p w14:paraId="665427AA">
            <w:pPr>
              <w:widowControl/>
              <w:spacing w:line="360" w:lineRule="auto"/>
              <w:outlineLvl w:val="0"/>
              <w:rPr>
                <w:rFonts w:ascii="宋体" w:hAnsi="宋体"/>
                <w:b/>
                <w:bCs/>
                <w:color w:val="auto"/>
                <w:kern w:val="0"/>
                <w:sz w:val="24"/>
                <w:szCs w:val="24"/>
              </w:rPr>
            </w:pPr>
          </w:p>
        </w:tc>
      </w:tr>
    </w:tbl>
    <w:p w14:paraId="55ED6074">
      <w:pPr>
        <w:widowControl/>
        <w:jc w:val="center"/>
        <w:outlineLvl w:val="0"/>
        <w:rPr>
          <w:rFonts w:ascii="宋体" w:hAnsi="宋体"/>
          <w:b/>
          <w:bCs/>
          <w:color w:val="auto"/>
          <w:kern w:val="0"/>
          <w:sz w:val="30"/>
          <w:szCs w:val="30"/>
        </w:rPr>
        <w:sectPr>
          <w:pgSz w:w="16838" w:h="11906" w:orient="landscape"/>
          <w:pgMar w:top="1797" w:right="1440" w:bottom="1508" w:left="1440" w:header="851" w:footer="992" w:gutter="0"/>
          <w:cols w:space="720" w:num="1"/>
          <w:docGrid w:type="lines" w:linePitch="312" w:charSpace="0"/>
        </w:sectPr>
      </w:pPr>
    </w:p>
    <w:p w14:paraId="6C0B23B6">
      <w:pPr>
        <w:widowControl/>
        <w:jc w:val="left"/>
        <w:outlineLvl w:val="0"/>
        <w:rPr>
          <w:rFonts w:ascii="宋体" w:hAnsi="宋体"/>
          <w:b/>
          <w:bCs/>
          <w:color w:val="auto"/>
          <w:kern w:val="0"/>
          <w:sz w:val="30"/>
          <w:szCs w:val="30"/>
        </w:rPr>
      </w:pP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8000"/>
      </w:tblGrid>
      <w:tr w14:paraId="1CCD3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FA2FCA0">
            <w:pPr>
              <w:widowControl/>
              <w:spacing w:line="360" w:lineRule="auto"/>
              <w:jc w:val="center"/>
              <w:outlineLvl w:val="0"/>
              <w:rPr>
                <w:rFonts w:ascii="宋体" w:hAnsi="宋体"/>
                <w:b/>
                <w:bCs/>
                <w:color w:val="auto"/>
                <w:kern w:val="0"/>
                <w:sz w:val="24"/>
                <w:szCs w:val="24"/>
              </w:rPr>
            </w:pPr>
            <w:r>
              <w:rPr>
                <w:rFonts w:hint="eastAsia" w:ascii="宋体" w:hAnsi="宋体" w:cs="宋体"/>
                <w:color w:val="auto"/>
                <w:kern w:val="0"/>
                <w:sz w:val="24"/>
                <w:szCs w:val="24"/>
              </w:rPr>
              <w:t>其他符合性分析</w:t>
            </w:r>
          </w:p>
        </w:tc>
        <w:tc>
          <w:tcPr>
            <w:tcW w:w="8000" w:type="dxa"/>
          </w:tcPr>
          <w:p w14:paraId="08A8F6EC">
            <w:pPr>
              <w:spacing w:line="360" w:lineRule="auto"/>
              <w:ind w:firstLine="480" w:firstLineChars="200"/>
              <w:rPr>
                <w:rFonts w:hAnsi="宋体"/>
                <w:color w:val="auto"/>
                <w:sz w:val="24"/>
              </w:rPr>
            </w:pPr>
            <w:r>
              <w:rPr>
                <w:rFonts w:hint="eastAsia" w:hAnsi="宋体"/>
                <w:color w:val="auto"/>
                <w:sz w:val="24"/>
              </w:rPr>
              <w:t>（6）与《安徽省淮河流域水污染防治条例》的相符性分析</w:t>
            </w:r>
          </w:p>
          <w:p w14:paraId="6E5A375B">
            <w:pPr>
              <w:autoSpaceDE w:val="0"/>
              <w:autoSpaceDN w:val="0"/>
              <w:spacing w:line="360" w:lineRule="auto"/>
              <w:jc w:val="center"/>
              <w:rPr>
                <w:rFonts w:eastAsia="黑体"/>
                <w:color w:val="auto"/>
                <w:szCs w:val="21"/>
              </w:rPr>
            </w:pPr>
            <w:r>
              <w:rPr>
                <w:rFonts w:hint="eastAsia" w:hAnsi="黑体" w:eastAsia="黑体"/>
                <w:color w:val="auto"/>
                <w:sz w:val="24"/>
                <w:szCs w:val="24"/>
              </w:rPr>
              <w:t>表7</w:t>
            </w:r>
            <w:r>
              <w:rPr>
                <w:rFonts w:hAnsi="黑体" w:eastAsia="黑体"/>
                <w:color w:val="auto"/>
                <w:sz w:val="24"/>
                <w:szCs w:val="24"/>
              </w:rPr>
              <w:t xml:space="preserve">  </w:t>
            </w:r>
            <w:r>
              <w:rPr>
                <w:rFonts w:hint="eastAsia" w:hAnsi="黑体" w:eastAsia="黑体"/>
                <w:color w:val="auto"/>
                <w:sz w:val="24"/>
                <w:szCs w:val="24"/>
              </w:rPr>
              <w:t>与《安徽省淮河流域水污染防治条例》的相符性分析</w:t>
            </w:r>
          </w:p>
          <w:tbl>
            <w:tblPr>
              <w:tblStyle w:val="34"/>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991"/>
              <w:gridCol w:w="2706"/>
              <w:gridCol w:w="1087"/>
            </w:tblGrid>
            <w:tr w14:paraId="5156F50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564" w:type="pct"/>
                  <w:vAlign w:val="center"/>
                </w:tcPr>
                <w:p w14:paraId="2E41679A">
                  <w:pPr>
                    <w:wordWrap w:val="0"/>
                    <w:spacing w:line="276" w:lineRule="auto"/>
                    <w:jc w:val="center"/>
                    <w:rPr>
                      <w:rFonts w:hAnsi="宋体"/>
                      <w:b/>
                      <w:color w:val="auto"/>
                      <w:szCs w:val="21"/>
                    </w:rPr>
                  </w:pPr>
                  <w:r>
                    <w:rPr>
                      <w:rFonts w:hint="eastAsia" w:hAnsi="宋体"/>
                      <w:b/>
                      <w:color w:val="auto"/>
                      <w:szCs w:val="21"/>
                    </w:rPr>
                    <w:t>相关条例</w:t>
                  </w:r>
                </w:p>
              </w:tc>
              <w:tc>
                <w:tcPr>
                  <w:tcW w:w="1738" w:type="pct"/>
                  <w:vAlign w:val="center"/>
                </w:tcPr>
                <w:p w14:paraId="0C8DB53C">
                  <w:pPr>
                    <w:wordWrap w:val="0"/>
                    <w:spacing w:line="276" w:lineRule="auto"/>
                    <w:jc w:val="center"/>
                    <w:rPr>
                      <w:rFonts w:hAnsi="宋体"/>
                      <w:b/>
                      <w:color w:val="auto"/>
                      <w:szCs w:val="21"/>
                    </w:rPr>
                  </w:pPr>
                  <w:r>
                    <w:rPr>
                      <w:rFonts w:hint="eastAsia" w:hAnsi="宋体"/>
                      <w:b/>
                      <w:color w:val="auto"/>
                      <w:szCs w:val="21"/>
                    </w:rPr>
                    <w:t>本项目情况</w:t>
                  </w:r>
                </w:p>
              </w:tc>
              <w:tc>
                <w:tcPr>
                  <w:tcW w:w="699" w:type="pct"/>
                  <w:vAlign w:val="center"/>
                </w:tcPr>
                <w:p w14:paraId="17CC7795">
                  <w:pPr>
                    <w:wordWrap w:val="0"/>
                    <w:jc w:val="center"/>
                    <w:rPr>
                      <w:rFonts w:hAnsi="宋体"/>
                      <w:b/>
                      <w:color w:val="auto"/>
                      <w:szCs w:val="21"/>
                    </w:rPr>
                  </w:pPr>
                  <w:r>
                    <w:rPr>
                      <w:rFonts w:hint="eastAsia" w:hAnsi="宋体"/>
                      <w:b/>
                      <w:color w:val="auto"/>
                      <w:szCs w:val="21"/>
                    </w:rPr>
                    <w:t>符合性分析</w:t>
                  </w:r>
                </w:p>
              </w:tc>
            </w:tr>
            <w:tr w14:paraId="2395A3E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564" w:type="pct"/>
                  <w:vAlign w:val="center"/>
                </w:tcPr>
                <w:p w14:paraId="4EB116F7">
                  <w:pPr>
                    <w:spacing w:line="264" w:lineRule="auto"/>
                    <w:jc w:val="left"/>
                    <w:rPr>
                      <w:rFonts w:hAnsi="宋体"/>
                      <w:color w:val="auto"/>
                      <w:spacing w:val="-4"/>
                      <w:szCs w:val="21"/>
                    </w:rPr>
                  </w:pPr>
                  <w:r>
                    <w:rPr>
                      <w:rFonts w:hint="eastAsia" w:hAnsi="宋体"/>
                      <w:color w:val="auto"/>
                      <w:spacing w:val="-4"/>
                      <w:szCs w:val="21"/>
                    </w:rPr>
                    <w:t>第十三条 禁止在淮河流域新建化学制浆造纸企业和印染、制革、化工、电镀、酿造等污染严重的小型企业。严格限制在淮河流域新建印染、制革、化工、电镀、酿造等大中型项目或者其他污染严重的项目，建设该类项目应当事前征得省人民政府生态环境行政主管部门的同意，并按照规定办理有关手续。</w:t>
                  </w:r>
                </w:p>
              </w:tc>
              <w:tc>
                <w:tcPr>
                  <w:tcW w:w="1738" w:type="pct"/>
                  <w:vAlign w:val="center"/>
                </w:tcPr>
                <w:p w14:paraId="292177FF">
                  <w:pPr>
                    <w:spacing w:line="264" w:lineRule="auto"/>
                    <w:jc w:val="center"/>
                    <w:rPr>
                      <w:rFonts w:hAnsi="宋体"/>
                      <w:color w:val="auto"/>
                      <w:spacing w:val="-4"/>
                      <w:szCs w:val="21"/>
                    </w:rPr>
                  </w:pPr>
                  <w:r>
                    <w:rPr>
                      <w:rFonts w:hint="eastAsia" w:hAnsi="宋体"/>
                      <w:color w:val="auto"/>
                      <w:spacing w:val="-4"/>
                      <w:szCs w:val="21"/>
                    </w:rPr>
                    <w:t>本项目属于日用玻璃制品制造行业，不属于新建化学制浆造纸企业和印染、制革、化工、电镀、酿造等污染严重的小型企业，也不属于新建印染、制革、化工、电镀、酿造等大中型项目或者其他污染严重的项目。</w:t>
                  </w:r>
                </w:p>
              </w:tc>
              <w:tc>
                <w:tcPr>
                  <w:tcW w:w="699" w:type="pct"/>
                  <w:vAlign w:val="center"/>
                </w:tcPr>
                <w:p w14:paraId="2CC6154C">
                  <w:pPr>
                    <w:wordWrap w:val="0"/>
                    <w:spacing w:line="276" w:lineRule="auto"/>
                    <w:jc w:val="center"/>
                    <w:rPr>
                      <w:rFonts w:hAnsi="宋体"/>
                      <w:color w:val="auto"/>
                      <w:szCs w:val="21"/>
                    </w:rPr>
                  </w:pPr>
                  <w:r>
                    <w:rPr>
                      <w:rFonts w:hint="eastAsia" w:hAnsi="宋体"/>
                      <w:color w:val="auto"/>
                      <w:szCs w:val="21"/>
                    </w:rPr>
                    <w:t>符合</w:t>
                  </w:r>
                </w:p>
              </w:tc>
            </w:tr>
            <w:tr w14:paraId="29B1569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564" w:type="pct"/>
                  <w:vAlign w:val="center"/>
                </w:tcPr>
                <w:p w14:paraId="1993A091">
                  <w:pPr>
                    <w:spacing w:line="264" w:lineRule="auto"/>
                    <w:jc w:val="left"/>
                    <w:rPr>
                      <w:rFonts w:hAnsi="宋体"/>
                      <w:color w:val="auto"/>
                      <w:szCs w:val="21"/>
                    </w:rPr>
                  </w:pPr>
                  <w:r>
                    <w:rPr>
                      <w:rFonts w:hint="eastAsia" w:hAnsi="宋体"/>
                      <w:color w:val="auto"/>
                      <w:szCs w:val="21"/>
                    </w:rPr>
                    <w:t>第十四条 新建、改建、扩建直接或者间接向水体排放污染物的建设项目和其他水上设施，应当依法进行环境影响评价。建设项目的水污染防治设施，应当符合经批准或者备案的环境影响评价文件的要求，并与主体工程同时设计、同时施工、同时投入使用。</w:t>
                  </w:r>
                </w:p>
                <w:p w14:paraId="7B2A4C35">
                  <w:pPr>
                    <w:spacing w:line="264" w:lineRule="auto"/>
                    <w:ind w:firstLine="420" w:firstLineChars="200"/>
                    <w:jc w:val="left"/>
                    <w:rPr>
                      <w:rFonts w:hAnsi="宋体"/>
                      <w:color w:val="auto"/>
                      <w:szCs w:val="21"/>
                    </w:rPr>
                  </w:pPr>
                  <w:r>
                    <w:rPr>
                      <w:rFonts w:hint="eastAsia" w:hAnsi="宋体"/>
                      <w:color w:val="auto"/>
                      <w:szCs w:val="21"/>
                    </w:rPr>
                    <w:t>新建、扩建、改建项目，除执行前款规定外，还应当遵守下列规定：</w:t>
                  </w:r>
                </w:p>
                <w:p w14:paraId="60287945">
                  <w:pPr>
                    <w:spacing w:line="264" w:lineRule="auto"/>
                    <w:jc w:val="left"/>
                    <w:rPr>
                      <w:rFonts w:hAnsi="宋体"/>
                      <w:color w:val="auto"/>
                      <w:szCs w:val="21"/>
                    </w:rPr>
                  </w:pPr>
                  <w:r>
                    <w:rPr>
                      <w:rFonts w:hint="eastAsia" w:hAnsi="宋体"/>
                      <w:color w:val="auto"/>
                      <w:szCs w:val="21"/>
                    </w:rPr>
                    <w:t>（一）新建项目的选址应符合城市总体规划，避开饮用水水源地和对环境有特殊要求的功能区；</w:t>
                  </w:r>
                </w:p>
                <w:p w14:paraId="7C6EAD71">
                  <w:pPr>
                    <w:spacing w:line="264" w:lineRule="auto"/>
                    <w:jc w:val="left"/>
                    <w:rPr>
                      <w:rFonts w:hAnsi="宋体"/>
                      <w:color w:val="auto"/>
                      <w:szCs w:val="21"/>
                    </w:rPr>
                  </w:pPr>
                  <w:r>
                    <w:rPr>
                      <w:rFonts w:hint="eastAsia" w:hAnsi="宋体"/>
                      <w:color w:val="auto"/>
                      <w:szCs w:val="21"/>
                    </w:rPr>
                    <w:t>（二）采用资源利用率高、污染物排放量少的先进设备和先进工艺；</w:t>
                  </w:r>
                </w:p>
                <w:p w14:paraId="7682B1E5">
                  <w:pPr>
                    <w:spacing w:line="264" w:lineRule="auto"/>
                    <w:jc w:val="left"/>
                    <w:rPr>
                      <w:rFonts w:hAnsi="宋体"/>
                      <w:color w:val="auto"/>
                      <w:szCs w:val="21"/>
                    </w:rPr>
                  </w:pPr>
                  <w:r>
                    <w:rPr>
                      <w:rFonts w:hint="eastAsia" w:hAnsi="宋体"/>
                      <w:color w:val="auto"/>
                      <w:szCs w:val="21"/>
                    </w:rPr>
                    <w:t>（三）改建、扩建项目和技改项目应当把水污染治理纳入项目内容。</w:t>
                  </w:r>
                </w:p>
                <w:p w14:paraId="1ECFCFEE">
                  <w:pPr>
                    <w:spacing w:line="264" w:lineRule="auto"/>
                    <w:ind w:firstLine="420" w:firstLineChars="200"/>
                    <w:jc w:val="left"/>
                    <w:rPr>
                      <w:rFonts w:hAnsi="宋体"/>
                      <w:color w:val="auto"/>
                      <w:szCs w:val="21"/>
                    </w:rPr>
                  </w:pPr>
                  <w:r>
                    <w:rPr>
                      <w:rFonts w:hint="eastAsia" w:hAnsi="宋体"/>
                      <w:color w:val="auto"/>
                      <w:szCs w:val="21"/>
                    </w:rPr>
                    <w:t>工程配套建设的水污染防治设施竣工后，建设单位应当按照国务院生态环境行政主管部门规定的标准和程序进行验收。验收合格后，方可投入使用；未经验收或者验收不合格的，不得投入生产或者使用。</w:t>
                  </w:r>
                </w:p>
              </w:tc>
              <w:tc>
                <w:tcPr>
                  <w:tcW w:w="1738" w:type="pct"/>
                  <w:vAlign w:val="center"/>
                </w:tcPr>
                <w:p w14:paraId="314B68B7">
                  <w:pPr>
                    <w:spacing w:line="264" w:lineRule="auto"/>
                    <w:jc w:val="center"/>
                    <w:rPr>
                      <w:rFonts w:hAnsi="宋体"/>
                      <w:color w:val="auto"/>
                      <w:szCs w:val="21"/>
                    </w:rPr>
                  </w:pPr>
                  <w:r>
                    <w:rPr>
                      <w:rFonts w:hint="eastAsia" w:hAnsi="宋体"/>
                      <w:color w:val="auto"/>
                      <w:szCs w:val="21"/>
                    </w:rPr>
                    <w:t>本项目不涉及生产废水排放，不新增生活污水。本项目的选址符合用地规划要求，不位于饮用水水源保护区及生态保护红线区内。</w:t>
                  </w:r>
                </w:p>
              </w:tc>
              <w:tc>
                <w:tcPr>
                  <w:tcW w:w="699" w:type="pct"/>
                  <w:vAlign w:val="center"/>
                </w:tcPr>
                <w:p w14:paraId="7B144CBA">
                  <w:pPr>
                    <w:wordWrap w:val="0"/>
                    <w:spacing w:line="276" w:lineRule="auto"/>
                    <w:jc w:val="center"/>
                    <w:rPr>
                      <w:rFonts w:hAnsi="宋体"/>
                      <w:color w:val="auto"/>
                      <w:szCs w:val="21"/>
                    </w:rPr>
                  </w:pPr>
                  <w:r>
                    <w:rPr>
                      <w:rFonts w:hint="eastAsia" w:hAnsi="宋体"/>
                      <w:color w:val="auto"/>
                      <w:szCs w:val="21"/>
                    </w:rPr>
                    <w:t>符合</w:t>
                  </w:r>
                </w:p>
              </w:tc>
            </w:tr>
            <w:tr w14:paraId="269E5E3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564" w:type="pct"/>
                  <w:vAlign w:val="center"/>
                </w:tcPr>
                <w:p w14:paraId="69F5088E">
                  <w:pPr>
                    <w:spacing w:line="264" w:lineRule="auto"/>
                    <w:jc w:val="left"/>
                    <w:rPr>
                      <w:rFonts w:hAnsi="宋体"/>
                      <w:color w:val="auto"/>
                      <w:szCs w:val="21"/>
                    </w:rPr>
                  </w:pPr>
                  <w:r>
                    <w:rPr>
                      <w:rFonts w:hint="eastAsia" w:hAnsi="宋体"/>
                      <w:color w:val="auto"/>
                      <w:szCs w:val="21"/>
                    </w:rPr>
                    <w:t>第十六条 在淮河流域城市公共排水设施覆盖区域内，应当实行雨水、污水分流；排水户应当将雨水、污水分别排入公共雨水、污水管网及其附属设施。现有排水设施未实行雨水、污水分流的，应当编制规划，进行分流改造。</w:t>
                  </w:r>
                </w:p>
              </w:tc>
              <w:tc>
                <w:tcPr>
                  <w:tcW w:w="1738" w:type="pct"/>
                  <w:vAlign w:val="center"/>
                </w:tcPr>
                <w:p w14:paraId="27FAB786">
                  <w:pPr>
                    <w:jc w:val="center"/>
                    <w:rPr>
                      <w:rFonts w:hAnsi="宋体"/>
                      <w:color w:val="auto"/>
                      <w:szCs w:val="21"/>
                    </w:rPr>
                  </w:pPr>
                  <w:r>
                    <w:rPr>
                      <w:rFonts w:hint="eastAsia" w:hAnsi="宋体"/>
                      <w:color w:val="auto"/>
                      <w:szCs w:val="21"/>
                    </w:rPr>
                    <w:t>项目建设区域内实行雨污分流制度，雨水经厂区雨水管网收集，通过雨水总排口排入园区雨水管网。生产环节不消耗水，无生产废水排放；本次项目不新增劳动定员，故不新增生活污水。</w:t>
                  </w:r>
                </w:p>
              </w:tc>
              <w:tc>
                <w:tcPr>
                  <w:tcW w:w="699" w:type="pct"/>
                  <w:vAlign w:val="center"/>
                </w:tcPr>
                <w:p w14:paraId="725C972E">
                  <w:pPr>
                    <w:wordWrap w:val="0"/>
                    <w:spacing w:line="276" w:lineRule="auto"/>
                    <w:jc w:val="center"/>
                    <w:rPr>
                      <w:rFonts w:hAnsi="宋体"/>
                      <w:color w:val="auto"/>
                      <w:szCs w:val="21"/>
                    </w:rPr>
                  </w:pPr>
                  <w:r>
                    <w:rPr>
                      <w:rFonts w:hint="eastAsia" w:hAnsi="宋体"/>
                      <w:color w:val="auto"/>
                      <w:szCs w:val="21"/>
                    </w:rPr>
                    <w:t>符合</w:t>
                  </w:r>
                </w:p>
              </w:tc>
            </w:tr>
          </w:tbl>
          <w:p w14:paraId="2F706ED9">
            <w:pPr>
              <w:pStyle w:val="108"/>
              <w:adjustRightInd/>
              <w:spacing w:line="360" w:lineRule="auto"/>
              <w:ind w:firstLine="482" w:firstLineChars="200"/>
              <w:rPr>
                <w:b/>
                <w:color w:val="auto"/>
              </w:rPr>
            </w:pPr>
            <w:r>
              <w:rPr>
                <w:rFonts w:hint="eastAsia"/>
                <w:b/>
                <w:bCs/>
                <w:color w:val="auto"/>
              </w:rPr>
              <w:t>4、</w:t>
            </w:r>
            <w:r>
              <w:rPr>
                <w:rFonts w:hint="eastAsia"/>
                <w:b/>
                <w:color w:val="auto"/>
              </w:rPr>
              <w:t>与《淮南市“三线一单”生态环境分区管控方案》协调性分析</w:t>
            </w:r>
          </w:p>
          <w:p w14:paraId="023A9F29">
            <w:pPr>
              <w:pStyle w:val="108"/>
              <w:adjustRightInd/>
              <w:spacing w:line="360" w:lineRule="auto"/>
              <w:ind w:firstLine="480" w:firstLineChars="200"/>
              <w:rPr>
                <w:color w:val="auto"/>
              </w:rPr>
            </w:pPr>
            <w:r>
              <w:rPr>
                <w:rFonts w:hint="eastAsia"/>
                <w:color w:val="auto"/>
              </w:rPr>
              <w:t>根据安徽省“三线一单”公众服务平台套合图（网址：</w:t>
            </w:r>
            <w:r>
              <w:rPr>
                <w:color w:val="auto"/>
              </w:rPr>
              <w:fldChar w:fldCharType="begin"/>
            </w:r>
            <w:r>
              <w:rPr>
                <w:color w:val="auto"/>
              </w:rPr>
              <w:instrText xml:space="preserve"> HYPERLINK "http://39.145.8.156:1509/ah/public/" \l "/home），本项目所在地存在0个优先管控单元、1" </w:instrText>
            </w:r>
            <w:r>
              <w:rPr>
                <w:color w:val="auto"/>
              </w:rPr>
              <w:fldChar w:fldCharType="separate"/>
            </w:r>
            <w:r>
              <w:rPr>
                <w:rStyle w:val="44"/>
                <w:color w:val="auto"/>
              </w:rPr>
              <w:t>http://39.145.8.156:1509/ah/public/#/home</w:t>
            </w:r>
            <w:r>
              <w:rPr>
                <w:rStyle w:val="44"/>
                <w:rFonts w:hint="eastAsia"/>
                <w:color w:val="auto"/>
              </w:rPr>
              <w:t>），本项目所在地存在0个优先管控单元、1</w:t>
            </w:r>
            <w:r>
              <w:rPr>
                <w:rStyle w:val="44"/>
                <w:rFonts w:hint="eastAsia"/>
                <w:color w:val="auto"/>
              </w:rPr>
              <w:fldChar w:fldCharType="end"/>
            </w:r>
            <w:r>
              <w:rPr>
                <w:rFonts w:hint="eastAsia"/>
                <w:color w:val="auto"/>
              </w:rPr>
              <w:t>个重点管控单元、0个一般管控单元，属于重点管控单元（大气重点/水重点），编码为ZH34040320026（具体见附图10）。本项目与所在环境管控单元空间布局约束、污染物排放管控、环境风险防控、资源开发效率要求、区域总体管控要求协调性分析如下表。</w:t>
            </w:r>
          </w:p>
          <w:p w14:paraId="1413E1FC">
            <w:pPr>
              <w:pStyle w:val="108"/>
              <w:adjustRightInd/>
              <w:spacing w:line="360" w:lineRule="auto"/>
              <w:ind w:firstLine="480" w:firstLineChars="200"/>
              <w:rPr>
                <w:color w:val="auto"/>
              </w:rPr>
            </w:pPr>
          </w:p>
          <w:p w14:paraId="5CFF8805">
            <w:pPr>
              <w:pStyle w:val="108"/>
              <w:adjustRightInd/>
              <w:spacing w:line="360" w:lineRule="auto"/>
              <w:ind w:firstLine="480" w:firstLineChars="200"/>
              <w:rPr>
                <w:color w:val="auto"/>
              </w:rPr>
            </w:pPr>
          </w:p>
          <w:p w14:paraId="369A9A70">
            <w:pPr>
              <w:pStyle w:val="108"/>
              <w:adjustRightInd/>
              <w:spacing w:line="360" w:lineRule="auto"/>
              <w:ind w:firstLine="480" w:firstLineChars="200"/>
              <w:rPr>
                <w:color w:val="auto"/>
              </w:rPr>
            </w:pPr>
          </w:p>
          <w:p w14:paraId="44ED4698">
            <w:pPr>
              <w:pStyle w:val="108"/>
              <w:adjustRightInd/>
              <w:spacing w:line="360" w:lineRule="auto"/>
              <w:ind w:firstLine="480" w:firstLineChars="200"/>
              <w:rPr>
                <w:color w:val="auto"/>
              </w:rPr>
            </w:pPr>
          </w:p>
          <w:p w14:paraId="727F9104">
            <w:pPr>
              <w:rPr>
                <w:color w:val="auto"/>
              </w:rPr>
            </w:pPr>
          </w:p>
          <w:p w14:paraId="5378724D">
            <w:pPr>
              <w:rPr>
                <w:color w:val="auto"/>
              </w:rPr>
            </w:pPr>
          </w:p>
          <w:p w14:paraId="07193E0A">
            <w:pPr>
              <w:rPr>
                <w:color w:val="auto"/>
              </w:rPr>
            </w:pPr>
          </w:p>
          <w:p w14:paraId="0E0FFA93">
            <w:pPr>
              <w:rPr>
                <w:color w:val="auto"/>
              </w:rPr>
            </w:pPr>
          </w:p>
          <w:p w14:paraId="63458ADF">
            <w:pPr>
              <w:rPr>
                <w:color w:val="auto"/>
              </w:rPr>
            </w:pPr>
          </w:p>
          <w:p w14:paraId="17B8FD74">
            <w:pPr>
              <w:rPr>
                <w:color w:val="auto"/>
              </w:rPr>
            </w:pPr>
          </w:p>
          <w:p w14:paraId="170BE33C">
            <w:pPr>
              <w:rPr>
                <w:color w:val="auto"/>
              </w:rPr>
            </w:pPr>
          </w:p>
          <w:p w14:paraId="61E083EE">
            <w:pPr>
              <w:rPr>
                <w:color w:val="auto"/>
              </w:rPr>
            </w:pPr>
          </w:p>
          <w:p w14:paraId="361D3A45">
            <w:pPr>
              <w:rPr>
                <w:color w:val="auto"/>
              </w:rPr>
            </w:pPr>
          </w:p>
          <w:p w14:paraId="49C1AE1A">
            <w:pPr>
              <w:rPr>
                <w:color w:val="auto"/>
              </w:rPr>
            </w:pPr>
          </w:p>
          <w:p w14:paraId="54B1BB42">
            <w:pPr>
              <w:rPr>
                <w:color w:val="auto"/>
              </w:rPr>
            </w:pPr>
          </w:p>
          <w:p w14:paraId="65466804">
            <w:pPr>
              <w:rPr>
                <w:color w:val="auto"/>
              </w:rPr>
            </w:pPr>
          </w:p>
          <w:p w14:paraId="04A222AB">
            <w:pPr>
              <w:rPr>
                <w:color w:val="auto"/>
              </w:rPr>
            </w:pPr>
          </w:p>
          <w:p w14:paraId="449BA7CF">
            <w:pPr>
              <w:rPr>
                <w:color w:val="auto"/>
              </w:rPr>
            </w:pPr>
          </w:p>
          <w:p w14:paraId="7FD742A8">
            <w:pPr>
              <w:rPr>
                <w:color w:val="auto"/>
              </w:rPr>
            </w:pPr>
          </w:p>
          <w:p w14:paraId="69E46D9E">
            <w:pPr>
              <w:rPr>
                <w:color w:val="auto"/>
              </w:rPr>
            </w:pPr>
          </w:p>
          <w:p w14:paraId="22A6B527">
            <w:pPr>
              <w:rPr>
                <w:color w:val="auto"/>
              </w:rPr>
            </w:pPr>
          </w:p>
          <w:p w14:paraId="3F7918EA">
            <w:pPr>
              <w:rPr>
                <w:color w:val="auto"/>
              </w:rPr>
            </w:pPr>
          </w:p>
          <w:p w14:paraId="24D6A0B7">
            <w:pPr>
              <w:rPr>
                <w:color w:val="auto"/>
              </w:rPr>
            </w:pPr>
          </w:p>
          <w:p w14:paraId="00DF34C2">
            <w:pPr>
              <w:rPr>
                <w:color w:val="auto"/>
              </w:rPr>
            </w:pPr>
          </w:p>
          <w:p w14:paraId="2CD0DD2D">
            <w:pPr>
              <w:rPr>
                <w:color w:val="auto"/>
              </w:rPr>
            </w:pPr>
          </w:p>
          <w:p w14:paraId="4DD8A1E7">
            <w:pPr>
              <w:rPr>
                <w:color w:val="auto"/>
              </w:rPr>
            </w:pPr>
          </w:p>
          <w:p w14:paraId="5C08078C">
            <w:pPr>
              <w:widowControl/>
              <w:spacing w:line="360" w:lineRule="auto"/>
              <w:jc w:val="left"/>
              <w:outlineLvl w:val="0"/>
              <w:rPr>
                <w:rFonts w:ascii="宋体" w:hAnsi="宋体"/>
                <w:b/>
                <w:bCs/>
                <w:color w:val="auto"/>
                <w:kern w:val="0"/>
                <w:sz w:val="24"/>
                <w:szCs w:val="24"/>
              </w:rPr>
            </w:pPr>
          </w:p>
        </w:tc>
      </w:tr>
    </w:tbl>
    <w:p w14:paraId="0031DB9D">
      <w:pPr>
        <w:widowControl/>
        <w:jc w:val="left"/>
        <w:outlineLvl w:val="0"/>
        <w:rPr>
          <w:rFonts w:ascii="宋体" w:hAnsi="宋体"/>
          <w:b/>
          <w:bCs/>
          <w:color w:val="auto"/>
          <w:kern w:val="0"/>
          <w:sz w:val="30"/>
          <w:szCs w:val="30"/>
        </w:rPr>
        <w:sectPr>
          <w:pgSz w:w="11906" w:h="16838"/>
          <w:pgMar w:top="1440" w:right="1508" w:bottom="1440" w:left="1797" w:header="851" w:footer="992" w:gutter="0"/>
          <w:cols w:space="720" w:num="1"/>
          <w:docGrid w:type="lines" w:linePitch="312" w:charSpace="0"/>
        </w:sectPr>
      </w:pP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3325"/>
      </w:tblGrid>
      <w:tr w14:paraId="3EE73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9E96D9B">
            <w:pPr>
              <w:widowControl/>
              <w:spacing w:line="360" w:lineRule="auto"/>
              <w:jc w:val="center"/>
              <w:rPr>
                <w:rFonts w:ascii="宋体" w:hAnsi="宋体"/>
                <w:bCs/>
                <w:color w:val="auto"/>
                <w:kern w:val="0"/>
                <w:sz w:val="24"/>
                <w:szCs w:val="24"/>
              </w:rPr>
            </w:pPr>
            <w:r>
              <w:rPr>
                <w:rFonts w:hint="eastAsia" w:ascii="宋体" w:hAnsi="宋体"/>
                <w:bCs/>
                <w:color w:val="auto"/>
                <w:kern w:val="0"/>
                <w:sz w:val="24"/>
                <w:szCs w:val="24"/>
              </w:rPr>
              <w:t>其他符合性分析</w:t>
            </w:r>
          </w:p>
        </w:tc>
        <w:tc>
          <w:tcPr>
            <w:tcW w:w="13325" w:type="dxa"/>
          </w:tcPr>
          <w:p w14:paraId="4D0C247C">
            <w:pPr>
              <w:pStyle w:val="219"/>
              <w:jc w:val="center"/>
              <w:rPr>
                <w:rFonts w:eastAsia="黑体" w:cs="Times New Roman"/>
                <w:color w:val="auto"/>
              </w:rPr>
            </w:pPr>
            <w:r>
              <w:rPr>
                <w:rFonts w:hAnsi="黑体" w:eastAsia="黑体" w:cs="Times New Roman"/>
                <w:color w:val="auto"/>
              </w:rPr>
              <w:t>表</w:t>
            </w:r>
            <w:r>
              <w:rPr>
                <w:rFonts w:hint="eastAsia" w:eastAsia="黑体" w:cs="Times New Roman"/>
                <w:color w:val="auto"/>
              </w:rPr>
              <w:t>8</w:t>
            </w:r>
            <w:r>
              <w:rPr>
                <w:rFonts w:eastAsia="黑体" w:cs="Times New Roman"/>
                <w:color w:val="auto"/>
              </w:rPr>
              <w:t xml:space="preserve">  </w:t>
            </w:r>
            <w:r>
              <w:rPr>
                <w:rFonts w:hAnsi="黑体" w:eastAsia="黑体" w:cs="Times New Roman"/>
                <w:color w:val="auto"/>
              </w:rPr>
              <w:t>本项目与环境管控单元要求协调性分析</w:t>
            </w:r>
          </w:p>
          <w:tbl>
            <w:tblPr>
              <w:tblStyle w:val="34"/>
              <w:tblW w:w="0" w:type="auto"/>
              <w:jc w:val="center"/>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18"/>
              <w:gridCol w:w="563"/>
              <w:gridCol w:w="563"/>
              <w:gridCol w:w="7488"/>
              <w:gridCol w:w="3341"/>
              <w:gridCol w:w="536"/>
            </w:tblGrid>
            <w:tr w14:paraId="6995955E">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14:paraId="71081037">
                  <w:pPr>
                    <w:autoSpaceDE w:val="0"/>
                    <w:autoSpaceDN w:val="0"/>
                    <w:spacing w:line="276" w:lineRule="auto"/>
                    <w:jc w:val="center"/>
                    <w:rPr>
                      <w:rFonts w:eastAsiaTheme="majorEastAsia"/>
                      <w:b/>
                      <w:color w:val="auto"/>
                      <w:szCs w:val="21"/>
                    </w:rPr>
                  </w:pPr>
                  <w:r>
                    <w:rPr>
                      <w:rFonts w:eastAsiaTheme="majorEastAsia"/>
                      <w:b/>
                      <w:color w:val="auto"/>
                      <w:szCs w:val="21"/>
                    </w:rPr>
                    <w:t>环境管控单元分类</w:t>
                  </w:r>
                </w:p>
              </w:tc>
              <w:tc>
                <w:tcPr>
                  <w:tcW w:w="0" w:type="auto"/>
                  <w:vAlign w:val="center"/>
                </w:tcPr>
                <w:p w14:paraId="15F56326">
                  <w:pPr>
                    <w:autoSpaceDE w:val="0"/>
                    <w:autoSpaceDN w:val="0"/>
                    <w:spacing w:line="276" w:lineRule="auto"/>
                    <w:jc w:val="center"/>
                    <w:rPr>
                      <w:rFonts w:eastAsiaTheme="majorEastAsia"/>
                      <w:b/>
                      <w:color w:val="auto"/>
                      <w:szCs w:val="21"/>
                    </w:rPr>
                  </w:pPr>
                  <w:r>
                    <w:rPr>
                      <w:rFonts w:eastAsiaTheme="majorEastAsia"/>
                      <w:b/>
                      <w:color w:val="auto"/>
                      <w:szCs w:val="21"/>
                    </w:rPr>
                    <w:t>区域名称</w:t>
                  </w:r>
                </w:p>
              </w:tc>
              <w:tc>
                <w:tcPr>
                  <w:tcW w:w="0" w:type="auto"/>
                  <w:vAlign w:val="center"/>
                </w:tcPr>
                <w:p w14:paraId="00A2AA00">
                  <w:pPr>
                    <w:spacing w:line="276" w:lineRule="auto"/>
                    <w:jc w:val="center"/>
                    <w:rPr>
                      <w:rFonts w:eastAsiaTheme="majorEastAsia"/>
                      <w:b/>
                      <w:color w:val="auto"/>
                      <w:szCs w:val="21"/>
                    </w:rPr>
                  </w:pPr>
                  <w:r>
                    <w:rPr>
                      <w:rFonts w:eastAsiaTheme="majorEastAsia"/>
                      <w:b/>
                      <w:color w:val="auto"/>
                      <w:szCs w:val="21"/>
                    </w:rPr>
                    <w:t>管控</w:t>
                  </w:r>
                </w:p>
                <w:p w14:paraId="407B592E">
                  <w:pPr>
                    <w:autoSpaceDE w:val="0"/>
                    <w:autoSpaceDN w:val="0"/>
                    <w:spacing w:line="276" w:lineRule="auto"/>
                    <w:jc w:val="center"/>
                    <w:rPr>
                      <w:rFonts w:eastAsiaTheme="majorEastAsia"/>
                      <w:b/>
                      <w:color w:val="auto"/>
                      <w:szCs w:val="21"/>
                    </w:rPr>
                  </w:pPr>
                  <w:r>
                    <w:rPr>
                      <w:rFonts w:eastAsiaTheme="majorEastAsia"/>
                      <w:b/>
                      <w:color w:val="auto"/>
                      <w:szCs w:val="21"/>
                    </w:rPr>
                    <w:t>类别</w:t>
                  </w:r>
                </w:p>
              </w:tc>
              <w:tc>
                <w:tcPr>
                  <w:tcW w:w="7487" w:type="dxa"/>
                  <w:vAlign w:val="center"/>
                </w:tcPr>
                <w:p w14:paraId="4C0A48A1">
                  <w:pPr>
                    <w:autoSpaceDE w:val="0"/>
                    <w:autoSpaceDN w:val="0"/>
                    <w:spacing w:line="276" w:lineRule="auto"/>
                    <w:jc w:val="center"/>
                    <w:rPr>
                      <w:rFonts w:eastAsiaTheme="majorEastAsia"/>
                      <w:b/>
                      <w:color w:val="auto"/>
                      <w:szCs w:val="21"/>
                    </w:rPr>
                  </w:pPr>
                  <w:r>
                    <w:rPr>
                      <w:rFonts w:eastAsiaTheme="majorEastAsia"/>
                      <w:b/>
                      <w:color w:val="auto"/>
                      <w:szCs w:val="21"/>
                    </w:rPr>
                    <w:t>管控要求</w:t>
                  </w:r>
                </w:p>
              </w:tc>
              <w:tc>
                <w:tcPr>
                  <w:tcW w:w="3341" w:type="dxa"/>
                  <w:vAlign w:val="center"/>
                </w:tcPr>
                <w:p w14:paraId="4CD13B5D">
                  <w:pPr>
                    <w:autoSpaceDE w:val="0"/>
                    <w:autoSpaceDN w:val="0"/>
                    <w:spacing w:line="276" w:lineRule="auto"/>
                    <w:jc w:val="center"/>
                    <w:rPr>
                      <w:rFonts w:eastAsiaTheme="majorEastAsia"/>
                      <w:b/>
                      <w:color w:val="auto"/>
                      <w:szCs w:val="21"/>
                    </w:rPr>
                  </w:pPr>
                  <w:r>
                    <w:rPr>
                      <w:rFonts w:eastAsiaTheme="majorEastAsia"/>
                      <w:b/>
                      <w:color w:val="auto"/>
                      <w:szCs w:val="21"/>
                    </w:rPr>
                    <w:t>协调性分析</w:t>
                  </w:r>
                </w:p>
              </w:tc>
              <w:tc>
                <w:tcPr>
                  <w:tcW w:w="0" w:type="auto"/>
                  <w:vAlign w:val="center"/>
                </w:tcPr>
                <w:p w14:paraId="6E0BC888">
                  <w:pPr>
                    <w:autoSpaceDE w:val="0"/>
                    <w:autoSpaceDN w:val="0"/>
                    <w:spacing w:line="276" w:lineRule="auto"/>
                    <w:jc w:val="center"/>
                    <w:rPr>
                      <w:rFonts w:eastAsiaTheme="majorEastAsia"/>
                      <w:b/>
                      <w:color w:val="auto"/>
                      <w:szCs w:val="21"/>
                    </w:rPr>
                  </w:pPr>
                  <w:r>
                    <w:rPr>
                      <w:rFonts w:eastAsiaTheme="majorEastAsia"/>
                      <w:b/>
                      <w:color w:val="auto"/>
                      <w:szCs w:val="21"/>
                    </w:rPr>
                    <w:t>符合性分析</w:t>
                  </w:r>
                </w:p>
              </w:tc>
            </w:tr>
            <w:tr w14:paraId="1D58C594">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5" w:hRule="atLeast"/>
                <w:jc w:val="center"/>
              </w:trPr>
              <w:tc>
                <w:tcPr>
                  <w:tcW w:w="0" w:type="auto"/>
                  <w:vMerge w:val="restart"/>
                  <w:vAlign w:val="center"/>
                </w:tcPr>
                <w:p w14:paraId="61BCE470">
                  <w:pPr>
                    <w:autoSpaceDE w:val="0"/>
                    <w:autoSpaceDN w:val="0"/>
                    <w:spacing w:line="276" w:lineRule="auto"/>
                    <w:jc w:val="center"/>
                    <w:rPr>
                      <w:rFonts w:eastAsiaTheme="majorEastAsia"/>
                      <w:color w:val="auto"/>
                      <w:szCs w:val="21"/>
                    </w:rPr>
                  </w:pPr>
                  <w:r>
                    <w:rPr>
                      <w:rFonts w:eastAsiaTheme="majorEastAsia"/>
                      <w:color w:val="auto"/>
                      <w:szCs w:val="21"/>
                    </w:rPr>
                    <w:t>重点管控单元</w:t>
                  </w:r>
                </w:p>
              </w:tc>
              <w:tc>
                <w:tcPr>
                  <w:tcW w:w="0" w:type="auto"/>
                  <w:vMerge w:val="restart"/>
                  <w:vAlign w:val="center"/>
                </w:tcPr>
                <w:p w14:paraId="08F7AE82">
                  <w:pPr>
                    <w:autoSpaceDE w:val="0"/>
                    <w:autoSpaceDN w:val="0"/>
                    <w:spacing w:line="276" w:lineRule="auto"/>
                    <w:jc w:val="center"/>
                    <w:rPr>
                      <w:rFonts w:eastAsiaTheme="majorEastAsia"/>
                      <w:color w:val="auto"/>
                      <w:szCs w:val="21"/>
                    </w:rPr>
                  </w:pPr>
                  <w:r>
                    <w:rPr>
                      <w:rFonts w:eastAsiaTheme="majorEastAsia"/>
                      <w:color w:val="auto"/>
                      <w:szCs w:val="21"/>
                    </w:rPr>
                    <w:t>重点管控单元</w:t>
                  </w:r>
                </w:p>
                <w:p w14:paraId="77774988">
                  <w:pPr>
                    <w:autoSpaceDE w:val="0"/>
                    <w:autoSpaceDN w:val="0"/>
                    <w:spacing w:line="276" w:lineRule="auto"/>
                    <w:jc w:val="center"/>
                    <w:rPr>
                      <w:rFonts w:eastAsiaTheme="majorEastAsia"/>
                      <w:color w:val="auto"/>
                      <w:szCs w:val="21"/>
                    </w:rPr>
                  </w:pPr>
                  <w:r>
                    <w:rPr>
                      <w:rFonts w:hint="eastAsia" w:eastAsiaTheme="majorEastAsia"/>
                      <w:color w:val="auto"/>
                      <w:szCs w:val="21"/>
                    </w:rPr>
                    <w:t>7</w:t>
                  </w:r>
                </w:p>
              </w:tc>
              <w:tc>
                <w:tcPr>
                  <w:tcW w:w="0" w:type="auto"/>
                  <w:vMerge w:val="restart"/>
                  <w:vAlign w:val="center"/>
                </w:tcPr>
                <w:p w14:paraId="72FC0B3D">
                  <w:pPr>
                    <w:autoSpaceDE w:val="0"/>
                    <w:autoSpaceDN w:val="0"/>
                    <w:spacing w:line="276" w:lineRule="auto"/>
                    <w:jc w:val="center"/>
                    <w:rPr>
                      <w:rFonts w:eastAsiaTheme="majorEastAsia"/>
                      <w:color w:val="auto"/>
                      <w:szCs w:val="21"/>
                    </w:rPr>
                  </w:pPr>
                  <w:r>
                    <w:rPr>
                      <w:rFonts w:hint="eastAsia" w:eastAsiaTheme="majorEastAsia"/>
                      <w:color w:val="auto"/>
                      <w:szCs w:val="21"/>
                    </w:rPr>
                    <w:t>空间布局</w:t>
                  </w:r>
                  <w:r>
                    <w:rPr>
                      <w:rFonts w:eastAsiaTheme="majorEastAsia"/>
                      <w:color w:val="auto"/>
                      <w:szCs w:val="21"/>
                    </w:rPr>
                    <w:t>约束</w:t>
                  </w:r>
                </w:p>
              </w:tc>
              <w:tc>
                <w:tcPr>
                  <w:tcW w:w="7487" w:type="dxa"/>
                  <w:vAlign w:val="center"/>
                </w:tcPr>
                <w:p w14:paraId="5EED5CFD">
                  <w:pPr>
                    <w:autoSpaceDE w:val="0"/>
                    <w:autoSpaceDN w:val="0"/>
                    <w:spacing w:line="276" w:lineRule="auto"/>
                    <w:jc w:val="center"/>
                    <w:rPr>
                      <w:color w:val="auto"/>
                      <w:szCs w:val="21"/>
                      <w:shd w:val="clear" w:color="auto" w:fill="FFFFFF"/>
                    </w:rPr>
                  </w:pPr>
                  <w:r>
                    <w:rPr>
                      <w:color w:val="auto"/>
                      <w:szCs w:val="21"/>
                      <w:shd w:val="clear" w:color="auto" w:fill="FFFFFF"/>
                    </w:rPr>
                    <w:t>99.</w:t>
                  </w:r>
                  <w:r>
                    <w:rPr>
                      <w:rFonts w:hAnsi="宋体"/>
                      <w:color w:val="auto"/>
                      <w:szCs w:val="21"/>
                      <w:shd w:val="clear" w:color="auto" w:fill="FFFFFF"/>
                    </w:rPr>
                    <w:t>查明河道两岸和水体周边所有排污口，对污水直排的排污口实施截污纳管，实现旱季污水不入河。严格实施排污许可和排水许可制度，加强入河排污口监督监测。加强对小餐饮、理发店、洗车店等排污的执法管理，加大对乱排、偷排行为的整治和处罚力度。</w:t>
                  </w:r>
                  <w:r>
                    <w:rPr>
                      <w:color w:val="auto"/>
                      <w:szCs w:val="21"/>
                      <w:shd w:val="clear" w:color="auto" w:fill="FFFFFF"/>
                    </w:rPr>
                    <w:t>100.</w:t>
                  </w:r>
                  <w:r>
                    <w:rPr>
                      <w:rFonts w:hAnsi="宋体"/>
                      <w:color w:val="auto"/>
                      <w:szCs w:val="21"/>
                      <w:shd w:val="clear" w:color="auto" w:fill="FFFFFF"/>
                    </w:rPr>
                    <w:t>城市建成区排放污水的工业企业应依法持有排污许可证，并严格按证排污。排入城镇水体的工业污水应符合相关行业标准及地方标准要求，严禁任何企业、单位超标和超总量排污，对超标或超总量的排污单位一律限制生产或停产整顿。</w:t>
                  </w:r>
                  <w:r>
                    <w:rPr>
                      <w:color w:val="auto"/>
                      <w:szCs w:val="21"/>
                      <w:shd w:val="clear" w:color="auto" w:fill="FFFFFF"/>
                    </w:rPr>
                    <w:t>101.</w:t>
                  </w:r>
                  <w:r>
                    <w:rPr>
                      <w:rFonts w:hAnsi="宋体"/>
                      <w:color w:val="auto"/>
                      <w:szCs w:val="21"/>
                      <w:shd w:val="clear" w:color="auto" w:fill="FFFFFF"/>
                    </w:rPr>
                    <w:t>科学确定城市河道疏浚范围和清淤深度，妥善处理底泥，严禁清淤底泥沿岸随意堆放或作为水体治理工程回填土，防止二次污染。</w:t>
                  </w:r>
                  <w:r>
                    <w:rPr>
                      <w:color w:val="auto"/>
                      <w:szCs w:val="21"/>
                      <w:shd w:val="clear" w:color="auto" w:fill="FFFFFF"/>
                    </w:rPr>
                    <w:t>102.</w:t>
                  </w:r>
                  <w:r>
                    <w:rPr>
                      <w:rFonts w:hAnsi="宋体"/>
                      <w:color w:val="auto"/>
                      <w:szCs w:val="21"/>
                      <w:shd w:val="clear" w:color="auto" w:fill="FFFFFF"/>
                    </w:rPr>
                    <w:t>严肃执法监督，严格执行排污许可、排水许可制度，严禁生活污水和工业废水直排水体。严防道路冲洗污水、洗车冲洗污水、餐饮泔水、施工排水等污水进入雨水口。</w:t>
                  </w:r>
                </w:p>
              </w:tc>
              <w:tc>
                <w:tcPr>
                  <w:tcW w:w="3341" w:type="dxa"/>
                  <w:vAlign w:val="center"/>
                </w:tcPr>
                <w:p w14:paraId="4AD97E38">
                  <w:pPr>
                    <w:autoSpaceDE w:val="0"/>
                    <w:autoSpaceDN w:val="0"/>
                    <w:spacing w:line="276" w:lineRule="auto"/>
                    <w:jc w:val="center"/>
                    <w:rPr>
                      <w:color w:val="auto"/>
                      <w:szCs w:val="21"/>
                    </w:rPr>
                  </w:pPr>
                  <w:r>
                    <w:rPr>
                      <w:rFonts w:hAnsi="宋体"/>
                      <w:color w:val="auto"/>
                      <w:szCs w:val="21"/>
                    </w:rPr>
                    <w:t>本次改建项目仅玻璃生产喷涂工序定期补充喷嘴冷却水，冷却水循环使用，不外排，无生产废水排放；项目不新增劳动定员，不新增生活污水；本项目依托现有厂区建设，厂区内已实行雨污分流制度，现有生产废水、生活污水依托厂区污水处理站处理后回用。</w:t>
                  </w:r>
                </w:p>
              </w:tc>
              <w:tc>
                <w:tcPr>
                  <w:tcW w:w="0" w:type="auto"/>
                  <w:vAlign w:val="center"/>
                </w:tcPr>
                <w:p w14:paraId="114BF736">
                  <w:pPr>
                    <w:autoSpaceDE w:val="0"/>
                    <w:autoSpaceDN w:val="0"/>
                    <w:spacing w:line="276" w:lineRule="auto"/>
                    <w:jc w:val="center"/>
                    <w:rPr>
                      <w:rFonts w:eastAsiaTheme="majorEastAsia"/>
                      <w:color w:val="auto"/>
                      <w:szCs w:val="21"/>
                    </w:rPr>
                  </w:pPr>
                  <w:r>
                    <w:rPr>
                      <w:rFonts w:eastAsiaTheme="majorEastAsia"/>
                      <w:color w:val="auto"/>
                      <w:szCs w:val="21"/>
                    </w:rPr>
                    <w:t>符合</w:t>
                  </w:r>
                </w:p>
              </w:tc>
            </w:tr>
            <w:tr w14:paraId="4E15F1F6">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14:paraId="21B4AFCD">
                  <w:pPr>
                    <w:autoSpaceDE w:val="0"/>
                    <w:autoSpaceDN w:val="0"/>
                    <w:spacing w:line="276" w:lineRule="auto"/>
                    <w:jc w:val="center"/>
                    <w:rPr>
                      <w:rFonts w:eastAsiaTheme="majorEastAsia"/>
                      <w:color w:val="auto"/>
                      <w:szCs w:val="21"/>
                    </w:rPr>
                  </w:pPr>
                </w:p>
              </w:tc>
              <w:tc>
                <w:tcPr>
                  <w:tcW w:w="0" w:type="auto"/>
                  <w:vMerge w:val="continue"/>
                  <w:vAlign w:val="center"/>
                </w:tcPr>
                <w:p w14:paraId="276947BC">
                  <w:pPr>
                    <w:autoSpaceDE w:val="0"/>
                    <w:autoSpaceDN w:val="0"/>
                    <w:spacing w:line="276" w:lineRule="auto"/>
                    <w:jc w:val="center"/>
                    <w:rPr>
                      <w:rFonts w:eastAsiaTheme="majorEastAsia"/>
                      <w:color w:val="auto"/>
                      <w:szCs w:val="21"/>
                    </w:rPr>
                  </w:pPr>
                </w:p>
              </w:tc>
              <w:tc>
                <w:tcPr>
                  <w:tcW w:w="0" w:type="auto"/>
                  <w:vMerge w:val="continue"/>
                  <w:vAlign w:val="center"/>
                </w:tcPr>
                <w:p w14:paraId="38788CE7">
                  <w:pPr>
                    <w:autoSpaceDE w:val="0"/>
                    <w:autoSpaceDN w:val="0"/>
                    <w:spacing w:line="276" w:lineRule="auto"/>
                    <w:jc w:val="center"/>
                    <w:rPr>
                      <w:rFonts w:eastAsiaTheme="majorEastAsia"/>
                      <w:color w:val="auto"/>
                      <w:szCs w:val="21"/>
                    </w:rPr>
                  </w:pPr>
                </w:p>
              </w:tc>
              <w:tc>
                <w:tcPr>
                  <w:tcW w:w="7487" w:type="dxa"/>
                  <w:vAlign w:val="center"/>
                </w:tcPr>
                <w:p w14:paraId="1CC3C229">
                  <w:pPr>
                    <w:autoSpaceDE w:val="0"/>
                    <w:autoSpaceDN w:val="0"/>
                    <w:spacing w:line="276" w:lineRule="auto"/>
                    <w:jc w:val="center"/>
                    <w:rPr>
                      <w:color w:val="auto"/>
                      <w:szCs w:val="21"/>
                      <w:shd w:val="clear" w:color="auto" w:fill="FFFFFF"/>
                    </w:rPr>
                  </w:pPr>
                  <w:r>
                    <w:rPr>
                      <w:color w:val="auto"/>
                      <w:szCs w:val="21"/>
                      <w:shd w:val="clear" w:color="auto" w:fill="FFFFFF"/>
                    </w:rPr>
                    <w:t>41.</w:t>
                  </w:r>
                  <w:r>
                    <w:rPr>
                      <w:rFonts w:hAnsi="宋体"/>
                      <w:color w:val="auto"/>
                      <w:szCs w:val="21"/>
                      <w:shd w:val="clear" w:color="auto" w:fill="FFFFFF"/>
                    </w:rPr>
                    <w:t>对取用水总量已达到或超过控制指标的地区，暂停审批其建设项目新增取水许可。</w:t>
                  </w:r>
                  <w:r>
                    <w:rPr>
                      <w:color w:val="auto"/>
                      <w:szCs w:val="21"/>
                      <w:shd w:val="clear" w:color="auto" w:fill="FFFFFF"/>
                    </w:rPr>
                    <w:t>42.</w:t>
                  </w:r>
                  <w:r>
                    <w:rPr>
                      <w:rFonts w:hAnsi="宋体"/>
                      <w:color w:val="auto"/>
                      <w:szCs w:val="21"/>
                      <w:shd w:val="clear" w:color="auto" w:fill="FFFFFF"/>
                    </w:rPr>
                    <w:t>加快对河道两岸违法建设的清理。对河道湖泊绿线范围内的岸线进行排查、清理，重点治理河湖水域岸线乱建、乱占行为。对硬质驳岸的非行洪河道、渠道，有计划实施生态修复与改造。</w:t>
                  </w:r>
                  <w:r>
                    <w:rPr>
                      <w:color w:val="auto"/>
                      <w:szCs w:val="21"/>
                      <w:shd w:val="clear" w:color="auto" w:fill="FFFFFF"/>
                    </w:rPr>
                    <w:t>43.</w:t>
                  </w:r>
                  <w:r>
                    <w:rPr>
                      <w:rFonts w:hAnsi="宋体"/>
                      <w:color w:val="auto"/>
                      <w:szCs w:val="21"/>
                      <w:shd w:val="clear" w:color="auto" w:fill="FFFFFF"/>
                    </w:rPr>
                    <w:t>结合推进新型城镇化、产业结构调整和化解过剩产能等，有序搬迁或依法关闭对土壤造成严重污染的现有企业。</w:t>
                  </w:r>
                  <w:r>
                    <w:rPr>
                      <w:color w:val="auto"/>
                      <w:szCs w:val="21"/>
                      <w:shd w:val="clear" w:color="auto" w:fill="FFFFFF"/>
                    </w:rPr>
                    <w:t>44.</w:t>
                  </w:r>
                  <w:r>
                    <w:rPr>
                      <w:rFonts w:hAnsi="宋体"/>
                      <w:color w:val="auto"/>
                      <w:szCs w:val="21"/>
                      <w:shd w:val="clear" w:color="auto" w:fill="FFFFFF"/>
                    </w:rPr>
                    <w:t>强化</w:t>
                  </w:r>
                  <w:r>
                    <w:rPr>
                      <w:color w:val="auto"/>
                      <w:szCs w:val="21"/>
                      <w:shd w:val="clear" w:color="auto" w:fill="FFFFFF"/>
                    </w:rPr>
                    <w:t>“</w:t>
                  </w:r>
                  <w:r>
                    <w:rPr>
                      <w:rFonts w:hAnsi="宋体"/>
                      <w:color w:val="auto"/>
                      <w:szCs w:val="21"/>
                      <w:shd w:val="clear" w:color="auto" w:fill="FFFFFF"/>
                    </w:rPr>
                    <w:t>散乱污</w:t>
                  </w:r>
                  <w:r>
                    <w:rPr>
                      <w:color w:val="auto"/>
                      <w:szCs w:val="21"/>
                      <w:shd w:val="clear" w:color="auto" w:fill="FFFFFF"/>
                    </w:rPr>
                    <w:t>”</w:t>
                  </w:r>
                  <w:r>
                    <w:rPr>
                      <w:rFonts w:hAnsi="宋体"/>
                      <w:color w:val="auto"/>
                      <w:szCs w:val="21"/>
                      <w:shd w:val="clear" w:color="auto" w:fill="FFFFFF"/>
                    </w:rPr>
                    <w:t>企业综合整治。全面开展</w:t>
                  </w:r>
                  <w:r>
                    <w:rPr>
                      <w:color w:val="auto"/>
                      <w:szCs w:val="21"/>
                      <w:shd w:val="clear" w:color="auto" w:fill="FFFFFF"/>
                    </w:rPr>
                    <w:t>“</w:t>
                  </w:r>
                  <w:r>
                    <w:rPr>
                      <w:rFonts w:hAnsi="宋体"/>
                      <w:color w:val="auto"/>
                      <w:szCs w:val="21"/>
                      <w:shd w:val="clear" w:color="auto" w:fill="FFFFFF"/>
                    </w:rPr>
                    <w:t>散乱污</w:t>
                  </w:r>
                  <w:r>
                    <w:rPr>
                      <w:color w:val="auto"/>
                      <w:szCs w:val="21"/>
                      <w:shd w:val="clear" w:color="auto" w:fill="FFFFFF"/>
                    </w:rPr>
                    <w:t>”</w:t>
                  </w:r>
                  <w:r>
                    <w:rPr>
                      <w:rFonts w:hAnsi="宋体"/>
                      <w:color w:val="auto"/>
                      <w:szCs w:val="21"/>
                      <w:shd w:val="clear" w:color="auto" w:fill="FFFFFF"/>
                    </w:rPr>
                    <w:t>企业及集群综合整治行动。根据产业政策、产业布局规划，以及土地、环保、质量、安全、能耗等要求，制定</w:t>
                  </w:r>
                  <w:r>
                    <w:rPr>
                      <w:color w:val="auto"/>
                      <w:szCs w:val="21"/>
                      <w:shd w:val="clear" w:color="auto" w:fill="FFFFFF"/>
                    </w:rPr>
                    <w:t>“</w:t>
                  </w:r>
                  <w:r>
                    <w:rPr>
                      <w:rFonts w:hAnsi="宋体"/>
                      <w:color w:val="auto"/>
                      <w:szCs w:val="21"/>
                      <w:shd w:val="clear" w:color="auto" w:fill="FFFFFF"/>
                    </w:rPr>
                    <w:t>散乱污</w:t>
                  </w:r>
                  <w:r>
                    <w:rPr>
                      <w:color w:val="auto"/>
                      <w:szCs w:val="21"/>
                      <w:shd w:val="clear" w:color="auto" w:fill="FFFFFF"/>
                    </w:rPr>
                    <w:t>”</w:t>
                  </w:r>
                  <w:r>
                    <w:rPr>
                      <w:rFonts w:hAnsi="宋体"/>
                      <w:color w:val="auto"/>
                      <w:szCs w:val="21"/>
                      <w:shd w:val="clear" w:color="auto" w:fill="FFFFFF"/>
                    </w:rPr>
                    <w:t>企业及集群整治标准。按照</w:t>
                  </w:r>
                  <w:r>
                    <w:rPr>
                      <w:color w:val="auto"/>
                      <w:szCs w:val="21"/>
                      <w:shd w:val="clear" w:color="auto" w:fill="FFFFFF"/>
                    </w:rPr>
                    <w:t>“</w:t>
                  </w:r>
                  <w:r>
                    <w:rPr>
                      <w:rFonts w:hAnsi="宋体"/>
                      <w:color w:val="auto"/>
                      <w:szCs w:val="21"/>
                      <w:shd w:val="clear" w:color="auto" w:fill="FFFFFF"/>
                    </w:rPr>
                    <w:t>先停后治</w:t>
                  </w:r>
                  <w:r>
                    <w:rPr>
                      <w:color w:val="auto"/>
                      <w:szCs w:val="21"/>
                      <w:shd w:val="clear" w:color="auto" w:fill="FFFFFF"/>
                    </w:rPr>
                    <w:t>”</w:t>
                  </w:r>
                  <w:r>
                    <w:rPr>
                      <w:rFonts w:hAnsi="宋体"/>
                      <w:color w:val="auto"/>
                      <w:szCs w:val="21"/>
                      <w:shd w:val="clear" w:color="auto" w:fill="FFFFFF"/>
                    </w:rPr>
                    <w:t>的原则，实施分类处置。</w:t>
                  </w:r>
                  <w:r>
                    <w:rPr>
                      <w:color w:val="auto"/>
                      <w:szCs w:val="21"/>
                      <w:shd w:val="clear" w:color="auto" w:fill="FFFFFF"/>
                    </w:rPr>
                    <w:t>45.</w:t>
                  </w:r>
                  <w:r>
                    <w:rPr>
                      <w:rFonts w:hAnsi="宋体"/>
                      <w:color w:val="auto"/>
                      <w:szCs w:val="21"/>
                      <w:shd w:val="clear" w:color="auto" w:fill="FFFFFF"/>
                    </w:rPr>
                    <w:t>企业应当全面推进清洁生产，优先采用能源和原材料利用效率高、污染物排放量少的清洁生产技术、工艺和设备，淘汰严重污染大气环境质量的产品、落后工艺和落后设备，减少大气污染物的产生和排放。</w:t>
                  </w:r>
                </w:p>
              </w:tc>
              <w:tc>
                <w:tcPr>
                  <w:tcW w:w="3341" w:type="dxa"/>
                  <w:vAlign w:val="center"/>
                </w:tcPr>
                <w:p w14:paraId="4461A6FF">
                  <w:pPr>
                    <w:autoSpaceDE w:val="0"/>
                    <w:autoSpaceDN w:val="0"/>
                    <w:spacing w:line="276" w:lineRule="auto"/>
                    <w:jc w:val="center"/>
                    <w:rPr>
                      <w:color w:val="auto"/>
                      <w:szCs w:val="21"/>
                    </w:rPr>
                  </w:pPr>
                  <w:r>
                    <w:rPr>
                      <w:rFonts w:hAnsi="宋体"/>
                      <w:color w:val="auto"/>
                      <w:szCs w:val="21"/>
                    </w:rPr>
                    <w:t>本项目现有厂区取用水由市政给水管网供给，本项目生产喷涂工序喷嘴冷却水来自市政给水管网，取用水量未达到</w:t>
                  </w:r>
                  <w:r>
                    <w:rPr>
                      <w:rFonts w:hAnsi="宋体"/>
                      <w:color w:val="auto"/>
                      <w:szCs w:val="21"/>
                      <w:shd w:val="clear" w:color="auto" w:fill="FFFFFF"/>
                    </w:rPr>
                    <w:t>或超过控制指标</w:t>
                  </w:r>
                  <w:r>
                    <w:rPr>
                      <w:rFonts w:hAnsi="宋体"/>
                      <w:color w:val="auto"/>
                      <w:szCs w:val="21"/>
                    </w:rPr>
                    <w:t>；本项目现有厂区位于工业用地，不涉及河道两岸违法建设；本项目喷涂工序采用水性漆等原辅材料，根据企业提供原辅材料</w:t>
                  </w:r>
                  <w:r>
                    <w:rPr>
                      <w:color w:val="auto"/>
                      <w:szCs w:val="21"/>
                    </w:rPr>
                    <w:t>MSDS</w:t>
                  </w:r>
                  <w:r>
                    <w:rPr>
                      <w:rFonts w:hAnsi="宋体"/>
                      <w:color w:val="auto"/>
                      <w:szCs w:val="21"/>
                    </w:rPr>
                    <w:t>，水性漆主要成分不涉及重金属，不会对土壤造成严重污染；本项目建设符合工业工地规划，不属于</w:t>
                  </w:r>
                  <w:r>
                    <w:rPr>
                      <w:color w:val="auto"/>
                      <w:szCs w:val="21"/>
                    </w:rPr>
                    <w:t>“</w:t>
                  </w:r>
                  <w:r>
                    <w:rPr>
                      <w:rFonts w:hAnsi="宋体"/>
                      <w:color w:val="auto"/>
                      <w:szCs w:val="21"/>
                    </w:rPr>
                    <w:t>散乱污</w:t>
                  </w:r>
                  <w:r>
                    <w:rPr>
                      <w:color w:val="auto"/>
                      <w:szCs w:val="21"/>
                    </w:rPr>
                    <w:t>”</w:t>
                  </w:r>
                  <w:r>
                    <w:rPr>
                      <w:rFonts w:hAnsi="宋体"/>
                      <w:color w:val="auto"/>
                      <w:szCs w:val="21"/>
                    </w:rPr>
                    <w:t>企业；本项目建成后仅排放少量含</w:t>
                  </w:r>
                  <w:r>
                    <w:rPr>
                      <w:color w:val="auto"/>
                      <w:szCs w:val="21"/>
                    </w:rPr>
                    <w:t>VOCs</w:t>
                  </w:r>
                  <w:r>
                    <w:rPr>
                      <w:rFonts w:hAnsi="宋体"/>
                      <w:color w:val="auto"/>
                      <w:szCs w:val="21"/>
                    </w:rPr>
                    <w:t>废气，使用生产设备不属于落后及淘汰设备。</w:t>
                  </w:r>
                </w:p>
              </w:tc>
              <w:tc>
                <w:tcPr>
                  <w:tcW w:w="0" w:type="auto"/>
                  <w:vAlign w:val="center"/>
                </w:tcPr>
                <w:p w14:paraId="7933422D">
                  <w:pPr>
                    <w:autoSpaceDE w:val="0"/>
                    <w:autoSpaceDN w:val="0"/>
                    <w:spacing w:line="276" w:lineRule="auto"/>
                    <w:jc w:val="center"/>
                    <w:rPr>
                      <w:rFonts w:eastAsiaTheme="majorEastAsia"/>
                      <w:color w:val="auto"/>
                      <w:szCs w:val="21"/>
                    </w:rPr>
                  </w:pPr>
                  <w:r>
                    <w:rPr>
                      <w:rFonts w:eastAsiaTheme="majorEastAsia"/>
                      <w:color w:val="auto"/>
                      <w:szCs w:val="21"/>
                    </w:rPr>
                    <w:t>符合</w:t>
                  </w:r>
                </w:p>
              </w:tc>
            </w:tr>
            <w:tr w14:paraId="450BA4C8">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14:paraId="66508D6E">
                  <w:pPr>
                    <w:autoSpaceDE w:val="0"/>
                    <w:autoSpaceDN w:val="0"/>
                    <w:spacing w:line="276" w:lineRule="auto"/>
                    <w:jc w:val="center"/>
                    <w:rPr>
                      <w:rFonts w:eastAsiaTheme="majorEastAsia"/>
                      <w:color w:val="auto"/>
                      <w:szCs w:val="21"/>
                    </w:rPr>
                  </w:pPr>
                </w:p>
              </w:tc>
              <w:tc>
                <w:tcPr>
                  <w:tcW w:w="0" w:type="auto"/>
                  <w:vMerge w:val="continue"/>
                  <w:vAlign w:val="center"/>
                </w:tcPr>
                <w:p w14:paraId="616DFA25">
                  <w:pPr>
                    <w:autoSpaceDE w:val="0"/>
                    <w:autoSpaceDN w:val="0"/>
                    <w:spacing w:line="276" w:lineRule="auto"/>
                    <w:jc w:val="center"/>
                    <w:rPr>
                      <w:rFonts w:eastAsiaTheme="majorEastAsia"/>
                      <w:color w:val="auto"/>
                      <w:szCs w:val="21"/>
                    </w:rPr>
                  </w:pPr>
                </w:p>
              </w:tc>
              <w:tc>
                <w:tcPr>
                  <w:tcW w:w="0" w:type="auto"/>
                  <w:vMerge w:val="continue"/>
                  <w:vAlign w:val="center"/>
                </w:tcPr>
                <w:p w14:paraId="633F0417">
                  <w:pPr>
                    <w:autoSpaceDE w:val="0"/>
                    <w:autoSpaceDN w:val="0"/>
                    <w:spacing w:line="276" w:lineRule="auto"/>
                    <w:jc w:val="center"/>
                    <w:rPr>
                      <w:rFonts w:eastAsiaTheme="majorEastAsia"/>
                      <w:color w:val="auto"/>
                      <w:szCs w:val="21"/>
                    </w:rPr>
                  </w:pPr>
                </w:p>
              </w:tc>
              <w:tc>
                <w:tcPr>
                  <w:tcW w:w="7487" w:type="dxa"/>
                  <w:vAlign w:val="center"/>
                </w:tcPr>
                <w:p w14:paraId="11FA02DF">
                  <w:pPr>
                    <w:autoSpaceDE w:val="0"/>
                    <w:autoSpaceDN w:val="0"/>
                    <w:spacing w:line="276" w:lineRule="auto"/>
                    <w:jc w:val="center"/>
                    <w:rPr>
                      <w:color w:val="auto"/>
                      <w:szCs w:val="21"/>
                      <w:shd w:val="clear" w:color="auto" w:fill="FFFFFF"/>
                    </w:rPr>
                  </w:pPr>
                  <w:r>
                    <w:rPr>
                      <w:color w:val="auto"/>
                      <w:szCs w:val="21"/>
                      <w:shd w:val="clear" w:color="auto" w:fill="FFFFFF"/>
                    </w:rPr>
                    <w:t>52.</w:t>
                  </w:r>
                  <w:r>
                    <w:rPr>
                      <w:rFonts w:hAnsi="宋体"/>
                      <w:color w:val="auto"/>
                      <w:szCs w:val="21"/>
                      <w:shd w:val="clear" w:color="auto" w:fill="FFFFFF"/>
                    </w:rPr>
                    <w:t>凡涉及排放汞、铅、砷、镉、铬等重金属和多环芳烃类、石油烃类有机污染物及涉及释放伴生放射性物质等重点污染物的建设项目，开展环境影响评价时，要增加土壤环境影响评价内容，并提出防范土壤污染的具体措施。</w:t>
                  </w:r>
                  <w:r>
                    <w:rPr>
                      <w:color w:val="auto"/>
                      <w:szCs w:val="21"/>
                      <w:shd w:val="clear" w:color="auto" w:fill="FFFFFF"/>
                    </w:rPr>
                    <w:t>53.</w:t>
                  </w:r>
                  <w:r>
                    <w:rPr>
                      <w:rFonts w:hAnsi="宋体"/>
                      <w:color w:val="auto"/>
                      <w:szCs w:val="21"/>
                      <w:shd w:val="clear" w:color="auto" w:fill="FFFFFF"/>
                    </w:rPr>
                    <w:t>有金属冶炼、石油加工、化工、焦化、电镀、制革等行业企业拆除生产设施设备、构筑物和污染治理设施，必须事先制定残留污染物清理和安全处置方案，报市和所在地县区环境保护、经信部门备案；要严格按照有关规定实施安全处理处置，防范拆除活动污染土壤。</w:t>
                  </w:r>
                </w:p>
              </w:tc>
              <w:tc>
                <w:tcPr>
                  <w:tcW w:w="3341" w:type="dxa"/>
                  <w:vMerge w:val="restart"/>
                  <w:vAlign w:val="center"/>
                </w:tcPr>
                <w:p w14:paraId="5BE32A65">
                  <w:pPr>
                    <w:autoSpaceDE w:val="0"/>
                    <w:autoSpaceDN w:val="0"/>
                    <w:spacing w:line="276" w:lineRule="auto"/>
                    <w:jc w:val="center"/>
                    <w:rPr>
                      <w:color w:val="auto"/>
                      <w:szCs w:val="21"/>
                    </w:rPr>
                  </w:pPr>
                  <w:r>
                    <w:rPr>
                      <w:rFonts w:hAnsi="宋体"/>
                      <w:color w:val="auto"/>
                      <w:szCs w:val="21"/>
                    </w:rPr>
                    <w:t>本项目属于</w:t>
                  </w:r>
                  <w:r>
                    <w:rPr>
                      <w:color w:val="auto"/>
                      <w:szCs w:val="21"/>
                    </w:rPr>
                    <w:t>C3054</w:t>
                  </w:r>
                  <w:r>
                    <w:rPr>
                      <w:rFonts w:hAnsi="宋体"/>
                      <w:color w:val="auto"/>
                      <w:szCs w:val="21"/>
                    </w:rPr>
                    <w:t>日用玻璃制品制造，《产业结构调整指导目录（</w:t>
                  </w:r>
                  <w:r>
                    <w:rPr>
                      <w:color w:val="auto"/>
                      <w:szCs w:val="21"/>
                    </w:rPr>
                    <w:t>2024</w:t>
                  </w:r>
                  <w:r>
                    <w:rPr>
                      <w:rFonts w:hAnsi="宋体"/>
                      <w:color w:val="auto"/>
                      <w:szCs w:val="21"/>
                    </w:rPr>
                    <w:t>年本）》，本项目不属于限制类或淘汰类项目，视为允许建设项目，本项目建设符合国家产业政策要求。对照《安徽省</w:t>
                  </w:r>
                  <w:r>
                    <w:rPr>
                      <w:color w:val="auto"/>
                      <w:szCs w:val="21"/>
                    </w:rPr>
                    <w:t>“</w:t>
                  </w:r>
                  <w:r>
                    <w:rPr>
                      <w:rFonts w:hAnsi="宋体"/>
                      <w:color w:val="auto"/>
                      <w:szCs w:val="21"/>
                    </w:rPr>
                    <w:t>两高</w:t>
                  </w:r>
                  <w:r>
                    <w:rPr>
                      <w:color w:val="auto"/>
                      <w:szCs w:val="21"/>
                    </w:rPr>
                    <w:t>”</w:t>
                  </w:r>
                  <w:r>
                    <w:rPr>
                      <w:rFonts w:hAnsi="宋体"/>
                      <w:color w:val="auto"/>
                      <w:szCs w:val="21"/>
                    </w:rPr>
                    <w:t>项目管理目录（试行）》；本项目不属于高耗能、高排放项目。本项目不属于钢铁、石化、化工、焦化、建材、有色、制浆造纸等高污染项目。</w:t>
                  </w:r>
                </w:p>
              </w:tc>
              <w:tc>
                <w:tcPr>
                  <w:tcW w:w="0" w:type="auto"/>
                  <w:vAlign w:val="center"/>
                </w:tcPr>
                <w:p w14:paraId="5171910D">
                  <w:pPr>
                    <w:autoSpaceDE w:val="0"/>
                    <w:autoSpaceDN w:val="0"/>
                    <w:spacing w:line="276" w:lineRule="auto"/>
                    <w:jc w:val="center"/>
                    <w:rPr>
                      <w:rFonts w:eastAsiaTheme="majorEastAsia"/>
                      <w:color w:val="auto"/>
                      <w:szCs w:val="21"/>
                    </w:rPr>
                  </w:pPr>
                  <w:r>
                    <w:rPr>
                      <w:rFonts w:eastAsiaTheme="majorEastAsia"/>
                      <w:color w:val="auto"/>
                      <w:szCs w:val="21"/>
                    </w:rPr>
                    <w:t>符合</w:t>
                  </w:r>
                </w:p>
              </w:tc>
            </w:tr>
            <w:tr w14:paraId="40041EA8">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14:paraId="7C59E9A0">
                  <w:pPr>
                    <w:autoSpaceDE w:val="0"/>
                    <w:autoSpaceDN w:val="0"/>
                    <w:spacing w:line="276" w:lineRule="auto"/>
                    <w:jc w:val="center"/>
                    <w:rPr>
                      <w:rFonts w:eastAsiaTheme="majorEastAsia"/>
                      <w:color w:val="auto"/>
                      <w:szCs w:val="21"/>
                    </w:rPr>
                  </w:pPr>
                </w:p>
              </w:tc>
              <w:tc>
                <w:tcPr>
                  <w:tcW w:w="0" w:type="auto"/>
                  <w:vMerge w:val="continue"/>
                  <w:vAlign w:val="center"/>
                </w:tcPr>
                <w:p w14:paraId="7785807C">
                  <w:pPr>
                    <w:autoSpaceDE w:val="0"/>
                    <w:autoSpaceDN w:val="0"/>
                    <w:spacing w:line="276" w:lineRule="auto"/>
                    <w:jc w:val="center"/>
                    <w:rPr>
                      <w:rFonts w:eastAsiaTheme="majorEastAsia"/>
                      <w:color w:val="auto"/>
                      <w:szCs w:val="21"/>
                    </w:rPr>
                  </w:pPr>
                </w:p>
              </w:tc>
              <w:tc>
                <w:tcPr>
                  <w:tcW w:w="0" w:type="auto"/>
                  <w:vMerge w:val="continue"/>
                  <w:vAlign w:val="center"/>
                </w:tcPr>
                <w:p w14:paraId="407B26EB">
                  <w:pPr>
                    <w:autoSpaceDE w:val="0"/>
                    <w:autoSpaceDN w:val="0"/>
                    <w:spacing w:line="276" w:lineRule="auto"/>
                    <w:jc w:val="center"/>
                    <w:rPr>
                      <w:rFonts w:eastAsiaTheme="majorEastAsia"/>
                      <w:color w:val="auto"/>
                      <w:szCs w:val="21"/>
                    </w:rPr>
                  </w:pPr>
                </w:p>
              </w:tc>
              <w:tc>
                <w:tcPr>
                  <w:tcW w:w="7487" w:type="dxa"/>
                  <w:vAlign w:val="center"/>
                </w:tcPr>
                <w:p w14:paraId="1ADEC2BE">
                  <w:pPr>
                    <w:autoSpaceDE w:val="0"/>
                    <w:autoSpaceDN w:val="0"/>
                    <w:spacing w:line="276" w:lineRule="auto"/>
                    <w:jc w:val="center"/>
                    <w:rPr>
                      <w:color w:val="auto"/>
                      <w:szCs w:val="21"/>
                      <w:shd w:val="clear" w:color="auto" w:fill="FFFFFF"/>
                    </w:rPr>
                  </w:pPr>
                  <w:r>
                    <w:rPr>
                      <w:color w:val="auto"/>
                      <w:szCs w:val="21"/>
                      <w:shd w:val="clear" w:color="auto" w:fill="FFFFFF"/>
                    </w:rPr>
                    <w:t>32.</w:t>
                  </w:r>
                  <w:r>
                    <w:rPr>
                      <w:rFonts w:hAnsi="宋体"/>
                      <w:color w:val="auto"/>
                      <w:szCs w:val="21"/>
                      <w:shd w:val="clear" w:color="auto" w:fill="FFFFFF"/>
                    </w:rPr>
                    <w:t>推进重污染企业搬迁改造，加快城市建成区、重点流域重污染企业和危险化学品等环境风险大的企业搬迁改造或关停退出。</w:t>
                  </w:r>
                  <w:r>
                    <w:rPr>
                      <w:color w:val="auto"/>
                      <w:szCs w:val="21"/>
                      <w:shd w:val="clear" w:color="auto" w:fill="FFFFFF"/>
                    </w:rPr>
                    <w:t>33.</w:t>
                  </w:r>
                  <w:r>
                    <w:rPr>
                      <w:rFonts w:hAnsi="宋体"/>
                      <w:color w:val="auto"/>
                      <w:szCs w:val="21"/>
                      <w:shd w:val="clear" w:color="auto" w:fill="FFFFFF"/>
                    </w:rPr>
                    <w:t>原则上不再新增自备燃煤机组，推进现有机组实施清洁能源替代、功能转换。</w:t>
                  </w:r>
                  <w:r>
                    <w:rPr>
                      <w:color w:val="auto"/>
                      <w:szCs w:val="21"/>
                      <w:shd w:val="clear" w:color="auto" w:fill="FFFFFF"/>
                    </w:rPr>
                    <w:t>34.</w:t>
                  </w:r>
                  <w:r>
                    <w:rPr>
                      <w:rFonts w:hAnsi="宋体"/>
                      <w:color w:val="auto"/>
                      <w:szCs w:val="21"/>
                      <w:shd w:val="clear" w:color="auto" w:fill="FFFFFF"/>
                    </w:rPr>
                    <w:t>现有经济开发区等工业集中区应实施热电联产或集中供热改造，将工业企业纳入集中供热范围，逐步淘汰分散燃煤锅炉，核准审批新建热电联产项目要求关停的燃煤锅炉必须按期淘汰。</w:t>
                  </w:r>
                  <w:r>
                    <w:rPr>
                      <w:color w:val="auto"/>
                      <w:szCs w:val="21"/>
                      <w:shd w:val="clear" w:color="auto" w:fill="FFFFFF"/>
                    </w:rPr>
                    <w:t>35.</w:t>
                  </w:r>
                  <w:r>
                    <w:rPr>
                      <w:rFonts w:hAnsi="宋体"/>
                      <w:color w:val="auto"/>
                      <w:szCs w:val="21"/>
                      <w:shd w:val="clear" w:color="auto" w:fill="FFFFFF"/>
                    </w:rPr>
                    <w:t>关停退出、能耗、安全、质量技术等方面不达标、不合格产品。同时，鼓励引导</w:t>
                  </w:r>
                  <w:r>
                    <w:rPr>
                      <w:color w:val="auto"/>
                      <w:szCs w:val="21"/>
                      <w:shd w:val="clear" w:color="auto" w:fill="FFFFFF"/>
                    </w:rPr>
                    <w:t>“</w:t>
                  </w:r>
                  <w:r>
                    <w:rPr>
                      <w:rFonts w:hAnsi="宋体"/>
                      <w:color w:val="auto"/>
                      <w:szCs w:val="21"/>
                      <w:shd w:val="clear" w:color="auto" w:fill="FFFFFF"/>
                    </w:rPr>
                    <w:t>限制类</w:t>
                  </w:r>
                  <w:r>
                    <w:rPr>
                      <w:color w:val="auto"/>
                      <w:szCs w:val="21"/>
                      <w:shd w:val="clear" w:color="auto" w:fill="FFFFFF"/>
                    </w:rPr>
                    <w:t>”</w:t>
                  </w:r>
                  <w:r>
                    <w:rPr>
                      <w:rFonts w:hAnsi="宋体"/>
                      <w:color w:val="auto"/>
                      <w:szCs w:val="21"/>
                      <w:shd w:val="clear" w:color="auto" w:fill="FFFFFF"/>
                    </w:rPr>
                    <w:t>生产工艺装备和产品逐步退出。重点对水泥、砖瓦、铸造、化工等重点行业过剩产能逐渐淘汰，加快淘汰落后产能和不达标工业炉窑。</w:t>
                  </w:r>
                  <w:r>
                    <w:rPr>
                      <w:color w:val="auto"/>
                      <w:szCs w:val="21"/>
                      <w:shd w:val="clear" w:color="auto" w:fill="FFFFFF"/>
                    </w:rPr>
                    <w:t>36.</w:t>
                  </w:r>
                  <w:r>
                    <w:rPr>
                      <w:rFonts w:hAnsi="宋体"/>
                      <w:color w:val="auto"/>
                      <w:szCs w:val="21"/>
                      <w:shd w:val="clear" w:color="auto" w:fill="FFFFFF"/>
                    </w:rPr>
                    <w:t>依法淘汰落后产能。全市和各县区要依据工业行业淘汰落后生产工艺装备和产品指导目录、产业结构调整指导目录及相关行业污染物排放标准，结合水质改善要求及产业发展情况，制定并实施分年度的落后产能淘汰方案。未完成淘汰任务的县区，暂停审批和核准其相关行业新建项目。</w:t>
                  </w:r>
                  <w:r>
                    <w:rPr>
                      <w:color w:val="auto"/>
                      <w:szCs w:val="21"/>
                      <w:shd w:val="clear" w:color="auto" w:fill="FFFFFF"/>
                    </w:rPr>
                    <w:t>37.</w:t>
                  </w:r>
                  <w:r>
                    <w:rPr>
                      <w:rFonts w:hAnsi="宋体"/>
                      <w:color w:val="auto"/>
                      <w:szCs w:val="21"/>
                      <w:shd w:val="clear" w:color="auto" w:fill="FFFFFF"/>
                    </w:rPr>
                    <w:t>推动重污染企业退出。大力实施企业</w:t>
                  </w:r>
                  <w:r>
                    <w:rPr>
                      <w:color w:val="auto"/>
                      <w:szCs w:val="21"/>
                      <w:shd w:val="clear" w:color="auto" w:fill="FFFFFF"/>
                    </w:rPr>
                    <w:t>“</w:t>
                  </w:r>
                  <w:r>
                    <w:rPr>
                      <w:rFonts w:hAnsi="宋体"/>
                      <w:color w:val="auto"/>
                      <w:szCs w:val="21"/>
                      <w:shd w:val="clear" w:color="auto" w:fill="FFFFFF"/>
                    </w:rPr>
                    <w:t>退城进园</w:t>
                  </w:r>
                  <w:r>
                    <w:rPr>
                      <w:color w:val="auto"/>
                      <w:szCs w:val="21"/>
                      <w:shd w:val="clear" w:color="auto" w:fill="FFFFFF"/>
                    </w:rPr>
                    <w:t>”</w:t>
                  </w:r>
                  <w:r>
                    <w:rPr>
                      <w:rFonts w:hAnsi="宋体"/>
                      <w:color w:val="auto"/>
                      <w:szCs w:val="21"/>
                      <w:shd w:val="clear" w:color="auto" w:fill="FFFFFF"/>
                    </w:rPr>
                    <w:t>，有序推进城市建成区内现有原料药制造、化工等污染较重的企业有序搬迁改造或依法关闭。</w:t>
                  </w:r>
                  <w:r>
                    <w:rPr>
                      <w:color w:val="auto"/>
                      <w:szCs w:val="21"/>
                      <w:shd w:val="clear" w:color="auto" w:fill="FFFFFF"/>
                    </w:rPr>
                    <w:t>38.</w:t>
                  </w:r>
                  <w:r>
                    <w:rPr>
                      <w:rFonts w:hAnsi="宋体"/>
                      <w:color w:val="auto"/>
                      <w:szCs w:val="21"/>
                      <w:shd w:val="clear" w:color="auto" w:fill="FFFFFF"/>
                    </w:rPr>
                    <w:t>严格水域岸线用途管制，土地开发利用应按照有关法律法规和技术标准要求，留足河流、湖泊的管理和保护范围，非法挤占的应限期退出。</w:t>
                  </w:r>
                  <w:r>
                    <w:rPr>
                      <w:color w:val="auto"/>
                      <w:szCs w:val="21"/>
                      <w:shd w:val="clear" w:color="auto" w:fill="FFFFFF"/>
                    </w:rPr>
                    <w:t>39.</w:t>
                  </w:r>
                  <w:r>
                    <w:rPr>
                      <w:rFonts w:hAnsi="宋体"/>
                      <w:color w:val="auto"/>
                      <w:szCs w:val="21"/>
                      <w:shd w:val="clear" w:color="auto" w:fill="FFFFFF"/>
                    </w:rPr>
                    <w:t>强化河湖生态缓冲带监管，引导与生态保护无关的生产活动和建设项目逐步退出，涉及敏感水体及富</w:t>
                  </w:r>
                  <w:r>
                    <w:rPr>
                      <w:color w:val="auto"/>
                      <w:szCs w:val="21"/>
                      <w:shd w:val="clear" w:color="auto" w:fill="FFFFFF"/>
                    </w:rPr>
                    <w:t xml:space="preserve"> </w:t>
                  </w:r>
                  <w:r>
                    <w:rPr>
                      <w:rFonts w:hAnsi="宋体"/>
                      <w:color w:val="auto"/>
                      <w:szCs w:val="21"/>
                      <w:shd w:val="clear" w:color="auto" w:fill="FFFFFF"/>
                    </w:rPr>
                    <w:t>营养化湖库的优先实施。</w:t>
                  </w:r>
                  <w:r>
                    <w:rPr>
                      <w:color w:val="auto"/>
                      <w:szCs w:val="21"/>
                      <w:shd w:val="clear" w:color="auto" w:fill="FFFFFF"/>
                    </w:rPr>
                    <w:t>40.</w:t>
                  </w:r>
                  <w:r>
                    <w:rPr>
                      <w:rFonts w:hAnsi="宋体"/>
                      <w:color w:val="auto"/>
                      <w:szCs w:val="21"/>
                      <w:shd w:val="clear" w:color="auto" w:fill="FFFFFF"/>
                    </w:rPr>
                    <w:t>全面排查装备水平低、环保设施差的小型工业企业，重点开展小型化工、塑料、印染、造纸、电镀等行业取缔整治工作，制订取缔项目清单。</w:t>
                  </w:r>
                  <w:r>
                    <w:rPr>
                      <w:color w:val="auto"/>
                      <w:szCs w:val="21"/>
                      <w:shd w:val="clear" w:color="auto" w:fill="FFFFFF"/>
                    </w:rPr>
                    <w:t>2025</w:t>
                  </w:r>
                  <w:r>
                    <w:rPr>
                      <w:rFonts w:hAnsi="宋体"/>
                      <w:color w:val="auto"/>
                      <w:szCs w:val="21"/>
                      <w:shd w:val="clear" w:color="auto" w:fill="FFFFFF"/>
                    </w:rPr>
                    <w:t>年底前全面取缔到位。</w:t>
                  </w:r>
                </w:p>
              </w:tc>
              <w:tc>
                <w:tcPr>
                  <w:tcW w:w="3341" w:type="dxa"/>
                  <w:vMerge w:val="continue"/>
                  <w:vAlign w:val="center"/>
                </w:tcPr>
                <w:p w14:paraId="346FC1D9">
                  <w:pPr>
                    <w:autoSpaceDE w:val="0"/>
                    <w:autoSpaceDN w:val="0"/>
                    <w:spacing w:line="276" w:lineRule="auto"/>
                    <w:jc w:val="center"/>
                    <w:rPr>
                      <w:color w:val="auto"/>
                      <w:szCs w:val="21"/>
                    </w:rPr>
                  </w:pPr>
                </w:p>
              </w:tc>
              <w:tc>
                <w:tcPr>
                  <w:tcW w:w="0" w:type="auto"/>
                  <w:vAlign w:val="center"/>
                </w:tcPr>
                <w:p w14:paraId="0724BFB3">
                  <w:pPr>
                    <w:autoSpaceDE w:val="0"/>
                    <w:autoSpaceDN w:val="0"/>
                    <w:spacing w:line="276" w:lineRule="auto"/>
                    <w:jc w:val="center"/>
                    <w:rPr>
                      <w:rFonts w:eastAsiaTheme="majorEastAsia"/>
                      <w:color w:val="auto"/>
                      <w:szCs w:val="21"/>
                    </w:rPr>
                  </w:pPr>
                  <w:r>
                    <w:rPr>
                      <w:rFonts w:eastAsiaTheme="majorEastAsia"/>
                      <w:color w:val="auto"/>
                      <w:szCs w:val="21"/>
                    </w:rPr>
                    <w:t>符合</w:t>
                  </w:r>
                </w:p>
              </w:tc>
            </w:tr>
            <w:tr w14:paraId="5215E88C">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14:paraId="65DF9905">
                  <w:pPr>
                    <w:autoSpaceDE w:val="0"/>
                    <w:autoSpaceDN w:val="0"/>
                    <w:spacing w:line="276" w:lineRule="auto"/>
                    <w:jc w:val="center"/>
                    <w:rPr>
                      <w:rFonts w:eastAsiaTheme="majorEastAsia"/>
                      <w:color w:val="auto"/>
                      <w:szCs w:val="21"/>
                    </w:rPr>
                  </w:pPr>
                </w:p>
              </w:tc>
              <w:tc>
                <w:tcPr>
                  <w:tcW w:w="0" w:type="auto"/>
                  <w:vMerge w:val="continue"/>
                  <w:vAlign w:val="center"/>
                </w:tcPr>
                <w:p w14:paraId="57391769">
                  <w:pPr>
                    <w:autoSpaceDE w:val="0"/>
                    <w:autoSpaceDN w:val="0"/>
                    <w:spacing w:line="276" w:lineRule="auto"/>
                    <w:jc w:val="center"/>
                    <w:rPr>
                      <w:rFonts w:eastAsiaTheme="majorEastAsia"/>
                      <w:color w:val="auto"/>
                      <w:szCs w:val="21"/>
                    </w:rPr>
                  </w:pPr>
                </w:p>
              </w:tc>
              <w:tc>
                <w:tcPr>
                  <w:tcW w:w="0" w:type="auto"/>
                  <w:vMerge w:val="continue"/>
                  <w:vAlign w:val="center"/>
                </w:tcPr>
                <w:p w14:paraId="51FB1574">
                  <w:pPr>
                    <w:autoSpaceDE w:val="0"/>
                    <w:autoSpaceDN w:val="0"/>
                    <w:spacing w:line="276" w:lineRule="auto"/>
                    <w:jc w:val="center"/>
                    <w:rPr>
                      <w:rFonts w:eastAsiaTheme="majorEastAsia"/>
                      <w:color w:val="auto"/>
                      <w:szCs w:val="21"/>
                    </w:rPr>
                  </w:pPr>
                </w:p>
              </w:tc>
              <w:tc>
                <w:tcPr>
                  <w:tcW w:w="7487" w:type="dxa"/>
                  <w:vAlign w:val="center"/>
                </w:tcPr>
                <w:p w14:paraId="285326FF">
                  <w:pPr>
                    <w:autoSpaceDE w:val="0"/>
                    <w:autoSpaceDN w:val="0"/>
                    <w:spacing w:line="276" w:lineRule="auto"/>
                    <w:jc w:val="center"/>
                    <w:rPr>
                      <w:color w:val="auto"/>
                      <w:szCs w:val="21"/>
                      <w:shd w:val="clear" w:color="auto" w:fill="FFFFFF"/>
                    </w:rPr>
                  </w:pPr>
                  <w:r>
                    <w:rPr>
                      <w:color w:val="auto"/>
                      <w:szCs w:val="21"/>
                      <w:shd w:val="clear" w:color="auto" w:fill="FFFFFF"/>
                    </w:rPr>
                    <w:t>14.</w:t>
                  </w:r>
                  <w:r>
                    <w:rPr>
                      <w:rFonts w:hAnsi="宋体"/>
                      <w:color w:val="auto"/>
                      <w:szCs w:val="21"/>
                      <w:shd w:val="clear" w:color="auto" w:fill="FFFFFF"/>
                    </w:rPr>
                    <w:t>加强重金属污染源头控制和重金属重点防控区域治理，对重要粮食生产区域周边的工矿企业实施重金属排放总量控制，对达不到环保要求的企业要限期升级改造或依法关闭、搬迁。</w:t>
                  </w:r>
                  <w:r>
                    <w:rPr>
                      <w:color w:val="auto"/>
                      <w:szCs w:val="21"/>
                      <w:shd w:val="clear" w:color="auto" w:fill="FFFFFF"/>
                    </w:rPr>
                    <w:t>15.</w:t>
                  </w:r>
                  <w:r>
                    <w:rPr>
                      <w:rFonts w:hAnsi="宋体"/>
                      <w:color w:val="auto"/>
                      <w:szCs w:val="21"/>
                      <w:shd w:val="clear" w:color="auto" w:fill="FFFFFF"/>
                    </w:rPr>
                    <w:t>依法开展环境影响评价工作，严格落实生态环境损害责任追究问责制度，对不符合要求占用的岸线、河段、土地和布局的产业，必须无条件退出。</w:t>
                  </w:r>
                  <w:r>
                    <w:rPr>
                      <w:color w:val="auto"/>
                      <w:szCs w:val="21"/>
                      <w:shd w:val="clear" w:color="auto" w:fill="FFFFFF"/>
                    </w:rPr>
                    <w:t>16.</w:t>
                  </w:r>
                  <w:r>
                    <w:rPr>
                      <w:rFonts w:hAnsi="宋体"/>
                      <w:color w:val="auto"/>
                      <w:szCs w:val="21"/>
                      <w:shd w:val="clear" w:color="auto" w:fill="FFFFFF"/>
                    </w:rPr>
                    <w:t>加快产业升级，降低单位工业增加值用水量，大力开展节水型载体建设。提高城镇水资源重复利用率，促进再生水利用。</w:t>
                  </w:r>
                </w:p>
              </w:tc>
              <w:tc>
                <w:tcPr>
                  <w:tcW w:w="3341" w:type="dxa"/>
                  <w:vAlign w:val="center"/>
                </w:tcPr>
                <w:p w14:paraId="1FA4A537">
                  <w:pPr>
                    <w:autoSpaceDE w:val="0"/>
                    <w:autoSpaceDN w:val="0"/>
                    <w:spacing w:line="276" w:lineRule="auto"/>
                    <w:jc w:val="center"/>
                    <w:rPr>
                      <w:color w:val="auto"/>
                      <w:szCs w:val="21"/>
                    </w:rPr>
                  </w:pPr>
                  <w:r>
                    <w:rPr>
                      <w:rFonts w:hAnsi="宋体"/>
                      <w:color w:val="auto"/>
                      <w:szCs w:val="21"/>
                    </w:rPr>
                    <w:t>本项目不涉及工矿企业等重金属排放项目。</w:t>
                  </w:r>
                </w:p>
              </w:tc>
              <w:tc>
                <w:tcPr>
                  <w:tcW w:w="0" w:type="auto"/>
                  <w:vAlign w:val="center"/>
                </w:tcPr>
                <w:p w14:paraId="1E45CAC1">
                  <w:pPr>
                    <w:autoSpaceDE w:val="0"/>
                    <w:autoSpaceDN w:val="0"/>
                    <w:spacing w:line="276" w:lineRule="auto"/>
                    <w:jc w:val="center"/>
                    <w:rPr>
                      <w:rFonts w:eastAsiaTheme="majorEastAsia"/>
                      <w:color w:val="auto"/>
                      <w:szCs w:val="21"/>
                    </w:rPr>
                  </w:pPr>
                  <w:r>
                    <w:rPr>
                      <w:rFonts w:eastAsiaTheme="majorEastAsia"/>
                      <w:color w:val="auto"/>
                      <w:szCs w:val="21"/>
                    </w:rPr>
                    <w:t>符合</w:t>
                  </w:r>
                </w:p>
              </w:tc>
            </w:tr>
            <w:tr w14:paraId="47EF94D5">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6" w:hRule="atLeast"/>
                <w:jc w:val="center"/>
              </w:trPr>
              <w:tc>
                <w:tcPr>
                  <w:tcW w:w="0" w:type="auto"/>
                  <w:vMerge w:val="continue"/>
                  <w:vAlign w:val="center"/>
                </w:tcPr>
                <w:p w14:paraId="5AA517A1">
                  <w:pPr>
                    <w:autoSpaceDE w:val="0"/>
                    <w:autoSpaceDN w:val="0"/>
                    <w:spacing w:line="276" w:lineRule="auto"/>
                    <w:jc w:val="center"/>
                    <w:rPr>
                      <w:rFonts w:eastAsiaTheme="majorEastAsia"/>
                      <w:color w:val="auto"/>
                      <w:szCs w:val="21"/>
                    </w:rPr>
                  </w:pPr>
                </w:p>
              </w:tc>
              <w:tc>
                <w:tcPr>
                  <w:tcW w:w="0" w:type="auto"/>
                  <w:vMerge w:val="continue"/>
                  <w:vAlign w:val="center"/>
                </w:tcPr>
                <w:p w14:paraId="4392364A">
                  <w:pPr>
                    <w:autoSpaceDE w:val="0"/>
                    <w:autoSpaceDN w:val="0"/>
                    <w:spacing w:line="276" w:lineRule="auto"/>
                    <w:jc w:val="center"/>
                    <w:rPr>
                      <w:rFonts w:eastAsiaTheme="majorEastAsia"/>
                      <w:color w:val="auto"/>
                      <w:szCs w:val="21"/>
                    </w:rPr>
                  </w:pPr>
                </w:p>
              </w:tc>
              <w:tc>
                <w:tcPr>
                  <w:tcW w:w="0" w:type="auto"/>
                  <w:vMerge w:val="continue"/>
                  <w:vAlign w:val="center"/>
                </w:tcPr>
                <w:p w14:paraId="5ED6DFA6">
                  <w:pPr>
                    <w:autoSpaceDE w:val="0"/>
                    <w:autoSpaceDN w:val="0"/>
                    <w:spacing w:line="276" w:lineRule="auto"/>
                    <w:jc w:val="center"/>
                    <w:rPr>
                      <w:rFonts w:eastAsiaTheme="majorEastAsia"/>
                      <w:color w:val="auto"/>
                      <w:szCs w:val="21"/>
                    </w:rPr>
                  </w:pPr>
                </w:p>
              </w:tc>
              <w:tc>
                <w:tcPr>
                  <w:tcW w:w="7487" w:type="dxa"/>
                  <w:vAlign w:val="center"/>
                </w:tcPr>
                <w:p w14:paraId="60493E97">
                  <w:pPr>
                    <w:autoSpaceDE w:val="0"/>
                    <w:autoSpaceDN w:val="0"/>
                    <w:spacing w:line="276" w:lineRule="auto"/>
                    <w:jc w:val="center"/>
                    <w:rPr>
                      <w:color w:val="auto"/>
                      <w:szCs w:val="21"/>
                      <w:shd w:val="clear" w:color="auto" w:fill="FFFFFF"/>
                    </w:rPr>
                  </w:pPr>
                  <w:r>
                    <w:rPr>
                      <w:color w:val="auto"/>
                      <w:szCs w:val="21"/>
                      <w:shd w:val="clear" w:color="auto" w:fill="FFFFFF"/>
                    </w:rPr>
                    <w:t>1.</w:t>
                  </w:r>
                  <w:r>
                    <w:rPr>
                      <w:rFonts w:hAnsi="宋体"/>
                      <w:color w:val="auto"/>
                      <w:szCs w:val="21"/>
                      <w:shd w:val="clear" w:color="auto" w:fill="FFFFFF"/>
                    </w:rPr>
                    <w:t>在城市城区及其近郊禁止新建、扩建钢铁、有色、石化、水泥、化工等重污染企业。</w:t>
                  </w:r>
                  <w:r>
                    <w:rPr>
                      <w:color w:val="auto"/>
                      <w:szCs w:val="21"/>
                      <w:shd w:val="clear" w:color="auto" w:fill="FFFFFF"/>
                    </w:rPr>
                    <w:t>2.</w:t>
                  </w:r>
                  <w:r>
                    <w:rPr>
                      <w:rFonts w:hAnsi="宋体"/>
                      <w:color w:val="auto"/>
                      <w:szCs w:val="21"/>
                      <w:shd w:val="clear" w:color="auto" w:fill="FFFFFF"/>
                    </w:rPr>
                    <w:t>禁止新建燃料类煤气发生炉（园区现有企业统一建设的清洁煤制气中心除外）。</w:t>
                  </w:r>
                  <w:r>
                    <w:rPr>
                      <w:color w:val="auto"/>
                      <w:szCs w:val="21"/>
                      <w:shd w:val="clear" w:color="auto" w:fill="FFFFFF"/>
                    </w:rPr>
                    <w:t>3.</w:t>
                  </w:r>
                  <w:r>
                    <w:rPr>
                      <w:rFonts w:hAnsi="宋体"/>
                      <w:color w:val="auto"/>
                      <w:szCs w:val="21"/>
                      <w:shd w:val="clear" w:color="auto" w:fill="FFFFFF"/>
                    </w:rPr>
                    <w:t>严禁新增钢铁、焦化、电解铝、铸造、水泥和平板玻璃等产能；严格执行钢铁、水泥、平板玻璃等行业产能置换实施办法。</w:t>
                  </w:r>
                  <w:r>
                    <w:rPr>
                      <w:color w:val="auto"/>
                      <w:szCs w:val="21"/>
                      <w:shd w:val="clear" w:color="auto" w:fill="FFFFFF"/>
                    </w:rPr>
                    <w:t>4.</w:t>
                  </w:r>
                  <w:r>
                    <w:rPr>
                      <w:rFonts w:hAnsi="宋体"/>
                      <w:color w:val="auto"/>
                      <w:szCs w:val="21"/>
                      <w:shd w:val="clear" w:color="auto" w:fill="FFFFFF"/>
                    </w:rPr>
                    <w:t>严格执行国家关于</w:t>
                  </w:r>
                  <w:r>
                    <w:rPr>
                      <w:color w:val="auto"/>
                      <w:szCs w:val="21"/>
                      <w:shd w:val="clear" w:color="auto" w:fill="FFFFFF"/>
                    </w:rPr>
                    <w:t>“</w:t>
                  </w:r>
                  <w:r>
                    <w:rPr>
                      <w:rFonts w:hAnsi="宋体"/>
                      <w:color w:val="auto"/>
                      <w:szCs w:val="21"/>
                      <w:shd w:val="clear" w:color="auto" w:fill="FFFFFF"/>
                    </w:rPr>
                    <w:t>两高</w:t>
                  </w:r>
                  <w:r>
                    <w:rPr>
                      <w:color w:val="auto"/>
                      <w:szCs w:val="21"/>
                      <w:shd w:val="clear" w:color="auto" w:fill="FFFFFF"/>
                    </w:rPr>
                    <w:t>”</w:t>
                  </w:r>
                  <w:r>
                    <w:rPr>
                      <w:rFonts w:hAnsi="宋体"/>
                      <w:color w:val="auto"/>
                      <w:szCs w:val="21"/>
                      <w:shd w:val="clear" w:color="auto" w:fill="FFFFFF"/>
                    </w:rPr>
                    <w:t>产业准入目录和产能总量控制政策措施。严禁新增钢铁、焦化、电解铝、铸造、水泥和平板玻璃等产能；新、改、扩建涉及大宗物料运输的建设项目，原则上不得采用公路运输。</w:t>
                  </w:r>
                  <w:r>
                    <w:rPr>
                      <w:color w:val="auto"/>
                      <w:szCs w:val="21"/>
                      <w:shd w:val="clear" w:color="auto" w:fill="FFFFFF"/>
                    </w:rPr>
                    <w:t>7.</w:t>
                  </w:r>
                  <w:r>
                    <w:rPr>
                      <w:rFonts w:hAnsi="宋体"/>
                      <w:color w:val="auto"/>
                      <w:szCs w:val="21"/>
                      <w:shd w:val="clear" w:color="auto" w:fill="FFFFFF"/>
                    </w:rPr>
                    <w:t>非电行业新建项目，禁止配套建设自备纯凝、抽凝燃煤电站。</w:t>
                  </w:r>
                  <w:r>
                    <w:rPr>
                      <w:color w:val="auto"/>
                      <w:szCs w:val="21"/>
                      <w:shd w:val="clear" w:color="auto" w:fill="FFFFFF"/>
                    </w:rPr>
                    <w:t>8.</w:t>
                  </w:r>
                  <w:r>
                    <w:rPr>
                      <w:rFonts w:hAnsi="宋体"/>
                      <w:color w:val="auto"/>
                      <w:szCs w:val="21"/>
                      <w:shd w:val="clear" w:color="auto" w:fill="FFFFFF"/>
                    </w:rPr>
                    <w:t>在城市建成区及居民区、医院、学校等环境敏感区域，严禁现场露天灰土拌合。</w:t>
                  </w:r>
                  <w:r>
                    <w:rPr>
                      <w:color w:val="auto"/>
                      <w:szCs w:val="21"/>
                      <w:shd w:val="clear" w:color="auto" w:fill="FFFFFF"/>
                    </w:rPr>
                    <w:t>9.</w:t>
                  </w:r>
                  <w:r>
                    <w:rPr>
                      <w:rFonts w:hAnsi="宋体"/>
                      <w:color w:val="auto"/>
                      <w:szCs w:val="21"/>
                      <w:shd w:val="clear" w:color="auto" w:fill="FFFFFF"/>
                    </w:rPr>
                    <w:t>严格控制新增</w:t>
                  </w:r>
                  <w:r>
                    <w:rPr>
                      <w:color w:val="auto"/>
                      <w:szCs w:val="21"/>
                      <w:shd w:val="clear" w:color="auto" w:fill="FFFFFF"/>
                    </w:rPr>
                    <w:t>“</w:t>
                  </w:r>
                  <w:r>
                    <w:rPr>
                      <w:rFonts w:hAnsi="宋体"/>
                      <w:color w:val="auto"/>
                      <w:szCs w:val="21"/>
                      <w:shd w:val="clear" w:color="auto" w:fill="FFFFFF"/>
                    </w:rPr>
                    <w:t>两高</w:t>
                  </w:r>
                  <w:r>
                    <w:rPr>
                      <w:color w:val="auto"/>
                      <w:szCs w:val="21"/>
                      <w:shd w:val="clear" w:color="auto" w:fill="FFFFFF"/>
                    </w:rPr>
                    <w:t>”</w:t>
                  </w:r>
                  <w:r>
                    <w:rPr>
                      <w:rFonts w:hAnsi="宋体"/>
                      <w:color w:val="auto"/>
                      <w:szCs w:val="21"/>
                      <w:shd w:val="clear" w:color="auto" w:fill="FFFFFF"/>
                    </w:rPr>
                    <w:t>项目审批，认真分析评估拟建项目必要性、可行性和对产业高质量发展、能耗双控、碳排放和环境质量的影响，严格审查项目是否符合产业政策、产业规划、</w:t>
                  </w:r>
                  <w:r>
                    <w:rPr>
                      <w:color w:val="auto"/>
                      <w:szCs w:val="21"/>
                      <w:shd w:val="clear" w:color="auto" w:fill="FFFFFF"/>
                    </w:rPr>
                    <w:t>“</w:t>
                  </w:r>
                  <w:r>
                    <w:rPr>
                      <w:rFonts w:hAnsi="宋体"/>
                      <w:color w:val="auto"/>
                      <w:szCs w:val="21"/>
                      <w:shd w:val="clear" w:color="auto" w:fill="FFFFFF"/>
                    </w:rPr>
                    <w:t>三线一单</w:t>
                  </w:r>
                  <w:r>
                    <w:rPr>
                      <w:color w:val="auto"/>
                      <w:szCs w:val="21"/>
                      <w:shd w:val="clear" w:color="auto" w:fill="FFFFFF"/>
                    </w:rPr>
                    <w:t>”</w:t>
                  </w:r>
                  <w:r>
                    <w:rPr>
                      <w:rFonts w:hAnsi="宋体"/>
                      <w:color w:val="auto"/>
                      <w:szCs w:val="21"/>
                      <w:shd w:val="clear" w:color="auto" w:fill="FFFFFF"/>
                    </w:rPr>
                    <w:t>、规划环评要求，是否依法依规落实产能置换、能耗置换、煤炭消费减量替代、污染物排放区域削减等要求。对已建成投产的存量</w:t>
                  </w:r>
                  <w:r>
                    <w:rPr>
                      <w:color w:val="auto"/>
                      <w:szCs w:val="21"/>
                      <w:shd w:val="clear" w:color="auto" w:fill="FFFFFF"/>
                    </w:rPr>
                    <w:t>“</w:t>
                  </w:r>
                  <w:r>
                    <w:rPr>
                      <w:rFonts w:hAnsi="宋体"/>
                      <w:color w:val="auto"/>
                      <w:szCs w:val="21"/>
                      <w:shd w:val="clear" w:color="auto" w:fill="FFFFFF"/>
                    </w:rPr>
                    <w:t>两高</w:t>
                  </w:r>
                  <w:r>
                    <w:rPr>
                      <w:color w:val="auto"/>
                      <w:szCs w:val="21"/>
                      <w:shd w:val="clear" w:color="auto" w:fill="FFFFFF"/>
                    </w:rPr>
                    <w:t>”</w:t>
                  </w:r>
                  <w:r>
                    <w:rPr>
                      <w:rFonts w:hAnsi="宋体"/>
                      <w:color w:val="auto"/>
                      <w:szCs w:val="21"/>
                      <w:shd w:val="clear" w:color="auto" w:fill="FFFFFF"/>
                    </w:rPr>
                    <w:t>项目，有节能减排潜力的加快改造升级，属于落后产能的加快淘汰。</w:t>
                  </w:r>
                  <w:r>
                    <w:rPr>
                      <w:color w:val="auto"/>
                      <w:szCs w:val="21"/>
                      <w:shd w:val="clear" w:color="auto" w:fill="FFFFFF"/>
                    </w:rPr>
                    <w:t>10.</w:t>
                  </w:r>
                  <w:r>
                    <w:rPr>
                      <w:rFonts w:hAnsi="宋体"/>
                      <w:color w:val="auto"/>
                      <w:szCs w:val="21"/>
                      <w:shd w:val="clear" w:color="auto" w:fill="FFFFFF"/>
                    </w:rPr>
                    <w:t>禁止建设生产和使用高挥发性有机物含量涂料、油墨、胶粘剂、清洗剂等项目。</w:t>
                  </w:r>
                  <w:r>
                    <w:rPr>
                      <w:color w:val="auto"/>
                      <w:szCs w:val="21"/>
                      <w:shd w:val="clear" w:color="auto" w:fill="FFFFFF"/>
                    </w:rPr>
                    <w:t>11.</w:t>
                  </w:r>
                  <w:r>
                    <w:rPr>
                      <w:rFonts w:hAnsi="宋体"/>
                      <w:color w:val="auto"/>
                      <w:szCs w:val="21"/>
                      <w:shd w:val="clear" w:color="auto" w:fill="FFFFFF"/>
                    </w:rPr>
                    <w:t>禁止新建不符合国家规定的燃煤发电机组、燃油发电机组和燃煤热电机组。</w:t>
                  </w:r>
                  <w:r>
                    <w:rPr>
                      <w:color w:val="auto"/>
                      <w:szCs w:val="21"/>
                      <w:shd w:val="clear" w:color="auto" w:fill="FFFFFF"/>
                    </w:rPr>
                    <w:t>12.</w:t>
                  </w:r>
                  <w:r>
                    <w:rPr>
                      <w:rFonts w:hAnsi="宋体"/>
                      <w:color w:val="auto"/>
                      <w:szCs w:val="21"/>
                      <w:shd w:val="clear" w:color="auto" w:fill="FFFFFF"/>
                    </w:rPr>
                    <w:t>禁止新建、扩建分散燃煤供热锅炉。</w:t>
                  </w:r>
                  <w:r>
                    <w:rPr>
                      <w:color w:val="auto"/>
                      <w:szCs w:val="21"/>
                      <w:shd w:val="clear" w:color="auto" w:fill="FFFFFF"/>
                    </w:rPr>
                    <w:t>13.</w:t>
                  </w:r>
                  <w:r>
                    <w:rPr>
                      <w:rFonts w:hAnsi="宋体"/>
                      <w:color w:val="auto"/>
                      <w:szCs w:val="21"/>
                      <w:shd w:val="clear" w:color="auto" w:fill="FFFFFF"/>
                    </w:rPr>
                    <w:t>在城市规划区内禁止新建、扩建大气污染严重的建设项目。</w:t>
                  </w:r>
                  <w:r>
                    <w:rPr>
                      <w:color w:val="auto"/>
                      <w:szCs w:val="21"/>
                      <w:shd w:val="clear" w:color="auto" w:fill="FFFFFF"/>
                    </w:rPr>
                    <w:t>14.</w:t>
                  </w:r>
                  <w:r>
                    <w:rPr>
                      <w:rFonts w:hAnsi="宋体"/>
                      <w:color w:val="auto"/>
                      <w:szCs w:val="21"/>
                      <w:shd w:val="clear" w:color="auto" w:fill="FFFFFF"/>
                    </w:rPr>
                    <w:t>禁止高灰分、高硫分煤炭进入市场。新建煤矿应当同步建设煤炭洗选设施，已建成的煤矿所采煤炭属于高灰分、高硫分的，应当在国家和省规定的期限内建成配套的煤炭洗选设施，使煤炭中的灰分、硫分达到规定的标准。</w:t>
                  </w:r>
                  <w:r>
                    <w:rPr>
                      <w:color w:val="auto"/>
                      <w:szCs w:val="21"/>
                      <w:shd w:val="clear" w:color="auto" w:fill="FFFFFF"/>
                    </w:rPr>
                    <w:t>15.</w:t>
                  </w:r>
                  <w:r>
                    <w:rPr>
                      <w:rFonts w:hAnsi="宋体"/>
                      <w:color w:val="auto"/>
                      <w:szCs w:val="21"/>
                      <w:shd w:val="clear" w:color="auto" w:fill="FFFFFF"/>
                    </w:rPr>
                    <w:t>禁止在人口集中地区、机场周围、交通干线附近以及当地人民政府划定的区域露天焚烧秸秆、落叶、垃圾等产生烟尘污染的物质。</w:t>
                  </w:r>
                  <w:r>
                    <w:rPr>
                      <w:color w:val="auto"/>
                      <w:szCs w:val="21"/>
                      <w:shd w:val="clear" w:color="auto" w:fill="FFFFFF"/>
                    </w:rPr>
                    <w:t>16.</w:t>
                  </w:r>
                  <w:r>
                    <w:rPr>
                      <w:rFonts w:hAnsi="宋体"/>
                      <w:color w:val="auto"/>
                      <w:szCs w:val="21"/>
                      <w:shd w:val="clear" w:color="auto" w:fill="FFFFFF"/>
                    </w:rPr>
                    <w:t>在燃气管网和集中供热管网覆盖的区域，不得新建、扩建、改建燃烧煤炭、重油、渣油的供热设施；原有分散的中小型燃煤供热锅炉应当限期拆除。</w:t>
                  </w:r>
                  <w:r>
                    <w:rPr>
                      <w:color w:val="auto"/>
                      <w:szCs w:val="21"/>
                      <w:shd w:val="clear" w:color="auto" w:fill="FFFFFF"/>
                    </w:rPr>
                    <w:t>17.</w:t>
                  </w:r>
                  <w:r>
                    <w:rPr>
                      <w:rFonts w:hAnsi="宋体"/>
                      <w:color w:val="auto"/>
                      <w:szCs w:val="21"/>
                      <w:shd w:val="clear" w:color="auto" w:fill="FFFFFF"/>
                    </w:rPr>
                    <w:t>禁止在居民住宅楼、未配套设立专用烟道的商住综合楼、商住综合楼内与居住层相邻的商业楼层内新建、改建、扩建产生油烟、异味、废气的饮食服务项目。</w:t>
                  </w:r>
                  <w:r>
                    <w:rPr>
                      <w:color w:val="auto"/>
                      <w:szCs w:val="21"/>
                      <w:shd w:val="clear" w:color="auto" w:fill="FFFFFF"/>
                    </w:rPr>
                    <w:t>18.</w:t>
                  </w:r>
                  <w:r>
                    <w:rPr>
                      <w:rFonts w:hAnsi="宋体"/>
                      <w:color w:val="auto"/>
                      <w:szCs w:val="21"/>
                      <w:shd w:val="clear" w:color="auto" w:fill="FFFFFF"/>
                    </w:rPr>
                    <w:t>任何单位和个人不得在政府划定的禁止露天烧烤区域内露天烧烤食品或者为露天烧烤食品提供场地。</w:t>
                  </w:r>
                  <w:r>
                    <w:rPr>
                      <w:color w:val="auto"/>
                      <w:szCs w:val="21"/>
                      <w:shd w:val="clear" w:color="auto" w:fill="FFFFFF"/>
                    </w:rPr>
                    <w:t>19.</w:t>
                  </w:r>
                  <w:r>
                    <w:rPr>
                      <w:rFonts w:hAnsi="宋体"/>
                      <w:color w:val="auto"/>
                      <w:szCs w:val="21"/>
                      <w:shd w:val="clear" w:color="auto" w:fill="FFFFFF"/>
                    </w:rPr>
                    <w:t>在机关、学校、医院、居民住宅区等人口集中地区和其他依法需要特殊保护的区域内，禁止从事下列生产活动：（</w:t>
                  </w:r>
                  <w:r>
                    <w:rPr>
                      <w:color w:val="auto"/>
                      <w:szCs w:val="21"/>
                      <w:shd w:val="clear" w:color="auto" w:fill="FFFFFF"/>
                    </w:rPr>
                    <w:t>1</w:t>
                  </w:r>
                  <w:r>
                    <w:rPr>
                      <w:rFonts w:hAnsi="宋体"/>
                      <w:color w:val="auto"/>
                      <w:szCs w:val="21"/>
                      <w:shd w:val="clear" w:color="auto" w:fill="FFFFFF"/>
                    </w:rPr>
                    <w:t>）橡胶制品生产、经营性喷漆、制骨胶、制骨粉、屠宰、畜禽养殖、生物发酵等产生恶臭、有毒有害气体的生产经营活动；（</w:t>
                  </w:r>
                  <w:r>
                    <w:rPr>
                      <w:color w:val="auto"/>
                      <w:szCs w:val="21"/>
                      <w:shd w:val="clear" w:color="auto" w:fill="FFFFFF"/>
                    </w:rPr>
                    <w:t>2</w:t>
                  </w:r>
                  <w:r>
                    <w:rPr>
                      <w:rFonts w:hAnsi="宋体"/>
                      <w:color w:val="auto"/>
                      <w:szCs w:val="21"/>
                      <w:shd w:val="clear" w:color="auto" w:fill="FFFFFF"/>
                    </w:rPr>
                    <w:t>）露天焚烧油毡、沥青、橡胶、塑料、皮革、垃圾或者其他可能产生恶臭、有毒有害气体的活动。</w:t>
                  </w:r>
                  <w:r>
                    <w:rPr>
                      <w:color w:val="auto"/>
                      <w:szCs w:val="21"/>
                      <w:shd w:val="clear" w:color="auto" w:fill="FFFFFF"/>
                    </w:rPr>
                    <w:t>20.</w:t>
                  </w:r>
                  <w:r>
                    <w:rPr>
                      <w:rFonts w:hAnsi="宋体"/>
                      <w:color w:val="auto"/>
                      <w:szCs w:val="21"/>
                      <w:shd w:val="clear" w:color="auto" w:fill="FFFFFF"/>
                    </w:rPr>
                    <w:t>严禁钢铁、水泥、电解铝、平板玻璃等行业新增产能，对确有必要新建的必须实施等量或减量置换。</w:t>
                  </w:r>
                  <w:r>
                    <w:rPr>
                      <w:color w:val="auto"/>
                      <w:szCs w:val="21"/>
                      <w:shd w:val="clear" w:color="auto" w:fill="FFFFFF"/>
                    </w:rPr>
                    <w:t>21.</w:t>
                  </w:r>
                  <w:r>
                    <w:rPr>
                      <w:rFonts w:hAnsi="宋体"/>
                      <w:color w:val="auto"/>
                      <w:szCs w:val="21"/>
                      <w:shd w:val="clear" w:color="auto" w:fill="FFFFFF"/>
                    </w:rPr>
                    <w:t>禁止淘汰落后类的产业进入开发区。</w:t>
                  </w:r>
                  <w:r>
                    <w:rPr>
                      <w:color w:val="auto"/>
                      <w:szCs w:val="21"/>
                      <w:shd w:val="clear" w:color="auto" w:fill="FFFFFF"/>
                    </w:rPr>
                    <w:t>22.</w:t>
                  </w:r>
                  <w:r>
                    <w:rPr>
                      <w:rFonts w:hAnsi="宋体"/>
                      <w:color w:val="auto"/>
                      <w:szCs w:val="21"/>
                      <w:shd w:val="clear" w:color="auto" w:fill="FFFFFF"/>
                    </w:rPr>
                    <w:t>从事餐饮服务业的经营活动，不得有下列行为：（一）未经处理直接排放、倾倒废弃油脂和含油废物；（二）在居民住宅楼、未配套设立专用烟道的商住综合楼以及商住综合楼内与居住层相邻的商业楼层内新建、改建、扩建产生油烟、异味、废气的餐饮服务项目；（三）在当地人民政府禁止的区域内露天烧烤食品或者为露天烧烤食品提供场所。</w:t>
                  </w:r>
                </w:p>
              </w:tc>
              <w:tc>
                <w:tcPr>
                  <w:tcW w:w="3341" w:type="dxa"/>
                  <w:vAlign w:val="center"/>
                </w:tcPr>
                <w:p w14:paraId="07039F2F">
                  <w:pPr>
                    <w:autoSpaceDE w:val="0"/>
                    <w:autoSpaceDN w:val="0"/>
                    <w:spacing w:line="276" w:lineRule="auto"/>
                    <w:jc w:val="center"/>
                    <w:rPr>
                      <w:color w:val="auto"/>
                      <w:szCs w:val="21"/>
                    </w:rPr>
                  </w:pPr>
                  <w:r>
                    <w:rPr>
                      <w:rFonts w:hAnsi="宋体"/>
                      <w:color w:val="auto"/>
                      <w:szCs w:val="21"/>
                    </w:rPr>
                    <w:t>本项目不属于</w:t>
                  </w:r>
                  <w:r>
                    <w:rPr>
                      <w:rFonts w:hAnsi="宋体"/>
                      <w:color w:val="auto"/>
                      <w:szCs w:val="21"/>
                      <w:shd w:val="clear" w:color="auto" w:fill="FFFFFF"/>
                    </w:rPr>
                    <w:t>新建、扩建钢铁、有色、石化、水泥、化工等重污染企业；</w:t>
                  </w:r>
                  <w:r>
                    <w:rPr>
                      <w:rFonts w:hAnsi="宋体"/>
                      <w:color w:val="auto"/>
                      <w:szCs w:val="21"/>
                    </w:rPr>
                    <w:t>本项目不属于两高项目，本项目符合相关产业政策、产业规划、</w:t>
                  </w:r>
                  <w:r>
                    <w:rPr>
                      <w:color w:val="auto"/>
                      <w:szCs w:val="21"/>
                    </w:rPr>
                    <w:t>“</w:t>
                  </w:r>
                  <w:r>
                    <w:rPr>
                      <w:rFonts w:hAnsi="宋体"/>
                      <w:color w:val="auto"/>
                      <w:szCs w:val="21"/>
                    </w:rPr>
                    <w:t>三线一单</w:t>
                  </w:r>
                  <w:r>
                    <w:rPr>
                      <w:color w:val="auto"/>
                      <w:szCs w:val="21"/>
                    </w:rPr>
                    <w:t>”</w:t>
                  </w:r>
                  <w:r>
                    <w:rPr>
                      <w:rFonts w:hAnsi="宋体"/>
                      <w:color w:val="auto"/>
                      <w:szCs w:val="21"/>
                    </w:rPr>
                    <w:t>、规划、分区管控等要求；本项目不属于落后产能项目；本项目不使用高挥发性有机物含量涂料、油墨、胶粘剂、清洗剂等；本项目不新建不符合国家规定的燃煤发电机组、燃油发电机组和燃煤热电机组；本项目不新增污染物排放，不属于大气污染严重的建设项目</w:t>
                  </w:r>
                </w:p>
              </w:tc>
              <w:tc>
                <w:tcPr>
                  <w:tcW w:w="0" w:type="auto"/>
                  <w:vAlign w:val="center"/>
                </w:tcPr>
                <w:p w14:paraId="3FDECEDD">
                  <w:pPr>
                    <w:autoSpaceDE w:val="0"/>
                    <w:autoSpaceDN w:val="0"/>
                    <w:spacing w:line="276" w:lineRule="auto"/>
                    <w:jc w:val="center"/>
                    <w:rPr>
                      <w:rFonts w:eastAsiaTheme="majorEastAsia"/>
                      <w:color w:val="auto"/>
                      <w:szCs w:val="21"/>
                    </w:rPr>
                  </w:pPr>
                  <w:r>
                    <w:rPr>
                      <w:rFonts w:eastAsiaTheme="majorEastAsia"/>
                      <w:color w:val="auto"/>
                      <w:szCs w:val="21"/>
                    </w:rPr>
                    <w:t>符合</w:t>
                  </w:r>
                </w:p>
              </w:tc>
            </w:tr>
            <w:tr w14:paraId="5852A8BF">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14:paraId="11F0EF99">
                  <w:pPr>
                    <w:autoSpaceDE w:val="0"/>
                    <w:autoSpaceDN w:val="0"/>
                    <w:spacing w:line="276" w:lineRule="auto"/>
                    <w:jc w:val="center"/>
                    <w:rPr>
                      <w:rFonts w:eastAsiaTheme="majorEastAsia"/>
                      <w:color w:val="auto"/>
                      <w:szCs w:val="21"/>
                    </w:rPr>
                  </w:pPr>
                </w:p>
              </w:tc>
              <w:tc>
                <w:tcPr>
                  <w:tcW w:w="0" w:type="auto"/>
                  <w:vMerge w:val="continue"/>
                  <w:vAlign w:val="center"/>
                </w:tcPr>
                <w:p w14:paraId="34288937">
                  <w:pPr>
                    <w:autoSpaceDE w:val="0"/>
                    <w:autoSpaceDN w:val="0"/>
                    <w:spacing w:line="276" w:lineRule="auto"/>
                    <w:jc w:val="center"/>
                    <w:rPr>
                      <w:rFonts w:eastAsiaTheme="majorEastAsia"/>
                      <w:color w:val="auto"/>
                      <w:szCs w:val="21"/>
                    </w:rPr>
                  </w:pPr>
                </w:p>
              </w:tc>
              <w:tc>
                <w:tcPr>
                  <w:tcW w:w="0" w:type="auto"/>
                  <w:vMerge w:val="continue"/>
                  <w:vAlign w:val="center"/>
                </w:tcPr>
                <w:p w14:paraId="3CC61E99">
                  <w:pPr>
                    <w:autoSpaceDE w:val="0"/>
                    <w:autoSpaceDN w:val="0"/>
                    <w:spacing w:line="276" w:lineRule="auto"/>
                    <w:jc w:val="center"/>
                    <w:rPr>
                      <w:rFonts w:eastAsiaTheme="majorEastAsia"/>
                      <w:color w:val="auto"/>
                      <w:szCs w:val="21"/>
                    </w:rPr>
                  </w:pPr>
                </w:p>
              </w:tc>
              <w:tc>
                <w:tcPr>
                  <w:tcW w:w="7487" w:type="dxa"/>
                  <w:vAlign w:val="center"/>
                </w:tcPr>
                <w:p w14:paraId="3E94D5B7">
                  <w:pPr>
                    <w:autoSpaceDE w:val="0"/>
                    <w:autoSpaceDN w:val="0"/>
                    <w:spacing w:line="276" w:lineRule="auto"/>
                    <w:rPr>
                      <w:color w:val="auto"/>
                      <w:szCs w:val="21"/>
                      <w:shd w:val="clear" w:color="auto" w:fill="FFFFFF"/>
                    </w:rPr>
                  </w:pPr>
                  <w:r>
                    <w:rPr>
                      <w:color w:val="auto"/>
                      <w:szCs w:val="21"/>
                      <w:shd w:val="clear" w:color="auto" w:fill="FFFFFF"/>
                    </w:rPr>
                    <w:t>1.</w:t>
                  </w:r>
                  <w:r>
                    <w:rPr>
                      <w:rFonts w:hAnsi="宋体"/>
                      <w:color w:val="auto"/>
                      <w:szCs w:val="21"/>
                      <w:shd w:val="clear" w:color="auto" w:fill="FFFFFF"/>
                    </w:rPr>
                    <w:t>禁止在淮河流域新建化学制浆造纸企业和印染、制革、化工、电镀、酿造等污染严重的小型企业。</w:t>
                  </w:r>
                  <w:r>
                    <w:rPr>
                      <w:color w:val="auto"/>
                      <w:szCs w:val="21"/>
                      <w:shd w:val="clear" w:color="auto" w:fill="FFFFFF"/>
                    </w:rPr>
                    <w:t>2.</w:t>
                  </w:r>
                  <w:r>
                    <w:rPr>
                      <w:rFonts w:hAnsi="宋体"/>
                      <w:color w:val="auto"/>
                      <w:szCs w:val="21"/>
                      <w:shd w:val="clear" w:color="auto" w:fill="FFFFFF"/>
                    </w:rPr>
                    <w:t>在饮用水水源保护区内，禁止设置排污口。在风景名胜区水体、重要渔业水体和其他具有特殊经济文化价值的水体的保护区内，不得新建排污口。</w:t>
                  </w:r>
                  <w:r>
                    <w:rPr>
                      <w:color w:val="auto"/>
                      <w:szCs w:val="21"/>
                      <w:shd w:val="clear" w:color="auto" w:fill="FFFFFF"/>
                    </w:rPr>
                    <w:t>3.</w:t>
                  </w:r>
                  <w:r>
                    <w:rPr>
                      <w:rFonts w:hAnsi="宋体"/>
                      <w:color w:val="auto"/>
                      <w:szCs w:val="21"/>
                      <w:shd w:val="clear" w:color="auto" w:fill="FFFFFF"/>
                    </w:rPr>
                    <w:t>禁止下列行为：</w:t>
                  </w:r>
                  <w:r>
                    <w:rPr>
                      <w:color w:val="auto"/>
                      <w:szCs w:val="21"/>
                      <w:shd w:val="clear" w:color="auto" w:fill="FFFFFF"/>
                    </w:rPr>
                    <w:t>(</w:t>
                  </w:r>
                  <w:r>
                    <w:rPr>
                      <w:rFonts w:hAnsi="宋体"/>
                      <w:color w:val="auto"/>
                      <w:szCs w:val="21"/>
                      <w:shd w:val="clear" w:color="auto" w:fill="FFFFFF"/>
                    </w:rPr>
                    <w:t>一</w:t>
                  </w:r>
                  <w:r>
                    <w:rPr>
                      <w:color w:val="auto"/>
                      <w:szCs w:val="21"/>
                      <w:shd w:val="clear" w:color="auto" w:fill="FFFFFF"/>
                    </w:rPr>
                    <w:t>)</w:t>
                  </w:r>
                  <w:r>
                    <w:rPr>
                      <w:rFonts w:hAnsi="宋体"/>
                      <w:color w:val="auto"/>
                      <w:szCs w:val="21"/>
                      <w:shd w:val="clear" w:color="auto" w:fill="FFFFFF"/>
                    </w:rPr>
                    <w:t>向水体排放或者倾倒油类、酸液、碱液和其他有毒有害液体；</w:t>
                  </w:r>
                  <w:r>
                    <w:rPr>
                      <w:color w:val="auto"/>
                      <w:szCs w:val="21"/>
                      <w:shd w:val="clear" w:color="auto" w:fill="FFFFFF"/>
                    </w:rPr>
                    <w:t>(</w:t>
                  </w:r>
                  <w:r>
                    <w:rPr>
                      <w:rFonts w:hAnsi="宋体"/>
                      <w:color w:val="auto"/>
                      <w:szCs w:val="21"/>
                      <w:shd w:val="clear" w:color="auto" w:fill="FFFFFF"/>
                    </w:rPr>
                    <w:t>二</w:t>
                  </w:r>
                  <w:r>
                    <w:rPr>
                      <w:color w:val="auto"/>
                      <w:szCs w:val="21"/>
                      <w:shd w:val="clear" w:color="auto" w:fill="FFFFFF"/>
                    </w:rPr>
                    <w:t>)</w:t>
                  </w:r>
                  <w:r>
                    <w:rPr>
                      <w:rFonts w:hAnsi="宋体"/>
                      <w:color w:val="auto"/>
                      <w:szCs w:val="21"/>
                      <w:shd w:val="clear" w:color="auto" w:fill="FFFFFF"/>
                    </w:rPr>
                    <w:t>在水体中清洗装贮过有毒有害污染物的车辆、船舶和容器；</w:t>
                  </w:r>
                  <w:r>
                    <w:rPr>
                      <w:color w:val="auto"/>
                      <w:szCs w:val="21"/>
                      <w:shd w:val="clear" w:color="auto" w:fill="FFFFFF"/>
                    </w:rPr>
                    <w:t>(</w:t>
                  </w:r>
                  <w:r>
                    <w:rPr>
                      <w:rFonts w:hAnsi="宋体"/>
                      <w:color w:val="auto"/>
                      <w:szCs w:val="21"/>
                      <w:shd w:val="clear" w:color="auto" w:fill="FFFFFF"/>
                    </w:rPr>
                    <w:t>三</w:t>
                  </w:r>
                  <w:r>
                    <w:rPr>
                      <w:color w:val="auto"/>
                      <w:szCs w:val="21"/>
                      <w:shd w:val="clear" w:color="auto" w:fill="FFFFFF"/>
                    </w:rPr>
                    <w:t>)</w:t>
                  </w:r>
                  <w:r>
                    <w:rPr>
                      <w:rFonts w:hAnsi="宋体"/>
                      <w:color w:val="auto"/>
                      <w:szCs w:val="21"/>
                      <w:shd w:val="clear" w:color="auto" w:fill="FFFFFF"/>
                    </w:rPr>
                    <w:t>向水体排放、倾倒含有汞、镉、砷、铬、铅、氰化物、黄磷等可溶性剧毒废液或者将上述物质直接埋入地下；</w:t>
                  </w:r>
                  <w:r>
                    <w:rPr>
                      <w:color w:val="auto"/>
                      <w:szCs w:val="21"/>
                      <w:shd w:val="clear" w:color="auto" w:fill="FFFFFF"/>
                    </w:rPr>
                    <w:t>(</w:t>
                  </w:r>
                  <w:r>
                    <w:rPr>
                      <w:rFonts w:hAnsi="宋体"/>
                      <w:color w:val="auto"/>
                      <w:szCs w:val="21"/>
                      <w:shd w:val="clear" w:color="auto" w:fill="FFFFFF"/>
                    </w:rPr>
                    <w:t>四</w:t>
                  </w:r>
                  <w:r>
                    <w:rPr>
                      <w:color w:val="auto"/>
                      <w:szCs w:val="21"/>
                      <w:shd w:val="clear" w:color="auto" w:fill="FFFFFF"/>
                    </w:rPr>
                    <w:t>)</w:t>
                  </w:r>
                  <w:r>
                    <w:rPr>
                      <w:rFonts w:hAnsi="宋体"/>
                      <w:color w:val="auto"/>
                      <w:szCs w:val="21"/>
                      <w:shd w:val="clear" w:color="auto" w:fill="FFFFFF"/>
                    </w:rPr>
                    <w:t>向水体排放、倾倒工业废渣、城镇垃圾和其他废弃物；</w:t>
                  </w:r>
                  <w:r>
                    <w:rPr>
                      <w:color w:val="auto"/>
                      <w:szCs w:val="21"/>
                      <w:shd w:val="clear" w:color="auto" w:fill="FFFFFF"/>
                    </w:rPr>
                    <w:t>(</w:t>
                  </w:r>
                  <w:r>
                    <w:rPr>
                      <w:rFonts w:hAnsi="宋体"/>
                      <w:color w:val="auto"/>
                      <w:szCs w:val="21"/>
                      <w:shd w:val="clear" w:color="auto" w:fill="FFFFFF"/>
                    </w:rPr>
                    <w:t>五</w:t>
                  </w:r>
                  <w:r>
                    <w:rPr>
                      <w:color w:val="auto"/>
                      <w:szCs w:val="21"/>
                      <w:shd w:val="clear" w:color="auto" w:fill="FFFFFF"/>
                    </w:rPr>
                    <w:t>)</w:t>
                  </w:r>
                  <w:r>
                    <w:rPr>
                      <w:rFonts w:hAnsi="宋体"/>
                      <w:color w:val="auto"/>
                      <w:szCs w:val="21"/>
                      <w:shd w:val="clear" w:color="auto" w:fill="FFFFFF"/>
                    </w:rPr>
                    <w:t>向水体排放、倾倒放射性固体废弃物或者放射性废水；</w:t>
                  </w:r>
                  <w:r>
                    <w:rPr>
                      <w:color w:val="auto"/>
                      <w:szCs w:val="21"/>
                      <w:shd w:val="clear" w:color="auto" w:fill="FFFFFF"/>
                    </w:rPr>
                    <w:t>(</w:t>
                  </w:r>
                  <w:r>
                    <w:rPr>
                      <w:rFonts w:hAnsi="宋体"/>
                      <w:color w:val="auto"/>
                      <w:szCs w:val="21"/>
                      <w:shd w:val="clear" w:color="auto" w:fill="FFFFFF"/>
                    </w:rPr>
                    <w:t>六</w:t>
                  </w:r>
                  <w:r>
                    <w:rPr>
                      <w:color w:val="auto"/>
                      <w:szCs w:val="21"/>
                      <w:shd w:val="clear" w:color="auto" w:fill="FFFFFF"/>
                    </w:rPr>
                    <w:t>)</w:t>
                  </w:r>
                  <w:r>
                    <w:rPr>
                      <w:rFonts w:hAnsi="宋体"/>
                      <w:color w:val="auto"/>
                      <w:szCs w:val="21"/>
                      <w:shd w:val="clear" w:color="auto" w:fill="FFFFFF"/>
                    </w:rPr>
                    <w:t>利用渗井、渗坑、裂隙、溶洞、塌陷区和废弃矿坑排放、倾倒，或者利用无防渗措施的沟渠、坑塘输送或者存贮含毒污染物或者病原体的废水和其他废弃物；</w:t>
                  </w:r>
                  <w:r>
                    <w:rPr>
                      <w:color w:val="auto"/>
                      <w:szCs w:val="21"/>
                      <w:shd w:val="clear" w:color="auto" w:fill="FFFFFF"/>
                    </w:rPr>
                    <w:t>(</w:t>
                  </w:r>
                  <w:r>
                    <w:rPr>
                      <w:rFonts w:hAnsi="宋体"/>
                      <w:color w:val="auto"/>
                      <w:szCs w:val="21"/>
                      <w:shd w:val="clear" w:color="auto" w:fill="FFFFFF"/>
                    </w:rPr>
                    <w:t>七</w:t>
                  </w:r>
                  <w:r>
                    <w:rPr>
                      <w:color w:val="auto"/>
                      <w:szCs w:val="21"/>
                      <w:shd w:val="clear" w:color="auto" w:fill="FFFFFF"/>
                    </w:rPr>
                    <w:t>)</w:t>
                  </w:r>
                  <w:r>
                    <w:rPr>
                      <w:rFonts w:hAnsi="宋体"/>
                      <w:color w:val="auto"/>
                      <w:szCs w:val="21"/>
                      <w:shd w:val="clear" w:color="auto" w:fill="FFFFFF"/>
                    </w:rPr>
                    <w:t>在河流、湖泊、运河、渠道、水库最高水位线以下的滩地和岸坡堆放、贮存固体废弃物和其他污染物；</w:t>
                  </w:r>
                  <w:r>
                    <w:rPr>
                      <w:color w:val="auto"/>
                      <w:szCs w:val="21"/>
                      <w:shd w:val="clear" w:color="auto" w:fill="FFFFFF"/>
                    </w:rPr>
                    <w:t>(</w:t>
                  </w:r>
                  <w:r>
                    <w:rPr>
                      <w:rFonts w:hAnsi="宋体"/>
                      <w:color w:val="auto"/>
                      <w:szCs w:val="21"/>
                      <w:shd w:val="clear" w:color="auto" w:fill="FFFFFF"/>
                    </w:rPr>
                    <w:t>八</w:t>
                  </w:r>
                  <w:r>
                    <w:rPr>
                      <w:color w:val="auto"/>
                      <w:szCs w:val="21"/>
                      <w:shd w:val="clear" w:color="auto" w:fill="FFFFFF"/>
                    </w:rPr>
                    <w:t>)</w:t>
                  </w:r>
                  <w:r>
                    <w:rPr>
                      <w:rFonts w:hAnsi="宋体"/>
                      <w:color w:val="auto"/>
                      <w:szCs w:val="21"/>
                      <w:shd w:val="clear" w:color="auto" w:fill="FFFFFF"/>
                    </w:rPr>
                    <w:t>围湖和其他破坏水环境生态平衡的活动；</w:t>
                  </w:r>
                  <w:r>
                    <w:rPr>
                      <w:color w:val="auto"/>
                      <w:szCs w:val="21"/>
                      <w:shd w:val="clear" w:color="auto" w:fill="FFFFFF"/>
                    </w:rPr>
                    <w:t>(</w:t>
                  </w:r>
                  <w:r>
                    <w:rPr>
                      <w:rFonts w:hAnsi="宋体"/>
                      <w:color w:val="auto"/>
                      <w:szCs w:val="21"/>
                      <w:shd w:val="clear" w:color="auto" w:fill="FFFFFF"/>
                    </w:rPr>
                    <w:t>九</w:t>
                  </w:r>
                  <w:r>
                    <w:rPr>
                      <w:color w:val="auto"/>
                      <w:szCs w:val="21"/>
                      <w:shd w:val="clear" w:color="auto" w:fill="FFFFFF"/>
                    </w:rPr>
                    <w:t>)</w:t>
                  </w:r>
                  <w:r>
                    <w:rPr>
                      <w:rFonts w:hAnsi="宋体"/>
                      <w:color w:val="auto"/>
                      <w:szCs w:val="21"/>
                      <w:shd w:val="clear" w:color="auto" w:fill="FFFFFF"/>
                    </w:rPr>
                    <w:t>引进不符合国家环境保护规定要求的技术和设备；</w:t>
                  </w:r>
                  <w:r>
                    <w:rPr>
                      <w:color w:val="auto"/>
                      <w:szCs w:val="21"/>
                      <w:shd w:val="clear" w:color="auto" w:fill="FFFFFF"/>
                    </w:rPr>
                    <w:t>(</w:t>
                  </w:r>
                  <w:r>
                    <w:rPr>
                      <w:rFonts w:hAnsi="宋体"/>
                      <w:color w:val="auto"/>
                      <w:szCs w:val="21"/>
                      <w:shd w:val="clear" w:color="auto" w:fill="FFFFFF"/>
                    </w:rPr>
                    <w:t>十</w:t>
                  </w:r>
                  <w:r>
                    <w:rPr>
                      <w:color w:val="auto"/>
                      <w:szCs w:val="21"/>
                      <w:shd w:val="clear" w:color="auto" w:fill="FFFFFF"/>
                    </w:rPr>
                    <w:t>)</w:t>
                  </w:r>
                  <w:r>
                    <w:rPr>
                      <w:rFonts w:hAnsi="宋体"/>
                      <w:color w:val="auto"/>
                      <w:szCs w:val="21"/>
                      <w:shd w:val="clear" w:color="auto" w:fill="FFFFFF"/>
                    </w:rPr>
                    <w:t>法律、法规禁止的其他行为。</w:t>
                  </w:r>
                  <w:r>
                    <w:rPr>
                      <w:color w:val="auto"/>
                      <w:szCs w:val="21"/>
                      <w:shd w:val="clear" w:color="auto" w:fill="FFFFFF"/>
                    </w:rPr>
                    <w:t>4.</w:t>
                  </w:r>
                  <w:r>
                    <w:rPr>
                      <w:rFonts w:hAnsi="宋体"/>
                      <w:color w:val="auto"/>
                      <w:szCs w:val="21"/>
                      <w:shd w:val="clear" w:color="auto" w:fill="FFFFFF"/>
                    </w:rPr>
                    <w:t>在淮河水域航行的船舶，应当遵守国家和省有关内河的船舶污染物排放标准，禁止向水体排放残油、废油、不符合规定的船舶压载水和倾倒船舶垃圾。</w:t>
                  </w:r>
                  <w:r>
                    <w:rPr>
                      <w:color w:val="auto"/>
                      <w:szCs w:val="21"/>
                      <w:shd w:val="clear" w:color="auto" w:fill="FFFFFF"/>
                    </w:rPr>
                    <w:t>5.</w:t>
                  </w:r>
                  <w:r>
                    <w:rPr>
                      <w:rFonts w:hAnsi="宋体"/>
                      <w:color w:val="auto"/>
                      <w:szCs w:val="21"/>
                      <w:shd w:val="clear" w:color="auto" w:fill="FFFFFF"/>
                    </w:rPr>
                    <w:t>全面停止天然林商业性采伐。</w:t>
                  </w:r>
                  <w:r>
                    <w:rPr>
                      <w:color w:val="auto"/>
                      <w:szCs w:val="21"/>
                      <w:shd w:val="clear" w:color="auto" w:fill="FFFFFF"/>
                    </w:rPr>
                    <w:t>6.</w:t>
                  </w:r>
                  <w:r>
                    <w:rPr>
                      <w:rFonts w:hAnsi="宋体"/>
                      <w:color w:val="auto"/>
                      <w:szCs w:val="21"/>
                      <w:shd w:val="clear" w:color="auto" w:fill="FFFFFF"/>
                    </w:rPr>
                    <w:t>坚持节约优先、保护优先、自然恢复为主的方针，依法有序推进新建露天矿山开采，严禁在自然保护区、风景名胜区、地质公园等禁止开采区域内新设矿权。</w:t>
                  </w:r>
                  <w:r>
                    <w:rPr>
                      <w:color w:val="auto"/>
                      <w:szCs w:val="21"/>
                      <w:shd w:val="clear" w:color="auto" w:fill="FFFFFF"/>
                    </w:rPr>
                    <w:t>7.</w:t>
                  </w:r>
                  <w:r>
                    <w:rPr>
                      <w:rFonts w:hAnsi="宋体"/>
                      <w:color w:val="auto"/>
                      <w:szCs w:val="21"/>
                      <w:shd w:val="clear" w:color="auto" w:fill="FFFFFF"/>
                    </w:rPr>
                    <w:t>坚持水资源水生态水环境水灾害统筹治理，严格落实水产种质资源保护区和自然保护区全面禁捕措施。</w:t>
                  </w:r>
                </w:p>
              </w:tc>
              <w:tc>
                <w:tcPr>
                  <w:tcW w:w="3341" w:type="dxa"/>
                  <w:vAlign w:val="center"/>
                </w:tcPr>
                <w:p w14:paraId="29987C79">
                  <w:pPr>
                    <w:autoSpaceDE w:val="0"/>
                    <w:autoSpaceDN w:val="0"/>
                    <w:spacing w:line="276" w:lineRule="auto"/>
                    <w:jc w:val="center"/>
                    <w:rPr>
                      <w:color w:val="auto"/>
                      <w:szCs w:val="21"/>
                    </w:rPr>
                  </w:pPr>
                  <w:r>
                    <w:rPr>
                      <w:rFonts w:hAnsi="宋体"/>
                      <w:color w:val="auto"/>
                      <w:szCs w:val="21"/>
                      <w:shd w:val="clear" w:color="auto" w:fill="FFFFFF"/>
                    </w:rPr>
                    <w:t>本项目不属于新建化学制浆造纸企业和印染、制革、化工、电镀、酿造等污染严重的小型企业</w:t>
                  </w:r>
                  <w:r>
                    <w:rPr>
                      <w:rFonts w:hAnsi="宋体"/>
                      <w:color w:val="auto"/>
                      <w:szCs w:val="21"/>
                    </w:rPr>
                    <w:t>；本项目在现有厂区内建设，不涉及饮用水水源保护区、风景名胜区水体、重要渔业水体和其他具有特殊经济文化价值的水体的保护区；本项目不涉及废水排放；本项目为日用玻璃制品制造行业，不属于矿区开采等行业。</w:t>
                  </w:r>
                </w:p>
              </w:tc>
              <w:tc>
                <w:tcPr>
                  <w:tcW w:w="0" w:type="auto"/>
                  <w:vAlign w:val="center"/>
                </w:tcPr>
                <w:p w14:paraId="32ED0E0E">
                  <w:pPr>
                    <w:autoSpaceDE w:val="0"/>
                    <w:autoSpaceDN w:val="0"/>
                    <w:spacing w:line="276" w:lineRule="auto"/>
                    <w:jc w:val="center"/>
                    <w:rPr>
                      <w:rFonts w:eastAsiaTheme="majorEastAsia"/>
                      <w:color w:val="auto"/>
                      <w:szCs w:val="21"/>
                    </w:rPr>
                  </w:pPr>
                  <w:r>
                    <w:rPr>
                      <w:rFonts w:eastAsiaTheme="majorEastAsia"/>
                      <w:color w:val="auto"/>
                      <w:szCs w:val="21"/>
                    </w:rPr>
                    <w:t>符合</w:t>
                  </w:r>
                </w:p>
              </w:tc>
            </w:tr>
            <w:tr w14:paraId="3C20F56F">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14:paraId="2823A4B3">
                  <w:pPr>
                    <w:autoSpaceDE w:val="0"/>
                    <w:autoSpaceDN w:val="0"/>
                    <w:spacing w:line="276" w:lineRule="auto"/>
                    <w:jc w:val="center"/>
                    <w:rPr>
                      <w:rFonts w:eastAsiaTheme="majorEastAsia"/>
                      <w:color w:val="auto"/>
                      <w:szCs w:val="21"/>
                    </w:rPr>
                  </w:pPr>
                </w:p>
              </w:tc>
              <w:tc>
                <w:tcPr>
                  <w:tcW w:w="0" w:type="auto"/>
                  <w:vMerge w:val="continue"/>
                  <w:vAlign w:val="center"/>
                </w:tcPr>
                <w:p w14:paraId="019E79EA">
                  <w:pPr>
                    <w:autoSpaceDE w:val="0"/>
                    <w:autoSpaceDN w:val="0"/>
                    <w:spacing w:line="276" w:lineRule="auto"/>
                    <w:jc w:val="center"/>
                    <w:rPr>
                      <w:rFonts w:eastAsiaTheme="majorEastAsia"/>
                      <w:color w:val="auto"/>
                      <w:szCs w:val="21"/>
                    </w:rPr>
                  </w:pPr>
                </w:p>
              </w:tc>
              <w:tc>
                <w:tcPr>
                  <w:tcW w:w="0" w:type="auto"/>
                  <w:vMerge w:val="continue"/>
                  <w:vAlign w:val="center"/>
                </w:tcPr>
                <w:p w14:paraId="3DD6FFE4">
                  <w:pPr>
                    <w:autoSpaceDE w:val="0"/>
                    <w:autoSpaceDN w:val="0"/>
                    <w:spacing w:line="276" w:lineRule="auto"/>
                    <w:jc w:val="center"/>
                    <w:rPr>
                      <w:rFonts w:eastAsiaTheme="majorEastAsia"/>
                      <w:color w:val="auto"/>
                      <w:szCs w:val="21"/>
                    </w:rPr>
                  </w:pPr>
                </w:p>
              </w:tc>
              <w:tc>
                <w:tcPr>
                  <w:tcW w:w="7487" w:type="dxa"/>
                  <w:vAlign w:val="center"/>
                </w:tcPr>
                <w:p w14:paraId="19B87B35">
                  <w:pPr>
                    <w:autoSpaceDE w:val="0"/>
                    <w:autoSpaceDN w:val="0"/>
                    <w:spacing w:line="276" w:lineRule="auto"/>
                    <w:jc w:val="center"/>
                    <w:rPr>
                      <w:color w:val="auto"/>
                      <w:szCs w:val="21"/>
                    </w:rPr>
                  </w:pPr>
                  <w:r>
                    <w:rPr>
                      <w:color w:val="auto"/>
                      <w:szCs w:val="21"/>
                      <w:shd w:val="clear" w:color="auto" w:fill="FFFFFF"/>
                    </w:rPr>
                    <w:t>12.</w:t>
                  </w:r>
                  <w:r>
                    <w:rPr>
                      <w:rFonts w:hAnsi="宋体"/>
                      <w:color w:val="auto"/>
                      <w:szCs w:val="21"/>
                      <w:shd w:val="clear" w:color="auto" w:fill="FFFFFF"/>
                    </w:rPr>
                    <w:t>市范围内严禁违规新增钢铁、焦化、水泥熟料、平板玻璃、电解铝、氧化铝、煤化工产能，合理控制煤制油气产能规模。未纳入国家有关领域产业规划的，一律不得新建改扩建炼油和新建乙烯、对二甲苯、煤制烯烃项目。</w:t>
                  </w:r>
                  <w:r>
                    <w:rPr>
                      <w:color w:val="auto"/>
                      <w:szCs w:val="21"/>
                      <w:shd w:val="clear" w:color="auto" w:fill="FFFFFF"/>
                    </w:rPr>
                    <w:t>13.“</w:t>
                  </w:r>
                  <w:r>
                    <w:rPr>
                      <w:rFonts w:hAnsi="宋体"/>
                      <w:color w:val="auto"/>
                      <w:szCs w:val="21"/>
                      <w:shd w:val="clear" w:color="auto" w:fill="FFFFFF"/>
                    </w:rPr>
                    <w:t>两高</w:t>
                  </w:r>
                  <w:r>
                    <w:rPr>
                      <w:color w:val="auto"/>
                      <w:szCs w:val="21"/>
                      <w:shd w:val="clear" w:color="auto" w:fill="FFFFFF"/>
                    </w:rPr>
                    <w:t>”</w:t>
                  </w:r>
                  <w:r>
                    <w:rPr>
                      <w:rFonts w:hAnsi="宋体"/>
                      <w:color w:val="auto"/>
                      <w:szCs w:val="21"/>
                      <w:shd w:val="clear" w:color="auto" w:fill="FFFFFF"/>
                    </w:rPr>
                    <w:t>项目审批，严格落实区域削减措施，对不符合规定的坚决停批停建。</w:t>
                  </w:r>
                  <w:r>
                    <w:rPr>
                      <w:color w:val="auto"/>
                      <w:szCs w:val="21"/>
                      <w:shd w:val="clear" w:color="auto" w:fill="FFFFFF"/>
                    </w:rPr>
                    <w:t>14.</w:t>
                  </w:r>
                  <w:r>
                    <w:rPr>
                      <w:rFonts w:hAnsi="宋体"/>
                      <w:color w:val="auto"/>
                      <w:szCs w:val="21"/>
                      <w:shd w:val="clear" w:color="auto" w:fill="FFFFFF"/>
                    </w:rPr>
                    <w:t>禁止在具有生态环境保护功能区内、城建规划区周边以及重要交通干线、河流湖泊直观可视范围内进行固体矿产勘查开发活动。禁止在生态环境脆弱区域开展不符合其功能定位的矿山勘查开发活动。</w:t>
                  </w:r>
                  <w:r>
                    <w:rPr>
                      <w:color w:val="auto"/>
                      <w:szCs w:val="21"/>
                      <w:shd w:val="clear" w:color="auto" w:fill="FFFFFF"/>
                    </w:rPr>
                    <w:t>15.</w:t>
                  </w:r>
                  <w:r>
                    <w:rPr>
                      <w:rFonts w:hAnsi="宋体"/>
                      <w:color w:val="auto"/>
                      <w:szCs w:val="21"/>
                      <w:shd w:val="clear" w:color="auto" w:fill="FFFFFF"/>
                    </w:rPr>
                    <w:t>禁止建设生产和使用</w:t>
                  </w:r>
                  <w:r>
                    <w:rPr>
                      <w:color w:val="auto"/>
                      <w:szCs w:val="21"/>
                      <w:shd w:val="clear" w:color="auto" w:fill="FFFFFF"/>
                    </w:rPr>
                    <w:t>VOCs</w:t>
                  </w:r>
                  <w:r>
                    <w:rPr>
                      <w:rFonts w:hAnsi="宋体"/>
                      <w:color w:val="auto"/>
                      <w:szCs w:val="21"/>
                      <w:shd w:val="clear" w:color="auto" w:fill="FFFFFF"/>
                    </w:rPr>
                    <w:t>含量限值不符合国家标准的涂料、油墨、胶黏剂、清洗剂等项目。</w:t>
                  </w:r>
                  <w:r>
                    <w:rPr>
                      <w:color w:val="auto"/>
                      <w:szCs w:val="21"/>
                      <w:shd w:val="clear" w:color="auto" w:fill="FFFFFF"/>
                    </w:rPr>
                    <w:t>16.</w:t>
                  </w:r>
                  <w:r>
                    <w:rPr>
                      <w:rFonts w:hAnsi="宋体"/>
                      <w:color w:val="auto"/>
                      <w:szCs w:val="21"/>
                      <w:shd w:val="clear" w:color="auto" w:fill="FFFFFF"/>
                    </w:rPr>
                    <w:t>严格城市规划蓝线管理，城市规划区范围内应保留一定比例的水域面积。新建项目一律不得违规占用水域。</w:t>
                  </w:r>
                  <w:r>
                    <w:rPr>
                      <w:color w:val="auto"/>
                      <w:szCs w:val="21"/>
                      <w:shd w:val="clear" w:color="auto" w:fill="FFFFFF"/>
                    </w:rPr>
                    <w:t>17.</w:t>
                  </w:r>
                  <w:r>
                    <w:rPr>
                      <w:rFonts w:hAnsi="宋体"/>
                      <w:color w:val="auto"/>
                      <w:szCs w:val="21"/>
                      <w:shd w:val="clear" w:color="auto" w:fill="FFFFFF"/>
                    </w:rPr>
                    <w:t>禁止新建焦化、有色金属、制革、农药等行业企业。</w:t>
                  </w:r>
                  <w:r>
                    <w:rPr>
                      <w:color w:val="auto"/>
                      <w:szCs w:val="21"/>
                      <w:shd w:val="clear" w:color="auto" w:fill="FFFFFF"/>
                    </w:rPr>
                    <w:t>18.</w:t>
                  </w:r>
                  <w:r>
                    <w:rPr>
                      <w:rFonts w:hAnsi="宋体"/>
                      <w:color w:val="auto"/>
                      <w:szCs w:val="21"/>
                      <w:shd w:val="clear" w:color="auto" w:fill="FFFFFF"/>
                    </w:rPr>
                    <w:t>禁止非法污泥堆放和处理不达标的污泥进入耕地。</w:t>
                  </w:r>
                  <w:r>
                    <w:rPr>
                      <w:color w:val="auto"/>
                      <w:szCs w:val="21"/>
                      <w:shd w:val="clear" w:color="auto" w:fill="FFFFFF"/>
                    </w:rPr>
                    <w:t>20.</w:t>
                  </w:r>
                  <w:r>
                    <w:rPr>
                      <w:rFonts w:hAnsi="宋体"/>
                      <w:color w:val="auto"/>
                      <w:szCs w:val="21"/>
                      <w:shd w:val="clear" w:color="auto" w:fill="FFFFFF"/>
                    </w:rPr>
                    <w:t>禁止生产、销售不符合节水标准的产品、设备。</w:t>
                  </w:r>
                  <w:r>
                    <w:rPr>
                      <w:color w:val="auto"/>
                      <w:szCs w:val="21"/>
                      <w:shd w:val="clear" w:color="auto" w:fill="FFFFFF"/>
                    </w:rPr>
                    <w:t>21.</w:t>
                  </w:r>
                  <w:r>
                    <w:rPr>
                      <w:rFonts w:hAnsi="宋体"/>
                      <w:color w:val="auto"/>
                      <w:szCs w:val="21"/>
                      <w:shd w:val="clear" w:color="auto" w:fill="FFFFFF"/>
                    </w:rPr>
                    <w:t>城市建成区排放污水的工业企业应依法持有排污许可证，并严格按证排污。排入城镇水体的工业污水应符合相关行业标准及地方标准要求，严禁任何企业、单位超标和超总量排污，对超标或超总量的排污单位一律限制生产或停产整顿。</w:t>
                  </w:r>
                  <w:r>
                    <w:rPr>
                      <w:color w:val="auto"/>
                      <w:szCs w:val="21"/>
                      <w:shd w:val="clear" w:color="auto" w:fill="FFFFFF"/>
                    </w:rPr>
                    <w:t>22.</w:t>
                  </w:r>
                  <w:r>
                    <w:rPr>
                      <w:rFonts w:hAnsi="宋体"/>
                      <w:color w:val="auto"/>
                      <w:szCs w:val="21"/>
                      <w:shd w:val="clear" w:color="auto" w:fill="FFFFFF"/>
                    </w:rPr>
                    <w:t>科学确定城市河道疏浚范围和清淤深度，妥善处理底泥，严禁清淤底泥沿岸随意堆放或作为水体治理工程回填土，防止二次污染。</w:t>
                  </w:r>
                  <w:r>
                    <w:rPr>
                      <w:color w:val="auto"/>
                      <w:szCs w:val="21"/>
                      <w:shd w:val="clear" w:color="auto" w:fill="FFFFFF"/>
                    </w:rPr>
                    <w:t>23.</w:t>
                  </w:r>
                  <w:r>
                    <w:rPr>
                      <w:rFonts w:hAnsi="宋体"/>
                      <w:color w:val="auto"/>
                      <w:szCs w:val="21"/>
                      <w:shd w:val="clear" w:color="auto" w:fill="FFFFFF"/>
                    </w:rPr>
                    <w:t>严肃执法监督，严格执行排污许可、排水许可制度，严禁生活污水和工业废水直排水体。严防道路冲洗污水、洗车冲洗污水、餐饮泔水、施工排水等污水进入雨水口。</w:t>
                  </w:r>
                  <w:r>
                    <w:rPr>
                      <w:color w:val="auto"/>
                      <w:szCs w:val="21"/>
                      <w:shd w:val="clear" w:color="auto" w:fill="FFFFFF"/>
                    </w:rPr>
                    <w:t>24.</w:t>
                  </w:r>
                  <w:r>
                    <w:rPr>
                      <w:rFonts w:hAnsi="宋体"/>
                      <w:color w:val="auto"/>
                      <w:szCs w:val="21"/>
                      <w:shd w:val="clear" w:color="auto" w:fill="FFFFFF"/>
                    </w:rPr>
                    <w:t>禁止在居民区、学校、医疗和养老机构等周边新建有色金属冶炼、焦化等行业企业。</w:t>
                  </w:r>
                  <w:r>
                    <w:rPr>
                      <w:color w:val="auto"/>
                      <w:szCs w:val="21"/>
                      <w:shd w:val="clear" w:color="auto" w:fill="FFFFFF"/>
                    </w:rPr>
                    <w:t>25.</w:t>
                  </w:r>
                  <w:r>
                    <w:rPr>
                      <w:rFonts w:hAnsi="宋体"/>
                      <w:color w:val="auto"/>
                      <w:szCs w:val="21"/>
                      <w:shd w:val="clear" w:color="auto" w:fill="FFFFFF"/>
                    </w:rPr>
                    <w:t>对涉重金属重点行业新建、改（扩）建项目实行新增重金属污染物排放等量或倍量替代，对区域重金属排放量继续上升的地区，停止审批新增重金属污染物排放的建设项目。落实重金属相关行业规范条件，禁止新建落后产能项目，严禁产能严重过剩行业新增产能建设项目。禁止向涉重金属相关行业落后产能和产能过剩行业供应土地。</w:t>
                  </w:r>
                  <w:r>
                    <w:rPr>
                      <w:color w:val="auto"/>
                      <w:szCs w:val="21"/>
                      <w:shd w:val="clear" w:color="auto" w:fill="FFFFFF"/>
                    </w:rPr>
                    <w:t>26.</w:t>
                  </w:r>
                  <w:r>
                    <w:rPr>
                      <w:rFonts w:hAnsi="宋体"/>
                      <w:color w:val="auto"/>
                      <w:szCs w:val="21"/>
                      <w:shd w:val="clear" w:color="auto" w:fill="FFFFFF"/>
                    </w:rPr>
                    <w:t>针对耕地重金属污染突出区域和涉重金属工矿企业，组织开展重金属重点行业污染源排查整治专项行动，督促相关企业完善污染防治设施，在煤化工、有色金属、电镀行业实施清洁化改造。对整改后仍不能稳定达标的企业，依法责令停产、关闭。坚决关闭不符合国家产业政策的落后生产工艺装备，依法全面取缔不符合国家产业政策的有色金属、电镀等行业生产项目。</w:t>
                  </w:r>
                </w:p>
              </w:tc>
              <w:tc>
                <w:tcPr>
                  <w:tcW w:w="3341" w:type="dxa"/>
                  <w:vAlign w:val="center"/>
                </w:tcPr>
                <w:p w14:paraId="3455D15D">
                  <w:pPr>
                    <w:autoSpaceDE w:val="0"/>
                    <w:autoSpaceDN w:val="0"/>
                    <w:spacing w:line="276" w:lineRule="auto"/>
                    <w:jc w:val="center"/>
                    <w:rPr>
                      <w:color w:val="auto"/>
                      <w:szCs w:val="21"/>
                      <w:shd w:val="clear" w:color="auto" w:fill="FFFFFF"/>
                    </w:rPr>
                  </w:pPr>
                  <w:r>
                    <w:rPr>
                      <w:rFonts w:hAnsi="宋体"/>
                      <w:color w:val="auto"/>
                      <w:szCs w:val="21"/>
                    </w:rPr>
                    <w:t>本项目不属于</w:t>
                  </w:r>
                  <w:r>
                    <w:rPr>
                      <w:rFonts w:hAnsi="宋体"/>
                      <w:color w:val="auto"/>
                      <w:szCs w:val="21"/>
                      <w:shd w:val="clear" w:color="auto" w:fill="FFFFFF"/>
                    </w:rPr>
                    <w:t>新增钢铁、焦化、水泥熟料、平板玻璃、电解铝、氧化铝、煤化工产能、新建改扩建炼油和新建乙烯、对二甲苯、煤制烯烃项目；本项目不属于</w:t>
                  </w:r>
                  <w:r>
                    <w:rPr>
                      <w:color w:val="auto"/>
                      <w:szCs w:val="21"/>
                      <w:shd w:val="clear" w:color="auto" w:fill="FFFFFF"/>
                    </w:rPr>
                    <w:t>“</w:t>
                  </w:r>
                  <w:r>
                    <w:rPr>
                      <w:rFonts w:hAnsi="宋体"/>
                      <w:color w:val="auto"/>
                      <w:szCs w:val="21"/>
                      <w:shd w:val="clear" w:color="auto" w:fill="FFFFFF"/>
                    </w:rPr>
                    <w:t>两高</w:t>
                  </w:r>
                  <w:r>
                    <w:rPr>
                      <w:color w:val="auto"/>
                      <w:szCs w:val="21"/>
                      <w:shd w:val="clear" w:color="auto" w:fill="FFFFFF"/>
                    </w:rPr>
                    <w:t>”</w:t>
                  </w:r>
                  <w:r>
                    <w:rPr>
                      <w:rFonts w:hAnsi="宋体"/>
                      <w:color w:val="auto"/>
                      <w:szCs w:val="21"/>
                      <w:shd w:val="clear" w:color="auto" w:fill="FFFFFF"/>
                    </w:rPr>
                    <w:t>项目；本项目不属于固体矿产勘查开发、矿山勘查开发活动；本项目不建设生产和使用</w:t>
                  </w:r>
                  <w:r>
                    <w:rPr>
                      <w:color w:val="auto"/>
                      <w:szCs w:val="21"/>
                      <w:shd w:val="clear" w:color="auto" w:fill="FFFFFF"/>
                    </w:rPr>
                    <w:t>VOCs</w:t>
                  </w:r>
                  <w:r>
                    <w:rPr>
                      <w:rFonts w:hAnsi="宋体"/>
                      <w:color w:val="auto"/>
                      <w:szCs w:val="21"/>
                      <w:shd w:val="clear" w:color="auto" w:fill="FFFFFF"/>
                    </w:rPr>
                    <w:t>含量限值不符合国家标准的涂料、油墨、胶黏剂、清洗剂等项目；本项目不涉及新建焦化、有色金属、制革、农药等行业企业；本项目不涉及污泥处理项目；本项目现有厂区已采取雨污分流制度，不涉及废水外排；本项目不属于有色金属、电镀等行业生产项目。</w:t>
                  </w:r>
                </w:p>
              </w:tc>
              <w:tc>
                <w:tcPr>
                  <w:tcW w:w="0" w:type="auto"/>
                  <w:vAlign w:val="center"/>
                </w:tcPr>
                <w:p w14:paraId="3E4FA37E">
                  <w:pPr>
                    <w:autoSpaceDE w:val="0"/>
                    <w:autoSpaceDN w:val="0"/>
                    <w:spacing w:line="276" w:lineRule="auto"/>
                    <w:jc w:val="center"/>
                    <w:rPr>
                      <w:rFonts w:eastAsiaTheme="majorEastAsia"/>
                      <w:color w:val="auto"/>
                      <w:szCs w:val="21"/>
                    </w:rPr>
                  </w:pPr>
                  <w:r>
                    <w:rPr>
                      <w:rFonts w:eastAsiaTheme="majorEastAsia"/>
                      <w:color w:val="auto"/>
                      <w:szCs w:val="21"/>
                    </w:rPr>
                    <w:t>符合</w:t>
                  </w:r>
                </w:p>
              </w:tc>
            </w:tr>
            <w:tr w14:paraId="033379D3">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14:paraId="722828D3">
                  <w:pPr>
                    <w:autoSpaceDE w:val="0"/>
                    <w:autoSpaceDN w:val="0"/>
                    <w:spacing w:line="276" w:lineRule="auto"/>
                    <w:jc w:val="center"/>
                    <w:rPr>
                      <w:rFonts w:eastAsiaTheme="majorEastAsia"/>
                      <w:color w:val="auto"/>
                      <w:szCs w:val="21"/>
                    </w:rPr>
                  </w:pPr>
                </w:p>
              </w:tc>
              <w:tc>
                <w:tcPr>
                  <w:tcW w:w="0" w:type="auto"/>
                  <w:vMerge w:val="continue"/>
                  <w:vAlign w:val="center"/>
                </w:tcPr>
                <w:p w14:paraId="75A68B44">
                  <w:pPr>
                    <w:autoSpaceDE w:val="0"/>
                    <w:autoSpaceDN w:val="0"/>
                    <w:spacing w:line="276" w:lineRule="auto"/>
                    <w:jc w:val="center"/>
                    <w:rPr>
                      <w:rFonts w:eastAsiaTheme="majorEastAsia"/>
                      <w:color w:val="auto"/>
                      <w:szCs w:val="21"/>
                    </w:rPr>
                  </w:pPr>
                </w:p>
              </w:tc>
              <w:tc>
                <w:tcPr>
                  <w:tcW w:w="0" w:type="auto"/>
                  <w:vMerge w:val="continue"/>
                  <w:vAlign w:val="center"/>
                </w:tcPr>
                <w:p w14:paraId="5E176648">
                  <w:pPr>
                    <w:autoSpaceDE w:val="0"/>
                    <w:autoSpaceDN w:val="0"/>
                    <w:spacing w:line="276" w:lineRule="auto"/>
                    <w:jc w:val="center"/>
                    <w:rPr>
                      <w:rFonts w:eastAsiaTheme="majorEastAsia"/>
                      <w:color w:val="auto"/>
                      <w:szCs w:val="21"/>
                    </w:rPr>
                  </w:pPr>
                </w:p>
              </w:tc>
              <w:tc>
                <w:tcPr>
                  <w:tcW w:w="7487" w:type="dxa"/>
                  <w:vAlign w:val="center"/>
                </w:tcPr>
                <w:p w14:paraId="5A6D2088">
                  <w:pPr>
                    <w:autoSpaceDE w:val="0"/>
                    <w:autoSpaceDN w:val="0"/>
                    <w:spacing w:line="276" w:lineRule="auto"/>
                    <w:jc w:val="center"/>
                    <w:rPr>
                      <w:color w:val="auto"/>
                      <w:szCs w:val="21"/>
                    </w:rPr>
                  </w:pPr>
                  <w:r>
                    <w:rPr>
                      <w:color w:val="auto"/>
                      <w:szCs w:val="21"/>
                      <w:shd w:val="clear" w:color="auto" w:fill="FFFFFF"/>
                    </w:rPr>
                    <w:t>23.</w:t>
                  </w:r>
                  <w:r>
                    <w:rPr>
                      <w:rFonts w:hAnsi="宋体"/>
                      <w:color w:val="auto"/>
                      <w:szCs w:val="21"/>
                      <w:shd w:val="clear" w:color="auto" w:fill="FFFFFF"/>
                    </w:rPr>
                    <w:t>加大钢铁、铸造、炼焦、建材、电解铝等产能压减力度。</w:t>
                  </w:r>
                  <w:r>
                    <w:rPr>
                      <w:color w:val="auto"/>
                      <w:szCs w:val="21"/>
                      <w:shd w:val="clear" w:color="auto" w:fill="FFFFFF"/>
                    </w:rPr>
                    <w:t>24.</w:t>
                  </w:r>
                  <w:r>
                    <w:rPr>
                      <w:rFonts w:hAnsi="宋体"/>
                      <w:color w:val="auto"/>
                      <w:szCs w:val="21"/>
                      <w:shd w:val="clear" w:color="auto" w:fill="FFFFFF"/>
                    </w:rPr>
                    <w:t>严格资源节约和环保准入门槛，转入项目必须符合国家产业政策、资源节约和污染物排放强度要求，避免产业转移中的资源浪费和污染扩散。</w:t>
                  </w:r>
                  <w:r>
                    <w:rPr>
                      <w:color w:val="auto"/>
                      <w:szCs w:val="21"/>
                      <w:shd w:val="clear" w:color="auto" w:fill="FFFFFF"/>
                    </w:rPr>
                    <w:t>25.</w:t>
                  </w:r>
                  <w:r>
                    <w:rPr>
                      <w:rFonts w:hAnsi="宋体"/>
                      <w:color w:val="auto"/>
                      <w:szCs w:val="21"/>
                      <w:shd w:val="clear" w:color="auto" w:fill="FFFFFF"/>
                    </w:rPr>
                    <w:t>对污染治理不规范的露天矿山，依法责令停产整治，整治完成并经相关部门组织验收合格后方可恢复生产。</w:t>
                  </w:r>
                  <w:r>
                    <w:rPr>
                      <w:color w:val="auto"/>
                      <w:szCs w:val="21"/>
                      <w:shd w:val="clear" w:color="auto" w:fill="FFFFFF"/>
                    </w:rPr>
                    <w:t>26.</w:t>
                  </w:r>
                  <w:r>
                    <w:rPr>
                      <w:rFonts w:hAnsi="宋体"/>
                      <w:color w:val="auto"/>
                      <w:szCs w:val="21"/>
                      <w:shd w:val="clear" w:color="auto" w:fill="FFFFFF"/>
                    </w:rPr>
                    <w:t>加大落后产能淘汰和过剩产能压减力度。严防</w:t>
                  </w:r>
                  <w:r>
                    <w:rPr>
                      <w:color w:val="auto"/>
                      <w:szCs w:val="21"/>
                      <w:shd w:val="clear" w:color="auto" w:fill="FFFFFF"/>
                    </w:rPr>
                    <w:t>“</w:t>
                  </w:r>
                  <w:r>
                    <w:rPr>
                      <w:rFonts w:hAnsi="宋体"/>
                      <w:color w:val="auto"/>
                      <w:szCs w:val="21"/>
                      <w:shd w:val="clear" w:color="auto" w:fill="FFFFFF"/>
                    </w:rPr>
                    <w:t>地条钢</w:t>
                  </w:r>
                  <w:r>
                    <w:rPr>
                      <w:color w:val="auto"/>
                      <w:szCs w:val="21"/>
                      <w:shd w:val="clear" w:color="auto" w:fill="FFFFFF"/>
                    </w:rPr>
                    <w:t>”</w:t>
                  </w:r>
                  <w:r>
                    <w:rPr>
                      <w:rFonts w:hAnsi="宋体"/>
                      <w:color w:val="auto"/>
                      <w:szCs w:val="21"/>
                      <w:shd w:val="clear" w:color="auto" w:fill="FFFFFF"/>
                    </w:rPr>
                    <w:t>死灰复燃。</w:t>
                  </w:r>
                  <w:r>
                    <w:rPr>
                      <w:color w:val="auto"/>
                      <w:szCs w:val="21"/>
                      <w:shd w:val="clear" w:color="auto" w:fill="FFFFFF"/>
                    </w:rPr>
                    <w:t>28.</w:t>
                  </w:r>
                  <w:r>
                    <w:rPr>
                      <w:rFonts w:hAnsi="宋体"/>
                      <w:color w:val="auto"/>
                      <w:szCs w:val="21"/>
                      <w:shd w:val="clear" w:color="auto" w:fill="FFFFFF"/>
                    </w:rPr>
                    <w:t>重点区域钢铁、水泥、焦化、石化、化工、有色等行业，二氧化硫、氮氧化物、颗粒物、挥发性有机物（</w:t>
                  </w:r>
                  <w:r>
                    <w:rPr>
                      <w:color w:val="auto"/>
                      <w:szCs w:val="21"/>
                      <w:shd w:val="clear" w:color="auto" w:fill="FFFFFF"/>
                    </w:rPr>
                    <w:t>VOCs</w:t>
                  </w:r>
                  <w:r>
                    <w:rPr>
                      <w:rFonts w:hAnsi="宋体"/>
                      <w:color w:val="auto"/>
                      <w:szCs w:val="21"/>
                      <w:shd w:val="clear" w:color="auto" w:fill="FFFFFF"/>
                    </w:rPr>
                    <w:t>）排放全面执行大气污染物特别排放限值。</w:t>
                  </w:r>
                  <w:r>
                    <w:rPr>
                      <w:color w:val="auto"/>
                      <w:szCs w:val="21"/>
                      <w:shd w:val="clear" w:color="auto" w:fill="FFFFFF"/>
                    </w:rPr>
                    <w:t>29.</w:t>
                  </w:r>
                  <w:r>
                    <w:rPr>
                      <w:rFonts w:hAnsi="宋体"/>
                      <w:color w:val="auto"/>
                      <w:szCs w:val="21"/>
                      <w:shd w:val="clear" w:color="auto" w:fill="FFFFFF"/>
                    </w:rPr>
                    <w:t>加大工业涂装、包装印刷等行业低挥发性有机物含量原辅材料替代力度，严格执行涂料、油墨、胶粘剂、清洗剂挥发性有机物含量限值标准，确保生产、销售、进口、使用符合标准的产品。</w:t>
                  </w:r>
                  <w:r>
                    <w:rPr>
                      <w:color w:val="auto"/>
                      <w:szCs w:val="21"/>
                      <w:shd w:val="clear" w:color="auto" w:fill="FFFFFF"/>
                    </w:rPr>
                    <w:t>30.</w:t>
                  </w:r>
                  <w:r>
                    <w:rPr>
                      <w:rFonts w:hAnsi="宋体"/>
                      <w:color w:val="auto"/>
                      <w:szCs w:val="21"/>
                      <w:shd w:val="clear" w:color="auto" w:fill="FFFFFF"/>
                    </w:rPr>
                    <w:t>严格合理控制煤炭消费增长，大气污染防治重点区域内新建、改扩建用煤项目严格实施煤炭消费等量或减量替代。</w:t>
                  </w:r>
                  <w:r>
                    <w:rPr>
                      <w:color w:val="auto"/>
                      <w:szCs w:val="21"/>
                      <w:shd w:val="clear" w:color="auto" w:fill="FFFFFF"/>
                    </w:rPr>
                    <w:t>31.</w:t>
                  </w:r>
                  <w:r>
                    <w:rPr>
                      <w:rFonts w:hAnsi="宋体"/>
                      <w:color w:val="auto"/>
                      <w:szCs w:val="21"/>
                      <w:shd w:val="clear" w:color="auto" w:fill="FFFFFF"/>
                    </w:rPr>
                    <w:t>推动钢铁行业碳达峰。严格执行产能置换，严禁新增产能，依法依规淘汰落后产能。</w:t>
                  </w:r>
                  <w:r>
                    <w:rPr>
                      <w:color w:val="auto"/>
                      <w:szCs w:val="21"/>
                      <w:shd w:val="clear" w:color="auto" w:fill="FFFFFF"/>
                    </w:rPr>
                    <w:t>32.</w:t>
                  </w:r>
                  <w:r>
                    <w:rPr>
                      <w:rFonts w:hAnsi="宋体"/>
                      <w:color w:val="auto"/>
                      <w:szCs w:val="21"/>
                      <w:shd w:val="clear" w:color="auto" w:fill="FFFFFF"/>
                    </w:rPr>
                    <w:t>优化产能规模和布局，引导化工企业向产业园区转移，提高集聚发展水平。</w:t>
                  </w:r>
                </w:p>
              </w:tc>
              <w:tc>
                <w:tcPr>
                  <w:tcW w:w="3341" w:type="dxa"/>
                  <w:vAlign w:val="center"/>
                </w:tcPr>
                <w:p w14:paraId="54E57FF6">
                  <w:pPr>
                    <w:autoSpaceDE w:val="0"/>
                    <w:autoSpaceDN w:val="0"/>
                    <w:spacing w:line="276" w:lineRule="auto"/>
                    <w:jc w:val="center"/>
                    <w:rPr>
                      <w:color w:val="auto"/>
                      <w:szCs w:val="21"/>
                      <w:shd w:val="clear" w:color="auto" w:fill="FFFFFF"/>
                    </w:rPr>
                  </w:pPr>
                  <w:r>
                    <w:rPr>
                      <w:rFonts w:hAnsi="宋体"/>
                      <w:color w:val="auto"/>
                      <w:szCs w:val="21"/>
                      <w:shd w:val="clear" w:color="auto" w:fill="FFFFFF"/>
                    </w:rPr>
                    <w:t>本项目不涉及钢铁、铸造、炼焦、建材、电解铝等产能；本项目为日用玻璃制品制造行业，不属于钢铁、水泥、焦化、石化、化工、有色等行业；本项目喷涂工序使用水性漆等低挥发性原辅材料。</w:t>
                  </w:r>
                </w:p>
              </w:tc>
              <w:tc>
                <w:tcPr>
                  <w:tcW w:w="0" w:type="auto"/>
                  <w:vAlign w:val="center"/>
                </w:tcPr>
                <w:p w14:paraId="7D4BDAC8">
                  <w:pPr>
                    <w:autoSpaceDE w:val="0"/>
                    <w:autoSpaceDN w:val="0"/>
                    <w:spacing w:line="276" w:lineRule="auto"/>
                    <w:jc w:val="center"/>
                    <w:rPr>
                      <w:rFonts w:eastAsiaTheme="majorEastAsia"/>
                      <w:color w:val="auto"/>
                      <w:szCs w:val="21"/>
                    </w:rPr>
                  </w:pPr>
                  <w:r>
                    <w:rPr>
                      <w:rFonts w:eastAsiaTheme="majorEastAsia"/>
                      <w:color w:val="auto"/>
                      <w:szCs w:val="21"/>
                    </w:rPr>
                    <w:t>符合</w:t>
                  </w:r>
                </w:p>
              </w:tc>
            </w:tr>
            <w:tr w14:paraId="6806C94F">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14:paraId="4CE8E66F">
                  <w:pPr>
                    <w:autoSpaceDE w:val="0"/>
                    <w:autoSpaceDN w:val="0"/>
                    <w:spacing w:line="276" w:lineRule="auto"/>
                    <w:jc w:val="center"/>
                    <w:rPr>
                      <w:rFonts w:eastAsiaTheme="majorEastAsia"/>
                      <w:color w:val="auto"/>
                      <w:szCs w:val="21"/>
                    </w:rPr>
                  </w:pPr>
                </w:p>
              </w:tc>
              <w:tc>
                <w:tcPr>
                  <w:tcW w:w="0" w:type="auto"/>
                  <w:vMerge w:val="continue"/>
                  <w:vAlign w:val="center"/>
                </w:tcPr>
                <w:p w14:paraId="249AFF7B">
                  <w:pPr>
                    <w:autoSpaceDE w:val="0"/>
                    <w:autoSpaceDN w:val="0"/>
                    <w:spacing w:line="276" w:lineRule="auto"/>
                    <w:jc w:val="center"/>
                    <w:rPr>
                      <w:rFonts w:eastAsiaTheme="majorEastAsia"/>
                      <w:color w:val="auto"/>
                      <w:szCs w:val="21"/>
                    </w:rPr>
                  </w:pPr>
                </w:p>
              </w:tc>
              <w:tc>
                <w:tcPr>
                  <w:tcW w:w="0" w:type="auto"/>
                  <w:vMerge w:val="continue"/>
                  <w:vAlign w:val="center"/>
                </w:tcPr>
                <w:p w14:paraId="238BC695">
                  <w:pPr>
                    <w:autoSpaceDE w:val="0"/>
                    <w:autoSpaceDN w:val="0"/>
                    <w:spacing w:line="276" w:lineRule="auto"/>
                    <w:jc w:val="center"/>
                    <w:rPr>
                      <w:rFonts w:eastAsiaTheme="majorEastAsia"/>
                      <w:color w:val="auto"/>
                      <w:szCs w:val="21"/>
                    </w:rPr>
                  </w:pPr>
                </w:p>
              </w:tc>
              <w:tc>
                <w:tcPr>
                  <w:tcW w:w="7487" w:type="dxa"/>
                  <w:vAlign w:val="center"/>
                </w:tcPr>
                <w:p w14:paraId="7BA7784B">
                  <w:pPr>
                    <w:autoSpaceDE w:val="0"/>
                    <w:autoSpaceDN w:val="0"/>
                    <w:spacing w:line="276" w:lineRule="auto"/>
                    <w:jc w:val="center"/>
                    <w:rPr>
                      <w:color w:val="auto"/>
                      <w:szCs w:val="21"/>
                    </w:rPr>
                  </w:pPr>
                  <w:r>
                    <w:rPr>
                      <w:color w:val="auto"/>
                      <w:szCs w:val="21"/>
                      <w:shd w:val="clear" w:color="auto" w:fill="FFFFFF"/>
                    </w:rPr>
                    <w:t>8.</w:t>
                  </w:r>
                  <w:r>
                    <w:rPr>
                      <w:rFonts w:hAnsi="宋体"/>
                      <w:color w:val="auto"/>
                      <w:szCs w:val="21"/>
                      <w:shd w:val="clear" w:color="auto" w:fill="FFFFFF"/>
                    </w:rPr>
                    <w:t>严格限制在淮河流域新建印染、制革、化工、电镀、酿造等大中型项目或者其他污染严重的项目；建设该类项目的，应当事前征得省人民政府生态环境行政主管部门的同意，并按照规定办理有关手续。</w:t>
                  </w:r>
                  <w:r>
                    <w:rPr>
                      <w:color w:val="auto"/>
                      <w:szCs w:val="21"/>
                      <w:shd w:val="clear" w:color="auto" w:fill="FFFFFF"/>
                    </w:rPr>
                    <w:t>9.</w:t>
                  </w:r>
                  <w:r>
                    <w:rPr>
                      <w:rFonts w:hAnsi="宋体"/>
                      <w:color w:val="auto"/>
                      <w:szCs w:val="21"/>
                      <w:shd w:val="clear" w:color="auto" w:fill="FFFFFF"/>
                    </w:rPr>
                    <w:t>新建、改建、扩建直接或者间接向水体排放污染物的建设项目和其他水上设施，应当依法进行环境影响评价。建设项目的水污染防治设施，应当符合经批准或者备案的环境影响评价文件的要求，并与主体工程同时设计、同时施工、同时投入使用。新建、扩建、改建项目，除执行前款规定外，还应当遵守下列规定：（一）新建项目的选址应符合城市总体规划，避开饮用水水源地和对环境有特殊要求的功能区；（二）采用资源利用率高、污染物排放量少的先进设备和先进工艺；（三）改建、扩建项目和技改项目应当把水污染治理纳入项目内容。工程配套建设的水污染防治设施竣工后，建设单位应当按照国务院生态环境行政主管部门规定的标准和程序进行验收。验收合格后，方可投入使用；未经验收或者验收不合格的，不得投入生产或者使用。</w:t>
                  </w:r>
                  <w:r>
                    <w:rPr>
                      <w:color w:val="auto"/>
                      <w:szCs w:val="21"/>
                      <w:shd w:val="clear" w:color="auto" w:fill="FFFFFF"/>
                    </w:rPr>
                    <w:t>10.</w:t>
                  </w:r>
                  <w:r>
                    <w:rPr>
                      <w:rFonts w:hAnsi="宋体"/>
                      <w:color w:val="auto"/>
                      <w:szCs w:val="21"/>
                      <w:shd w:val="clear" w:color="auto" w:fill="FFFFFF"/>
                    </w:rPr>
                    <w:t>在保护区附近新建排污口，应当保证保护区水体不受污染。</w:t>
                  </w:r>
                  <w:r>
                    <w:rPr>
                      <w:color w:val="auto"/>
                      <w:szCs w:val="21"/>
                      <w:shd w:val="clear" w:color="auto" w:fill="FFFFFF"/>
                    </w:rPr>
                    <w:t>11.</w:t>
                  </w:r>
                  <w:r>
                    <w:rPr>
                      <w:rFonts w:hAnsi="宋体"/>
                      <w:color w:val="auto"/>
                      <w:szCs w:val="21"/>
                      <w:shd w:val="clear" w:color="auto" w:fill="FFFFFF"/>
                    </w:rPr>
                    <w:t>严格环境准入，在水污染防治重点控制单元的区域内，限制新建耗水量大、废水排放量大的项目和单纯扩大产能的项目。严格控制缺水地区、水污染严重地区和敏感区域高耗水、高污染行业发展。</w:t>
                  </w:r>
                </w:p>
              </w:tc>
              <w:tc>
                <w:tcPr>
                  <w:tcW w:w="3341" w:type="dxa"/>
                  <w:vAlign w:val="center"/>
                </w:tcPr>
                <w:p w14:paraId="7A584E64">
                  <w:pPr>
                    <w:autoSpaceDE w:val="0"/>
                    <w:autoSpaceDN w:val="0"/>
                    <w:spacing w:line="276" w:lineRule="auto"/>
                    <w:jc w:val="center"/>
                    <w:rPr>
                      <w:color w:val="auto"/>
                      <w:szCs w:val="21"/>
                    </w:rPr>
                  </w:pPr>
                  <w:r>
                    <w:rPr>
                      <w:rFonts w:hAnsi="宋体"/>
                      <w:color w:val="auto"/>
                      <w:szCs w:val="21"/>
                      <w:shd w:val="clear" w:color="auto" w:fill="FFFFFF"/>
                    </w:rPr>
                    <w:t>本项目不属于新建印染、制革、化工、电镀、酿造等大中型项目或者其他污染严重的项目；本项目不涉废水排放，依法进行环境影响评价。</w:t>
                  </w:r>
                </w:p>
              </w:tc>
              <w:tc>
                <w:tcPr>
                  <w:tcW w:w="0" w:type="auto"/>
                  <w:vAlign w:val="center"/>
                </w:tcPr>
                <w:p w14:paraId="28B3B130">
                  <w:pPr>
                    <w:autoSpaceDE w:val="0"/>
                    <w:autoSpaceDN w:val="0"/>
                    <w:spacing w:line="276" w:lineRule="auto"/>
                    <w:jc w:val="center"/>
                    <w:rPr>
                      <w:rFonts w:eastAsiaTheme="majorEastAsia"/>
                      <w:color w:val="auto"/>
                      <w:szCs w:val="21"/>
                    </w:rPr>
                  </w:pPr>
                  <w:r>
                    <w:rPr>
                      <w:rFonts w:eastAsiaTheme="majorEastAsia"/>
                      <w:color w:val="auto"/>
                      <w:szCs w:val="21"/>
                    </w:rPr>
                    <w:t>符合</w:t>
                  </w:r>
                </w:p>
              </w:tc>
            </w:tr>
            <w:tr w14:paraId="07C0D6BC">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14:paraId="2B038F58">
                  <w:pPr>
                    <w:autoSpaceDE w:val="0"/>
                    <w:autoSpaceDN w:val="0"/>
                    <w:spacing w:line="276" w:lineRule="auto"/>
                    <w:jc w:val="center"/>
                    <w:rPr>
                      <w:rFonts w:eastAsiaTheme="majorEastAsia"/>
                      <w:color w:val="auto"/>
                      <w:szCs w:val="21"/>
                    </w:rPr>
                  </w:pPr>
                </w:p>
              </w:tc>
              <w:tc>
                <w:tcPr>
                  <w:tcW w:w="0" w:type="auto"/>
                  <w:vMerge w:val="continue"/>
                  <w:vAlign w:val="center"/>
                </w:tcPr>
                <w:p w14:paraId="20ABECAB">
                  <w:pPr>
                    <w:autoSpaceDE w:val="0"/>
                    <w:autoSpaceDN w:val="0"/>
                    <w:spacing w:line="276" w:lineRule="auto"/>
                    <w:jc w:val="center"/>
                    <w:rPr>
                      <w:rFonts w:eastAsiaTheme="majorEastAsia"/>
                      <w:color w:val="auto"/>
                      <w:szCs w:val="21"/>
                    </w:rPr>
                  </w:pPr>
                </w:p>
              </w:tc>
              <w:tc>
                <w:tcPr>
                  <w:tcW w:w="0" w:type="auto"/>
                  <w:vMerge w:val="continue"/>
                  <w:vAlign w:val="center"/>
                </w:tcPr>
                <w:p w14:paraId="3BE92BA5">
                  <w:pPr>
                    <w:autoSpaceDE w:val="0"/>
                    <w:autoSpaceDN w:val="0"/>
                    <w:spacing w:line="276" w:lineRule="auto"/>
                    <w:jc w:val="center"/>
                    <w:rPr>
                      <w:rFonts w:eastAsiaTheme="majorEastAsia"/>
                      <w:color w:val="auto"/>
                      <w:szCs w:val="21"/>
                    </w:rPr>
                  </w:pPr>
                </w:p>
              </w:tc>
              <w:tc>
                <w:tcPr>
                  <w:tcW w:w="7487" w:type="dxa"/>
                  <w:vAlign w:val="center"/>
                </w:tcPr>
                <w:p w14:paraId="6BB44FDF">
                  <w:pPr>
                    <w:autoSpaceDE w:val="0"/>
                    <w:autoSpaceDN w:val="0"/>
                    <w:spacing w:line="276" w:lineRule="auto"/>
                    <w:jc w:val="center"/>
                    <w:rPr>
                      <w:color w:val="auto"/>
                      <w:szCs w:val="21"/>
                    </w:rPr>
                  </w:pPr>
                  <w:r>
                    <w:rPr>
                      <w:color w:val="auto"/>
                      <w:szCs w:val="21"/>
                      <w:shd w:val="clear" w:color="auto" w:fill="FFFFFF"/>
                    </w:rPr>
                    <w:t>27.</w:t>
                  </w:r>
                  <w:r>
                    <w:rPr>
                      <w:rFonts w:hAnsi="宋体"/>
                      <w:color w:val="auto"/>
                      <w:szCs w:val="21"/>
                      <w:shd w:val="clear" w:color="auto" w:fill="FFFFFF"/>
                    </w:rPr>
                    <w:t>严格实施行业内新建项目重点污染物排放等量或减量置换，煤炭、水泥等产能过剩行业实施重点污染物排放等量或减量置换。</w:t>
                  </w:r>
                  <w:r>
                    <w:rPr>
                      <w:color w:val="auto"/>
                      <w:szCs w:val="21"/>
                      <w:shd w:val="clear" w:color="auto" w:fill="FFFFFF"/>
                    </w:rPr>
                    <w:t>30.</w:t>
                  </w:r>
                  <w:r>
                    <w:rPr>
                      <w:rFonts w:hAnsi="宋体"/>
                      <w:color w:val="auto"/>
                      <w:szCs w:val="21"/>
                      <w:shd w:val="clear" w:color="auto" w:fill="FFFFFF"/>
                    </w:rPr>
                    <w:t>严格执行国家鼓励和淘汰的用水技术、工艺、设备、产品目录及高耗水行业取用水定额标准，开展水平衡测试，严格用水定额管理。</w:t>
                  </w:r>
                  <w:r>
                    <w:rPr>
                      <w:color w:val="auto"/>
                      <w:szCs w:val="21"/>
                      <w:shd w:val="clear" w:color="auto" w:fill="FFFFFF"/>
                    </w:rPr>
                    <w:t>31.</w:t>
                  </w:r>
                  <w:r>
                    <w:rPr>
                      <w:rFonts w:hAnsi="宋体"/>
                      <w:color w:val="auto"/>
                      <w:szCs w:val="21"/>
                      <w:shd w:val="clear" w:color="auto" w:fill="FFFFFF"/>
                    </w:rPr>
                    <w:t>严格限值高</w:t>
                  </w:r>
                  <w:r>
                    <w:rPr>
                      <w:color w:val="auto"/>
                      <w:szCs w:val="21"/>
                      <w:shd w:val="clear" w:color="auto" w:fill="FFFFFF"/>
                    </w:rPr>
                    <w:t>VOCs</w:t>
                  </w:r>
                  <w:r>
                    <w:rPr>
                      <w:rFonts w:hAnsi="宋体"/>
                      <w:color w:val="auto"/>
                      <w:szCs w:val="21"/>
                      <w:shd w:val="clear" w:color="auto" w:fill="FFFFFF"/>
                    </w:rPr>
                    <w:t>排放化工类建设项目。</w:t>
                  </w:r>
                </w:p>
              </w:tc>
              <w:tc>
                <w:tcPr>
                  <w:tcW w:w="3341" w:type="dxa"/>
                  <w:vAlign w:val="center"/>
                </w:tcPr>
                <w:p w14:paraId="0D6D015E">
                  <w:pPr>
                    <w:autoSpaceDE w:val="0"/>
                    <w:autoSpaceDN w:val="0"/>
                    <w:spacing w:line="276" w:lineRule="auto"/>
                    <w:jc w:val="center"/>
                    <w:rPr>
                      <w:color w:val="auto"/>
                      <w:szCs w:val="21"/>
                    </w:rPr>
                  </w:pPr>
                  <w:r>
                    <w:rPr>
                      <w:rFonts w:hAnsi="宋体"/>
                      <w:color w:val="auto"/>
                      <w:szCs w:val="21"/>
                    </w:rPr>
                    <w:t>本项目不属于重点污染物排放等量或减量置换、养殖、</w:t>
                  </w:r>
                  <w:r>
                    <w:rPr>
                      <w:rFonts w:hAnsi="宋体"/>
                      <w:color w:val="auto"/>
                      <w:szCs w:val="21"/>
                      <w:shd w:val="clear" w:color="auto" w:fill="FFFFFF"/>
                    </w:rPr>
                    <w:t>高</w:t>
                  </w:r>
                  <w:r>
                    <w:rPr>
                      <w:color w:val="auto"/>
                      <w:szCs w:val="21"/>
                      <w:shd w:val="clear" w:color="auto" w:fill="FFFFFF"/>
                    </w:rPr>
                    <w:t>VOCs</w:t>
                  </w:r>
                  <w:r>
                    <w:rPr>
                      <w:rFonts w:hAnsi="宋体"/>
                      <w:color w:val="auto"/>
                      <w:szCs w:val="21"/>
                      <w:shd w:val="clear" w:color="auto" w:fill="FFFFFF"/>
                    </w:rPr>
                    <w:t>排放化工类建设</w:t>
                  </w:r>
                  <w:r>
                    <w:rPr>
                      <w:rFonts w:hAnsi="宋体"/>
                      <w:color w:val="auto"/>
                      <w:szCs w:val="21"/>
                    </w:rPr>
                    <w:t>项目。</w:t>
                  </w:r>
                </w:p>
              </w:tc>
              <w:tc>
                <w:tcPr>
                  <w:tcW w:w="0" w:type="auto"/>
                  <w:vAlign w:val="center"/>
                </w:tcPr>
                <w:p w14:paraId="6D0637EF">
                  <w:pPr>
                    <w:autoSpaceDE w:val="0"/>
                    <w:autoSpaceDN w:val="0"/>
                    <w:spacing w:line="276" w:lineRule="auto"/>
                    <w:jc w:val="center"/>
                    <w:rPr>
                      <w:rFonts w:eastAsiaTheme="majorEastAsia"/>
                      <w:color w:val="auto"/>
                      <w:szCs w:val="21"/>
                    </w:rPr>
                  </w:pPr>
                  <w:r>
                    <w:rPr>
                      <w:rFonts w:eastAsiaTheme="majorEastAsia"/>
                      <w:color w:val="auto"/>
                      <w:szCs w:val="21"/>
                    </w:rPr>
                    <w:t>符合</w:t>
                  </w:r>
                </w:p>
              </w:tc>
            </w:tr>
            <w:tr w14:paraId="644008D9">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14:paraId="17DEAE59">
                  <w:pPr>
                    <w:autoSpaceDE w:val="0"/>
                    <w:autoSpaceDN w:val="0"/>
                    <w:spacing w:line="276" w:lineRule="auto"/>
                    <w:jc w:val="center"/>
                    <w:rPr>
                      <w:rFonts w:eastAsiaTheme="majorEastAsia"/>
                      <w:color w:val="auto"/>
                      <w:szCs w:val="21"/>
                    </w:rPr>
                  </w:pPr>
                </w:p>
              </w:tc>
              <w:tc>
                <w:tcPr>
                  <w:tcW w:w="0" w:type="auto"/>
                  <w:vMerge w:val="continue"/>
                  <w:vAlign w:val="center"/>
                </w:tcPr>
                <w:p w14:paraId="41403823">
                  <w:pPr>
                    <w:autoSpaceDE w:val="0"/>
                    <w:autoSpaceDN w:val="0"/>
                    <w:spacing w:line="276" w:lineRule="auto"/>
                    <w:jc w:val="center"/>
                    <w:rPr>
                      <w:rFonts w:eastAsiaTheme="majorEastAsia"/>
                      <w:color w:val="auto"/>
                      <w:szCs w:val="21"/>
                    </w:rPr>
                  </w:pPr>
                </w:p>
              </w:tc>
              <w:tc>
                <w:tcPr>
                  <w:tcW w:w="0" w:type="auto"/>
                  <w:vMerge w:val="continue"/>
                  <w:vAlign w:val="center"/>
                </w:tcPr>
                <w:p w14:paraId="21E96DA4">
                  <w:pPr>
                    <w:autoSpaceDE w:val="0"/>
                    <w:autoSpaceDN w:val="0"/>
                    <w:spacing w:line="276" w:lineRule="auto"/>
                    <w:jc w:val="center"/>
                    <w:rPr>
                      <w:rFonts w:eastAsiaTheme="majorEastAsia"/>
                      <w:color w:val="auto"/>
                      <w:szCs w:val="21"/>
                    </w:rPr>
                  </w:pPr>
                </w:p>
              </w:tc>
              <w:tc>
                <w:tcPr>
                  <w:tcW w:w="7487" w:type="dxa"/>
                  <w:vAlign w:val="center"/>
                </w:tcPr>
                <w:p w14:paraId="3D54D265">
                  <w:pPr>
                    <w:autoSpaceDE w:val="0"/>
                    <w:autoSpaceDN w:val="0"/>
                    <w:spacing w:line="276" w:lineRule="auto"/>
                    <w:jc w:val="center"/>
                    <w:rPr>
                      <w:color w:val="auto"/>
                      <w:szCs w:val="21"/>
                    </w:rPr>
                  </w:pPr>
                  <w:r>
                    <w:rPr>
                      <w:color w:val="auto"/>
                      <w:szCs w:val="21"/>
                      <w:shd w:val="clear" w:color="auto" w:fill="FFFFFF"/>
                    </w:rPr>
                    <w:t>33.</w:t>
                  </w:r>
                  <w:r>
                    <w:rPr>
                      <w:rFonts w:hAnsi="宋体"/>
                      <w:color w:val="auto"/>
                      <w:szCs w:val="21"/>
                      <w:shd w:val="clear" w:color="auto" w:fill="FFFFFF"/>
                    </w:rPr>
                    <w:t>快城市建成区、重点流域的重污染企业和危险化学品企业搬迁改造，加快推进危险化学品生产企业搬迁改造工程。</w:t>
                  </w:r>
                  <w:r>
                    <w:rPr>
                      <w:color w:val="auto"/>
                      <w:szCs w:val="21"/>
                      <w:shd w:val="clear" w:color="auto" w:fill="FFFFFF"/>
                    </w:rPr>
                    <w:t>34.</w:t>
                  </w:r>
                  <w:r>
                    <w:rPr>
                      <w:rFonts w:hAnsi="宋体"/>
                      <w:color w:val="auto"/>
                      <w:szCs w:val="21"/>
                      <w:shd w:val="clear" w:color="auto" w:fill="FFFFFF"/>
                    </w:rPr>
                    <w:t>对城区内已建重污染企业要结合产业结构调整实施搬迁改造。</w:t>
                  </w:r>
                  <w:r>
                    <w:rPr>
                      <w:color w:val="auto"/>
                      <w:szCs w:val="21"/>
                      <w:shd w:val="clear" w:color="auto" w:fill="FFFFFF"/>
                    </w:rPr>
                    <w:t>35.</w:t>
                  </w:r>
                  <w:r>
                    <w:rPr>
                      <w:rFonts w:hAnsi="宋体"/>
                      <w:color w:val="auto"/>
                      <w:szCs w:val="21"/>
                      <w:shd w:val="clear" w:color="auto" w:fill="FFFFFF"/>
                    </w:rPr>
                    <w:t>城市规划区内已建的大气污染严重的建设项目应当搬迁、改造，城市建成区应当在规定的时间内完成重污染企业搬迁、改造或者关闭退出。</w:t>
                  </w:r>
                  <w:r>
                    <w:rPr>
                      <w:color w:val="auto"/>
                      <w:szCs w:val="21"/>
                      <w:shd w:val="clear" w:color="auto" w:fill="FFFFFF"/>
                    </w:rPr>
                    <w:t>36.</w:t>
                  </w:r>
                  <w:r>
                    <w:rPr>
                      <w:rFonts w:hAnsi="宋体"/>
                      <w:color w:val="auto"/>
                      <w:szCs w:val="21"/>
                      <w:shd w:val="clear" w:color="auto" w:fill="FFFFFF"/>
                    </w:rPr>
                    <w:t>严格执行环境保护法律法规，对超过大气和水等污染物排放标准排污，以及超过重点污染物总量控制指标排污的企业，责令限制生产、停产整治等；情节严重的，报经有批准权的地方政府批准，责令停业、关闭。依法打击违反固体废物管理法律法规行为。</w:t>
                  </w:r>
                  <w:r>
                    <w:rPr>
                      <w:color w:val="auto"/>
                      <w:szCs w:val="21"/>
                      <w:shd w:val="clear" w:color="auto" w:fill="FFFFFF"/>
                    </w:rPr>
                    <w:t>37.</w:t>
                  </w:r>
                  <w:r>
                    <w:rPr>
                      <w:rFonts w:hAnsi="宋体"/>
                      <w:color w:val="auto"/>
                      <w:szCs w:val="21"/>
                      <w:shd w:val="clear" w:color="auto" w:fill="FFFFFF"/>
                    </w:rPr>
                    <w:t>加快区域产业调整。加快城市建成区重污染企业搬迁改造或关闭退出；城市钢铁企业要切实采取彻底关停、转型发展、就地改造、域外搬迁等方式，推动转型升级。加大现有化工园区整治力度。退城企业，逾期不退城的予以停产。</w:t>
                  </w:r>
                  <w:r>
                    <w:rPr>
                      <w:color w:val="auto"/>
                      <w:szCs w:val="21"/>
                      <w:shd w:val="clear" w:color="auto" w:fill="FFFFFF"/>
                    </w:rPr>
                    <w:t>39.</w:t>
                  </w:r>
                  <w:r>
                    <w:rPr>
                      <w:rFonts w:hAnsi="宋体"/>
                      <w:color w:val="auto"/>
                      <w:szCs w:val="21"/>
                      <w:shd w:val="clear" w:color="auto" w:fill="FFFFFF"/>
                    </w:rPr>
                    <w:t>对违反资源环境法律法规、规划，污染环境、破坏生态、乱采滥挖的露天矿山，依法予以关闭；对污染治理不规范的露天矿山，依法责令停产整治，对拒不停产或擅自恢复生产的依法强制关闭。</w:t>
                  </w:r>
                  <w:r>
                    <w:rPr>
                      <w:color w:val="auto"/>
                      <w:szCs w:val="21"/>
                      <w:shd w:val="clear" w:color="auto" w:fill="FFFFFF"/>
                    </w:rPr>
                    <w:t>40.</w:t>
                  </w:r>
                  <w:r>
                    <w:rPr>
                      <w:rFonts w:hAnsi="宋体"/>
                      <w:color w:val="auto"/>
                      <w:szCs w:val="21"/>
                      <w:shd w:val="clear" w:color="auto" w:fill="FFFFFF"/>
                    </w:rPr>
                    <w:t>对热效率低下、敞开未封闭，装备简易落后、自动化程度低，无组织排放突出，以及无治理设施或治理设施工艺落后等严重污染环境的工业炉窑，依法责令停业关闭。</w:t>
                  </w:r>
                  <w:r>
                    <w:rPr>
                      <w:color w:val="auto"/>
                      <w:szCs w:val="21"/>
                      <w:shd w:val="clear" w:color="auto" w:fill="FFFFFF"/>
                    </w:rPr>
                    <w:t>41.</w:t>
                  </w:r>
                  <w:r>
                    <w:rPr>
                      <w:rFonts w:hAnsi="宋体"/>
                      <w:color w:val="auto"/>
                      <w:szCs w:val="21"/>
                      <w:shd w:val="clear" w:color="auto" w:fill="FFFFFF"/>
                    </w:rPr>
                    <w:t>对以煤、石油焦、渣油、重油等为燃料的工业炉窑，加快使用清洁低碳能源以及利用工厂余热、电厂热力等进行替代。重点区域禁止掺烧高硫石油焦（硫含量大于</w:t>
                  </w:r>
                  <w:r>
                    <w:rPr>
                      <w:color w:val="auto"/>
                      <w:szCs w:val="21"/>
                      <w:shd w:val="clear" w:color="auto" w:fill="FFFFFF"/>
                    </w:rPr>
                    <w:t>3%</w:t>
                  </w:r>
                  <w:r>
                    <w:rPr>
                      <w:rFonts w:hAnsi="宋体"/>
                      <w:color w:val="auto"/>
                      <w:szCs w:val="21"/>
                      <w:shd w:val="clear" w:color="auto" w:fill="FFFFFF"/>
                    </w:rPr>
                    <w:t>）。玻璃行业全面禁止掺烧高硫石油焦。</w:t>
                  </w:r>
                  <w:r>
                    <w:rPr>
                      <w:color w:val="auto"/>
                      <w:szCs w:val="21"/>
                      <w:shd w:val="clear" w:color="auto" w:fill="FFFFFF"/>
                    </w:rPr>
                    <w:t>42.</w:t>
                  </w:r>
                  <w:r>
                    <w:rPr>
                      <w:rFonts w:hAnsi="宋体"/>
                      <w:color w:val="auto"/>
                      <w:szCs w:val="21"/>
                      <w:shd w:val="clear" w:color="auto" w:fill="FFFFFF"/>
                    </w:rPr>
                    <w:t>重点区域取缔燃煤热风炉，基本淘汰热电联产供热管网覆盖范围内的燃煤加热、烘干炉（窑）。加快推动铸造（</w:t>
                  </w:r>
                  <w:r>
                    <w:rPr>
                      <w:color w:val="auto"/>
                      <w:szCs w:val="21"/>
                      <w:shd w:val="clear" w:color="auto" w:fill="FFFFFF"/>
                    </w:rPr>
                    <w:t>10</w:t>
                  </w:r>
                  <w:r>
                    <w:rPr>
                      <w:rFonts w:hAnsi="宋体"/>
                      <w:color w:val="auto"/>
                      <w:szCs w:val="21"/>
                      <w:shd w:val="clear" w:color="auto" w:fill="FFFFFF"/>
                    </w:rPr>
                    <w:t>吨</w:t>
                  </w:r>
                  <w:r>
                    <w:rPr>
                      <w:color w:val="auto"/>
                      <w:szCs w:val="21"/>
                      <w:shd w:val="clear" w:color="auto" w:fill="FFFFFF"/>
                    </w:rPr>
                    <w:t>/</w:t>
                  </w:r>
                  <w:r>
                    <w:rPr>
                      <w:rFonts w:hAnsi="宋体"/>
                      <w:color w:val="auto"/>
                      <w:szCs w:val="21"/>
                      <w:shd w:val="clear" w:color="auto" w:fill="FFFFFF"/>
                    </w:rPr>
                    <w:t>小时及以下）、岩棉等行业冲天炉改为电炉。</w:t>
                  </w:r>
                  <w:r>
                    <w:rPr>
                      <w:color w:val="auto"/>
                      <w:szCs w:val="21"/>
                      <w:shd w:val="clear" w:color="auto" w:fill="FFFFFF"/>
                    </w:rPr>
                    <w:t>43.</w:t>
                  </w:r>
                  <w:r>
                    <w:rPr>
                      <w:rFonts w:hAnsi="宋体"/>
                      <w:color w:val="auto"/>
                      <w:szCs w:val="21"/>
                      <w:shd w:val="clear" w:color="auto" w:fill="FFFFFF"/>
                    </w:rPr>
                    <w:t>严格执行水泥熟料、平板玻璃产能置换要求，实施水泥常态化错峰生产，有序退出低效产能。推进燃煤窑炉清洁能源替代，逐步淘汰钢铁企业煤气发生炉。</w:t>
                  </w:r>
                </w:p>
              </w:tc>
              <w:tc>
                <w:tcPr>
                  <w:tcW w:w="3341" w:type="dxa"/>
                  <w:vAlign w:val="center"/>
                </w:tcPr>
                <w:p w14:paraId="1A9470B6">
                  <w:pPr>
                    <w:autoSpaceDE w:val="0"/>
                    <w:autoSpaceDN w:val="0"/>
                    <w:spacing w:line="276" w:lineRule="auto"/>
                    <w:jc w:val="center"/>
                    <w:rPr>
                      <w:color w:val="auto"/>
                      <w:szCs w:val="21"/>
                    </w:rPr>
                  </w:pPr>
                  <w:r>
                    <w:rPr>
                      <w:rFonts w:hAnsi="宋体"/>
                      <w:color w:val="auto"/>
                      <w:szCs w:val="21"/>
                    </w:rPr>
                    <w:t>本项目不涉及</w:t>
                  </w:r>
                  <w:r>
                    <w:rPr>
                      <w:rFonts w:hAnsi="宋体"/>
                      <w:color w:val="auto"/>
                      <w:szCs w:val="21"/>
                      <w:shd w:val="clear" w:color="auto" w:fill="FFFFFF"/>
                    </w:rPr>
                    <w:t>危险化学品生产企业搬迁改造工程、已建重污染企业、已建大气污染严重；本项目现有厂区工业炉窑采用天然气为燃料，不属于以煤、石油焦、渣油、重油等为燃料的工业炉窑；本项目不属于重点区域禁止掺烧高硫石油焦（硫含量大于</w:t>
                  </w:r>
                  <w:r>
                    <w:rPr>
                      <w:color w:val="auto"/>
                      <w:szCs w:val="21"/>
                      <w:shd w:val="clear" w:color="auto" w:fill="FFFFFF"/>
                    </w:rPr>
                    <w:t>3%</w:t>
                  </w:r>
                  <w:r>
                    <w:rPr>
                      <w:rFonts w:hAnsi="宋体"/>
                      <w:color w:val="auto"/>
                      <w:szCs w:val="21"/>
                      <w:shd w:val="clear" w:color="auto" w:fill="FFFFFF"/>
                    </w:rPr>
                    <w:t>）的玻璃行业。</w:t>
                  </w:r>
                </w:p>
              </w:tc>
              <w:tc>
                <w:tcPr>
                  <w:tcW w:w="0" w:type="auto"/>
                  <w:vAlign w:val="center"/>
                </w:tcPr>
                <w:p w14:paraId="4CE804E2">
                  <w:pPr>
                    <w:autoSpaceDE w:val="0"/>
                    <w:autoSpaceDN w:val="0"/>
                    <w:spacing w:line="276" w:lineRule="auto"/>
                    <w:jc w:val="center"/>
                    <w:rPr>
                      <w:rFonts w:eastAsiaTheme="majorEastAsia"/>
                      <w:color w:val="auto"/>
                      <w:szCs w:val="21"/>
                    </w:rPr>
                  </w:pPr>
                  <w:r>
                    <w:rPr>
                      <w:rFonts w:eastAsiaTheme="majorEastAsia"/>
                      <w:color w:val="auto"/>
                      <w:szCs w:val="21"/>
                    </w:rPr>
                    <w:t>符合</w:t>
                  </w:r>
                </w:p>
              </w:tc>
            </w:tr>
            <w:tr w14:paraId="646BD58C">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14:paraId="61AF7C4F">
                  <w:pPr>
                    <w:autoSpaceDE w:val="0"/>
                    <w:autoSpaceDN w:val="0"/>
                    <w:spacing w:line="276" w:lineRule="auto"/>
                    <w:jc w:val="center"/>
                    <w:rPr>
                      <w:rFonts w:eastAsiaTheme="majorEastAsia"/>
                      <w:color w:val="auto"/>
                      <w:szCs w:val="21"/>
                    </w:rPr>
                  </w:pPr>
                </w:p>
              </w:tc>
              <w:tc>
                <w:tcPr>
                  <w:tcW w:w="0" w:type="auto"/>
                  <w:vMerge w:val="continue"/>
                  <w:vAlign w:val="center"/>
                </w:tcPr>
                <w:p w14:paraId="0300BC59">
                  <w:pPr>
                    <w:autoSpaceDE w:val="0"/>
                    <w:autoSpaceDN w:val="0"/>
                    <w:spacing w:line="276" w:lineRule="auto"/>
                    <w:jc w:val="center"/>
                    <w:rPr>
                      <w:rFonts w:eastAsiaTheme="majorEastAsia"/>
                      <w:color w:val="auto"/>
                      <w:szCs w:val="21"/>
                    </w:rPr>
                  </w:pPr>
                </w:p>
              </w:tc>
              <w:tc>
                <w:tcPr>
                  <w:tcW w:w="0" w:type="auto"/>
                  <w:vMerge w:val="restart"/>
                  <w:vAlign w:val="center"/>
                </w:tcPr>
                <w:p w14:paraId="0C59AB6C">
                  <w:pPr>
                    <w:autoSpaceDE w:val="0"/>
                    <w:autoSpaceDN w:val="0"/>
                    <w:spacing w:line="276" w:lineRule="auto"/>
                    <w:jc w:val="center"/>
                    <w:rPr>
                      <w:rFonts w:eastAsiaTheme="majorEastAsia"/>
                      <w:color w:val="auto"/>
                      <w:szCs w:val="21"/>
                    </w:rPr>
                  </w:pPr>
                  <w:r>
                    <w:rPr>
                      <w:rFonts w:eastAsiaTheme="majorEastAsia"/>
                      <w:color w:val="auto"/>
                      <w:szCs w:val="21"/>
                    </w:rPr>
                    <w:t>污染物排放管</w:t>
                  </w:r>
                </w:p>
                <w:p w14:paraId="69C98035">
                  <w:pPr>
                    <w:autoSpaceDE w:val="0"/>
                    <w:autoSpaceDN w:val="0"/>
                    <w:spacing w:line="276" w:lineRule="auto"/>
                    <w:jc w:val="center"/>
                    <w:rPr>
                      <w:rFonts w:eastAsiaTheme="majorEastAsia"/>
                      <w:color w:val="auto"/>
                      <w:szCs w:val="21"/>
                    </w:rPr>
                  </w:pPr>
                  <w:r>
                    <w:rPr>
                      <w:rFonts w:eastAsiaTheme="majorEastAsia"/>
                      <w:color w:val="auto"/>
                      <w:szCs w:val="21"/>
                    </w:rPr>
                    <w:t>控</w:t>
                  </w:r>
                </w:p>
              </w:tc>
              <w:tc>
                <w:tcPr>
                  <w:tcW w:w="7487" w:type="dxa"/>
                  <w:vAlign w:val="center"/>
                </w:tcPr>
                <w:p w14:paraId="58F44CC1">
                  <w:pPr>
                    <w:autoSpaceDE w:val="0"/>
                    <w:autoSpaceDN w:val="0"/>
                    <w:spacing w:line="276" w:lineRule="auto"/>
                    <w:jc w:val="center"/>
                    <w:rPr>
                      <w:color w:val="auto"/>
                      <w:szCs w:val="21"/>
                    </w:rPr>
                  </w:pPr>
                  <w:r>
                    <w:rPr>
                      <w:color w:val="auto"/>
                      <w:szCs w:val="21"/>
                    </w:rPr>
                    <w:t>46.</w:t>
                  </w:r>
                  <w:r>
                    <w:rPr>
                      <w:rFonts w:hAnsi="宋体"/>
                      <w:color w:val="auto"/>
                      <w:szCs w:val="21"/>
                    </w:rPr>
                    <w:t>环境空气质量持续改善，全省细颗粒物（</w:t>
                  </w:r>
                  <w:r>
                    <w:rPr>
                      <w:color w:val="auto"/>
                      <w:szCs w:val="21"/>
                    </w:rPr>
                    <w:t>PM</w:t>
                  </w:r>
                  <w:r>
                    <w:rPr>
                      <w:color w:val="auto"/>
                      <w:szCs w:val="21"/>
                      <w:vertAlign w:val="subscript"/>
                    </w:rPr>
                    <w:t>2.5</w:t>
                  </w:r>
                  <w:r>
                    <w:rPr>
                      <w:rFonts w:hAnsi="宋体"/>
                      <w:color w:val="auto"/>
                      <w:szCs w:val="21"/>
                    </w:rPr>
                    <w:t>）浓度总体达标，基本消除重污染天气，优良天数比率进一步提升。</w:t>
                  </w:r>
                  <w:r>
                    <w:rPr>
                      <w:color w:val="auto"/>
                      <w:szCs w:val="21"/>
                    </w:rPr>
                    <w:t>47.</w:t>
                  </w:r>
                  <w:r>
                    <w:rPr>
                      <w:rFonts w:hAnsi="宋体"/>
                      <w:color w:val="auto"/>
                      <w:szCs w:val="21"/>
                    </w:rPr>
                    <w:t>化学需氧量、氨氮、氮氧化物、挥发性有机物等</w:t>
                  </w:r>
                  <w:r>
                    <w:rPr>
                      <w:color w:val="auto"/>
                      <w:szCs w:val="21"/>
                    </w:rPr>
                    <w:t>4</w:t>
                  </w:r>
                  <w:r>
                    <w:rPr>
                      <w:rFonts w:hAnsi="宋体"/>
                      <w:color w:val="auto"/>
                      <w:szCs w:val="21"/>
                    </w:rPr>
                    <w:t>项主要污染物重点工程减排量分别累计达到</w:t>
                  </w:r>
                  <w:r>
                    <w:rPr>
                      <w:color w:val="auto"/>
                      <w:szCs w:val="21"/>
                    </w:rPr>
                    <w:t>13.67</w:t>
                  </w:r>
                  <w:r>
                    <w:rPr>
                      <w:rFonts w:hAnsi="宋体"/>
                      <w:color w:val="auto"/>
                      <w:szCs w:val="21"/>
                    </w:rPr>
                    <w:t>万吨、</w:t>
                  </w:r>
                  <w:r>
                    <w:rPr>
                      <w:color w:val="auto"/>
                      <w:szCs w:val="21"/>
                    </w:rPr>
                    <w:t>0.69</w:t>
                  </w:r>
                  <w:r>
                    <w:rPr>
                      <w:rFonts w:hAnsi="宋体"/>
                      <w:color w:val="auto"/>
                      <w:szCs w:val="21"/>
                    </w:rPr>
                    <w:t>万吨、</w:t>
                  </w:r>
                  <w:r>
                    <w:rPr>
                      <w:color w:val="auto"/>
                      <w:szCs w:val="21"/>
                    </w:rPr>
                    <w:t>8.3</w:t>
                  </w:r>
                  <w:r>
                    <w:rPr>
                      <w:rFonts w:hAnsi="宋体"/>
                      <w:color w:val="auto"/>
                      <w:szCs w:val="21"/>
                    </w:rPr>
                    <w:t>万吨、</w:t>
                  </w:r>
                  <w:r>
                    <w:rPr>
                      <w:color w:val="auto"/>
                      <w:szCs w:val="21"/>
                    </w:rPr>
                    <w:t>3.07</w:t>
                  </w:r>
                  <w:r>
                    <w:rPr>
                      <w:rFonts w:hAnsi="宋体"/>
                      <w:color w:val="auto"/>
                      <w:szCs w:val="21"/>
                    </w:rPr>
                    <w:t>万吨。</w:t>
                  </w:r>
                  <w:r>
                    <w:rPr>
                      <w:color w:val="auto"/>
                      <w:szCs w:val="21"/>
                    </w:rPr>
                    <w:t>48.</w:t>
                  </w:r>
                  <w:r>
                    <w:rPr>
                      <w:rFonts w:hAnsi="宋体"/>
                      <w:color w:val="auto"/>
                      <w:szCs w:val="21"/>
                    </w:rPr>
                    <w:t>严格合理控制煤炭消费增长，大气污染防治重点区域内新、改、扩建用煤项目实施煤炭消费等量或减量替代。重点削减非电力用煤，各市将减煤目标按年度分解落实到重点耗煤企业，实施</w:t>
                  </w:r>
                  <w:r>
                    <w:rPr>
                      <w:color w:val="auto"/>
                      <w:szCs w:val="21"/>
                    </w:rPr>
                    <w:t>“</w:t>
                  </w:r>
                  <w:r>
                    <w:rPr>
                      <w:rFonts w:hAnsi="宋体"/>
                      <w:color w:val="auto"/>
                      <w:szCs w:val="21"/>
                    </w:rPr>
                    <w:t>一企一策</w:t>
                  </w:r>
                  <w:r>
                    <w:rPr>
                      <w:color w:val="auto"/>
                      <w:szCs w:val="21"/>
                    </w:rPr>
                    <w:t>”</w:t>
                  </w:r>
                  <w:r>
                    <w:rPr>
                      <w:rFonts w:hAnsi="宋体"/>
                      <w:color w:val="auto"/>
                      <w:szCs w:val="21"/>
                    </w:rPr>
                    <w:t>减煤诊断。</w:t>
                  </w:r>
                  <w:r>
                    <w:rPr>
                      <w:color w:val="auto"/>
                      <w:szCs w:val="21"/>
                    </w:rPr>
                    <w:t>49.</w:t>
                  </w:r>
                  <w:r>
                    <w:rPr>
                      <w:rFonts w:hAnsi="宋体"/>
                      <w:color w:val="auto"/>
                      <w:szCs w:val="21"/>
                    </w:rPr>
                    <w:t>新建、改建、扩建排放重点大气污染物的项目不符合总量控制要求的，不得通过环境影响评价。</w:t>
                  </w:r>
                  <w:r>
                    <w:rPr>
                      <w:color w:val="auto"/>
                      <w:szCs w:val="21"/>
                    </w:rPr>
                    <w:t>17.</w:t>
                  </w:r>
                  <w:r>
                    <w:rPr>
                      <w:rFonts w:hAnsi="宋体"/>
                      <w:color w:val="auto"/>
                      <w:szCs w:val="21"/>
                    </w:rPr>
                    <w:t>按照省政府下达给区域各市的允许排放量相关要求执行。</w:t>
                  </w:r>
                  <w:r>
                    <w:rPr>
                      <w:color w:val="auto"/>
                      <w:szCs w:val="21"/>
                    </w:rPr>
                    <w:t>54.</w:t>
                  </w:r>
                  <w:r>
                    <w:rPr>
                      <w:rFonts w:hAnsi="宋体"/>
                      <w:color w:val="auto"/>
                      <w:szCs w:val="21"/>
                    </w:rPr>
                    <w:t>全面提升锅炉烟气排放标准。全市燃气锅炉氮氧化物浓度不高于</w:t>
                  </w:r>
                  <w:r>
                    <w:rPr>
                      <w:color w:val="auto"/>
                      <w:szCs w:val="21"/>
                    </w:rPr>
                    <w:t>50</w:t>
                  </w:r>
                  <w:r>
                    <w:rPr>
                      <w:rFonts w:hAnsi="宋体"/>
                      <w:color w:val="auto"/>
                      <w:szCs w:val="21"/>
                    </w:rPr>
                    <w:t>毫克</w:t>
                  </w:r>
                  <w:r>
                    <w:rPr>
                      <w:color w:val="auto"/>
                      <w:szCs w:val="21"/>
                    </w:rPr>
                    <w:t>/</w:t>
                  </w:r>
                  <w:r>
                    <w:rPr>
                      <w:rFonts w:hAnsi="宋体"/>
                      <w:color w:val="auto"/>
                      <w:szCs w:val="21"/>
                    </w:rPr>
                    <w:t>立方米；柴油锅炉污染物排放达到或优于燃气锅炉特别排放限值要求。</w:t>
                  </w:r>
                </w:p>
              </w:tc>
              <w:tc>
                <w:tcPr>
                  <w:tcW w:w="3341" w:type="dxa"/>
                  <w:vAlign w:val="center"/>
                </w:tcPr>
                <w:p w14:paraId="7FC75B0B">
                  <w:pPr>
                    <w:autoSpaceDE w:val="0"/>
                    <w:autoSpaceDN w:val="0"/>
                    <w:spacing w:line="276" w:lineRule="auto"/>
                    <w:jc w:val="center"/>
                    <w:rPr>
                      <w:color w:val="auto"/>
                      <w:szCs w:val="21"/>
                    </w:rPr>
                  </w:pPr>
                  <w:r>
                    <w:rPr>
                      <w:rFonts w:hAnsi="宋体"/>
                      <w:color w:val="auto"/>
                      <w:szCs w:val="21"/>
                    </w:rPr>
                    <w:t>本项目不使用煤炭，不涉及锅炉，不新增大气污染物排放量。</w:t>
                  </w:r>
                </w:p>
              </w:tc>
              <w:tc>
                <w:tcPr>
                  <w:tcW w:w="0" w:type="auto"/>
                  <w:vAlign w:val="center"/>
                </w:tcPr>
                <w:p w14:paraId="6272858B">
                  <w:pPr>
                    <w:autoSpaceDE w:val="0"/>
                    <w:autoSpaceDN w:val="0"/>
                    <w:spacing w:line="276" w:lineRule="auto"/>
                    <w:jc w:val="center"/>
                    <w:rPr>
                      <w:rFonts w:eastAsiaTheme="majorEastAsia"/>
                      <w:color w:val="auto"/>
                      <w:szCs w:val="21"/>
                    </w:rPr>
                  </w:pPr>
                  <w:r>
                    <w:rPr>
                      <w:rFonts w:eastAsiaTheme="majorEastAsia"/>
                      <w:color w:val="auto"/>
                      <w:szCs w:val="21"/>
                    </w:rPr>
                    <w:t>符合</w:t>
                  </w:r>
                </w:p>
              </w:tc>
            </w:tr>
            <w:tr w14:paraId="0B562F2D">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14:paraId="71FABED1">
                  <w:pPr>
                    <w:autoSpaceDE w:val="0"/>
                    <w:autoSpaceDN w:val="0"/>
                    <w:spacing w:line="276" w:lineRule="auto"/>
                    <w:jc w:val="center"/>
                    <w:rPr>
                      <w:rFonts w:eastAsiaTheme="majorEastAsia"/>
                      <w:color w:val="auto"/>
                      <w:szCs w:val="21"/>
                    </w:rPr>
                  </w:pPr>
                </w:p>
              </w:tc>
              <w:tc>
                <w:tcPr>
                  <w:tcW w:w="0" w:type="auto"/>
                  <w:vMerge w:val="continue"/>
                  <w:vAlign w:val="center"/>
                </w:tcPr>
                <w:p w14:paraId="5C16B814">
                  <w:pPr>
                    <w:autoSpaceDE w:val="0"/>
                    <w:autoSpaceDN w:val="0"/>
                    <w:spacing w:line="276" w:lineRule="auto"/>
                    <w:jc w:val="center"/>
                    <w:rPr>
                      <w:rFonts w:eastAsiaTheme="majorEastAsia"/>
                      <w:color w:val="auto"/>
                      <w:szCs w:val="21"/>
                    </w:rPr>
                  </w:pPr>
                </w:p>
              </w:tc>
              <w:tc>
                <w:tcPr>
                  <w:tcW w:w="0" w:type="auto"/>
                  <w:vMerge w:val="continue"/>
                  <w:vAlign w:val="center"/>
                </w:tcPr>
                <w:p w14:paraId="2FDDAC83">
                  <w:pPr>
                    <w:autoSpaceDE w:val="0"/>
                    <w:autoSpaceDN w:val="0"/>
                    <w:spacing w:line="276" w:lineRule="auto"/>
                    <w:jc w:val="center"/>
                    <w:rPr>
                      <w:rFonts w:eastAsiaTheme="majorEastAsia"/>
                      <w:color w:val="auto"/>
                      <w:szCs w:val="21"/>
                    </w:rPr>
                  </w:pPr>
                </w:p>
              </w:tc>
              <w:tc>
                <w:tcPr>
                  <w:tcW w:w="7487" w:type="dxa"/>
                  <w:vAlign w:val="center"/>
                </w:tcPr>
                <w:p w14:paraId="0511C806">
                  <w:pPr>
                    <w:autoSpaceDE w:val="0"/>
                    <w:autoSpaceDN w:val="0"/>
                    <w:spacing w:line="276" w:lineRule="auto"/>
                    <w:jc w:val="center"/>
                    <w:rPr>
                      <w:color w:val="auto"/>
                      <w:szCs w:val="21"/>
                    </w:rPr>
                  </w:pPr>
                  <w:r>
                    <w:rPr>
                      <w:color w:val="auto"/>
                      <w:szCs w:val="21"/>
                    </w:rPr>
                    <w:t>50.</w:t>
                  </w:r>
                  <w:r>
                    <w:rPr>
                      <w:rFonts w:hAnsi="宋体"/>
                      <w:color w:val="auto"/>
                      <w:szCs w:val="21"/>
                    </w:rPr>
                    <w:t>进出钢铁企业的铁精矿、煤炭、焦炭等大宗物料和产品采用铁路、水路、管道或管状带式输送机等清洁方式运输比例不低于</w:t>
                  </w:r>
                  <w:r>
                    <w:rPr>
                      <w:color w:val="auto"/>
                      <w:szCs w:val="21"/>
                    </w:rPr>
                    <w:t>80%</w:t>
                  </w:r>
                  <w:r>
                    <w:rPr>
                      <w:rFonts w:hAnsi="宋体"/>
                      <w:color w:val="auto"/>
                      <w:szCs w:val="21"/>
                    </w:rPr>
                    <w:t>；达不到的，汽车运输部分应全部采用新能源汽车或达到国六排放标准的汽车（</w:t>
                  </w:r>
                  <w:r>
                    <w:rPr>
                      <w:color w:val="auto"/>
                      <w:szCs w:val="21"/>
                    </w:rPr>
                    <w:t>2021</w:t>
                  </w:r>
                  <w:r>
                    <w:rPr>
                      <w:rFonts w:hAnsi="宋体"/>
                      <w:color w:val="auto"/>
                      <w:szCs w:val="21"/>
                    </w:rPr>
                    <w:t>年底前可采用国五排放标准的汽车）。</w:t>
                  </w:r>
                  <w:r>
                    <w:rPr>
                      <w:color w:val="auto"/>
                      <w:szCs w:val="21"/>
                    </w:rPr>
                    <w:t>51.</w:t>
                  </w:r>
                  <w:r>
                    <w:rPr>
                      <w:rFonts w:hAnsi="宋体"/>
                      <w:color w:val="auto"/>
                      <w:szCs w:val="21"/>
                    </w:rPr>
                    <w:t>对以煤、石油焦、渣油、重油等为燃料的工业炉窑，加快使用清洁低碳能源以及利用工厂余热、电厂热力等进行替代。</w:t>
                  </w:r>
                  <w:r>
                    <w:rPr>
                      <w:color w:val="auto"/>
                      <w:szCs w:val="21"/>
                    </w:rPr>
                    <w:t>52.</w:t>
                  </w:r>
                  <w:r>
                    <w:rPr>
                      <w:rFonts w:hAnsi="宋体"/>
                      <w:color w:val="auto"/>
                      <w:szCs w:val="21"/>
                    </w:rPr>
                    <w:t>推动具备条件的省级以上园区全部实施循环化改造。（责任单位：省发展改革委，配合单位：省经济和信息化厅等）推动工业园区能源系统整体优化，鼓励工业企业、园区优先使用可再生能源。推进园区电、热、冷、气等多种能源协同的综合能源项目建设。</w:t>
                  </w:r>
                  <w:r>
                    <w:rPr>
                      <w:color w:val="auto"/>
                      <w:szCs w:val="21"/>
                    </w:rPr>
                    <w:t>53.</w:t>
                  </w:r>
                  <w:r>
                    <w:rPr>
                      <w:rFonts w:hAnsi="宋体"/>
                      <w:color w:val="auto"/>
                      <w:szCs w:val="21"/>
                    </w:rPr>
                    <w:t>进一步强化区域协作机制，完善重污染天气应对和重点行业绩效分级管理体系，突出</w:t>
                  </w:r>
                  <w:r>
                    <w:rPr>
                      <w:color w:val="auto"/>
                      <w:szCs w:val="21"/>
                    </w:rPr>
                    <w:t>PM</w:t>
                  </w:r>
                  <w:r>
                    <w:rPr>
                      <w:color w:val="auto"/>
                      <w:szCs w:val="21"/>
                      <w:vertAlign w:val="subscript"/>
                    </w:rPr>
                    <w:t>2.5</w:t>
                  </w:r>
                  <w:r>
                    <w:rPr>
                      <w:rFonts w:hAnsi="宋体"/>
                      <w:color w:val="auto"/>
                      <w:szCs w:val="21"/>
                    </w:rPr>
                    <w:t>和臭氧协同控制，加大钢铁、水泥、焦化、玻璃等行业以及工业锅炉、炉窑、移动源氮氧化物减排力度。</w:t>
                  </w:r>
                  <w:r>
                    <w:rPr>
                      <w:color w:val="auto"/>
                      <w:szCs w:val="21"/>
                    </w:rPr>
                    <w:t>54.</w:t>
                  </w:r>
                  <w:r>
                    <w:rPr>
                      <w:rFonts w:hAnsi="宋体"/>
                      <w:color w:val="auto"/>
                      <w:szCs w:val="21"/>
                    </w:rPr>
                    <w:t>全面推动挥发性有机物纳入排污许可管理。禁止建设生产和使用高挥发性有机物含量涂料、油墨、胶粘剂、清洗剂等项目。加快推进石化、化工、涂装、医药、包装印刷和油品储运销等重点行业挥发性有机物深度治理，全面提升废气收集率、治理设施同步运行率和去除率，提高水性、高固体分、无溶剂、粉末、辐射固化等低挥发性有机物含量产品的比重。加大工业涂装、包装印刷等行业低挥发性有机物含量原辅材料替代力度，严格执行涂料、油墨、胶粘剂、清洗剂挥发性有机物含量限值标准，确保生产、销售、进口、使用符合标准的产品。到</w:t>
                  </w:r>
                  <w:r>
                    <w:rPr>
                      <w:color w:val="auto"/>
                      <w:szCs w:val="21"/>
                    </w:rPr>
                    <w:t>2025</w:t>
                  </w:r>
                  <w:r>
                    <w:rPr>
                      <w:rFonts w:hAnsi="宋体"/>
                      <w:color w:val="auto"/>
                      <w:szCs w:val="21"/>
                    </w:rPr>
                    <w:t>年，溶剂型工业涂料、油墨使用比例分别降低</w:t>
                  </w:r>
                  <w:r>
                    <w:rPr>
                      <w:color w:val="auto"/>
                      <w:szCs w:val="21"/>
                    </w:rPr>
                    <w:t>20</w:t>
                  </w:r>
                  <w:r>
                    <w:rPr>
                      <w:rFonts w:hAnsi="宋体"/>
                      <w:color w:val="auto"/>
                      <w:szCs w:val="21"/>
                    </w:rPr>
                    <w:t>个、</w:t>
                  </w:r>
                  <w:r>
                    <w:rPr>
                      <w:color w:val="auto"/>
                      <w:szCs w:val="21"/>
                    </w:rPr>
                    <w:t>10</w:t>
                  </w:r>
                  <w:r>
                    <w:rPr>
                      <w:rFonts w:hAnsi="宋体"/>
                      <w:color w:val="auto"/>
                      <w:szCs w:val="21"/>
                    </w:rPr>
                    <w:t>个百分点。溶剂型胶粘剂使用量降低</w:t>
                  </w:r>
                  <w:r>
                    <w:rPr>
                      <w:color w:val="auto"/>
                      <w:szCs w:val="21"/>
                    </w:rPr>
                    <w:t>20%</w:t>
                  </w:r>
                  <w:r>
                    <w:rPr>
                      <w:rFonts w:hAnsi="宋体"/>
                      <w:color w:val="auto"/>
                      <w:szCs w:val="21"/>
                    </w:rPr>
                    <w:t>。</w:t>
                  </w:r>
                  <w:r>
                    <w:rPr>
                      <w:color w:val="auto"/>
                      <w:szCs w:val="21"/>
                    </w:rPr>
                    <w:t>55.</w:t>
                  </w:r>
                  <w:r>
                    <w:rPr>
                      <w:rFonts w:hAnsi="宋体"/>
                      <w:color w:val="auto"/>
                      <w:szCs w:val="21"/>
                    </w:rPr>
                    <w:t>实行重点排放源排放浓度与去除效率双重控制。车间或生产设施收集排放的废气，</w:t>
                  </w:r>
                  <w:r>
                    <w:rPr>
                      <w:color w:val="auto"/>
                      <w:szCs w:val="21"/>
                    </w:rPr>
                    <w:t>VOCs</w:t>
                  </w:r>
                  <w:r>
                    <w:rPr>
                      <w:rFonts w:hAnsi="宋体"/>
                      <w:color w:val="auto"/>
                      <w:szCs w:val="21"/>
                    </w:rPr>
                    <w:t>初始排放速率大于等于</w:t>
                  </w:r>
                  <w:r>
                    <w:rPr>
                      <w:color w:val="auto"/>
                      <w:szCs w:val="21"/>
                    </w:rPr>
                    <w:t>2</w:t>
                  </w:r>
                  <w:r>
                    <w:rPr>
                      <w:rFonts w:hAnsi="宋体"/>
                      <w:color w:val="auto"/>
                      <w:szCs w:val="21"/>
                    </w:rPr>
                    <w:t>千克</w:t>
                  </w:r>
                  <w:r>
                    <w:rPr>
                      <w:color w:val="auto"/>
                      <w:szCs w:val="21"/>
                    </w:rPr>
                    <w:t>/</w:t>
                  </w:r>
                  <w:r>
                    <w:rPr>
                      <w:rFonts w:hAnsi="宋体"/>
                      <w:color w:val="auto"/>
                      <w:szCs w:val="21"/>
                    </w:rPr>
                    <w:t>小时的，应加大控制力度，除确保排放浓度稳定达标外，还应实行去除效率控制，去除效率不低于</w:t>
                  </w:r>
                  <w:r>
                    <w:rPr>
                      <w:color w:val="auto"/>
                      <w:szCs w:val="21"/>
                    </w:rPr>
                    <w:t>80%</w:t>
                  </w:r>
                  <w:r>
                    <w:rPr>
                      <w:rFonts w:hAnsi="宋体"/>
                      <w:color w:val="auto"/>
                      <w:szCs w:val="21"/>
                    </w:rPr>
                    <w:t>；采用的原辅材料符合国家有关低</w:t>
                  </w:r>
                  <w:r>
                    <w:rPr>
                      <w:color w:val="auto"/>
                      <w:szCs w:val="21"/>
                    </w:rPr>
                    <w:t>VOCs</w:t>
                  </w:r>
                  <w:r>
                    <w:rPr>
                      <w:rFonts w:hAnsi="宋体"/>
                      <w:color w:val="auto"/>
                      <w:szCs w:val="21"/>
                    </w:rPr>
                    <w:t>含量产品规定的除外，有行业排放标准的按其相关规定执行。</w:t>
                  </w:r>
                  <w:r>
                    <w:rPr>
                      <w:color w:val="auto"/>
                      <w:szCs w:val="21"/>
                    </w:rPr>
                    <w:t>56.</w:t>
                  </w:r>
                  <w:r>
                    <w:rPr>
                      <w:rFonts w:hAnsi="宋体"/>
                      <w:color w:val="auto"/>
                      <w:szCs w:val="21"/>
                    </w:rPr>
                    <w:t>使用粉末、水性、高固体分、辐射固化等低</w:t>
                  </w:r>
                  <w:r>
                    <w:rPr>
                      <w:color w:val="auto"/>
                      <w:szCs w:val="21"/>
                    </w:rPr>
                    <w:t>VOCs</w:t>
                  </w:r>
                  <w:r>
                    <w:rPr>
                      <w:rFonts w:hAnsi="宋体"/>
                      <w:color w:val="auto"/>
                      <w:szCs w:val="21"/>
                    </w:rPr>
                    <w:t>含量的涂料替代溶剂型涂料。汽车制造底漆大力推广使用水性涂料，乘用车中涂、色漆大力推广使用高固体分或水性涂料，加快客车、货车等中涂、色漆改造。钢制集装箱制造在箱内、箱外、木地板涂装等工序大力推广使用水性涂料，在确保防腐蚀功能的前提下，加快推进特种集装箱采用水性涂料。木质家具制造大力推广使用水性、辐射固化、粉末等涂料和水性胶粘剂；金属家具制造大力推广使用粉末涂料；软体家具制造大力推广使用水性胶粘剂。工程机械制造大力推广使用水性、粉末和高固体分涂料。电子产品制造推广使用粉末、水性、辐射固化等涂料。</w:t>
                  </w:r>
                  <w:r>
                    <w:rPr>
                      <w:color w:val="auto"/>
                      <w:szCs w:val="21"/>
                    </w:rPr>
                    <w:t>57.</w:t>
                  </w:r>
                  <w:r>
                    <w:rPr>
                      <w:rFonts w:hAnsi="宋体"/>
                      <w:color w:val="auto"/>
                      <w:szCs w:val="21"/>
                    </w:rPr>
                    <w:t>污染物排放标准中有特别排放限值的标准的行业，二氧化硫、氮氧化物、颗粒物、挥发性有机物（</w:t>
                  </w:r>
                  <w:r>
                    <w:rPr>
                      <w:color w:val="auto"/>
                      <w:szCs w:val="21"/>
                    </w:rPr>
                    <w:t>VOCs</w:t>
                  </w:r>
                  <w:r>
                    <w:rPr>
                      <w:rFonts w:hAnsi="宋体"/>
                      <w:color w:val="auto"/>
                      <w:szCs w:val="21"/>
                    </w:rPr>
                    <w:t>）全面执行大气污染物特别排放限值。已核发排污许可证的，应严格执行许可要求。</w:t>
                  </w:r>
                  <w:r>
                    <w:rPr>
                      <w:color w:val="auto"/>
                      <w:szCs w:val="21"/>
                    </w:rPr>
                    <w:t>58.</w:t>
                  </w:r>
                  <w:r>
                    <w:rPr>
                      <w:rFonts w:hAnsi="宋体"/>
                      <w:color w:val="auto"/>
                      <w:szCs w:val="21"/>
                    </w:rPr>
                    <w:t>对国家级新区、工业园区、高新区等进行集中整治，限期进行达标改造。</w:t>
                  </w:r>
                  <w:r>
                    <w:rPr>
                      <w:color w:val="auto"/>
                      <w:szCs w:val="21"/>
                    </w:rPr>
                    <w:t>59.</w:t>
                  </w:r>
                  <w:r>
                    <w:rPr>
                      <w:rFonts w:hAnsi="宋体"/>
                      <w:color w:val="auto"/>
                      <w:szCs w:val="21"/>
                    </w:rPr>
                    <w:t>按《挥发性有机物无组织排放控制标准》（</w:t>
                  </w:r>
                  <w:r>
                    <w:rPr>
                      <w:color w:val="auto"/>
                      <w:szCs w:val="21"/>
                    </w:rPr>
                    <w:t>GB37822-2019</w:t>
                  </w:r>
                  <w:r>
                    <w:rPr>
                      <w:rFonts w:hAnsi="宋体"/>
                      <w:color w:val="auto"/>
                      <w:szCs w:val="21"/>
                    </w:rPr>
                    <w:t>）要求，做好</w:t>
                  </w:r>
                  <w:r>
                    <w:rPr>
                      <w:color w:val="auto"/>
                      <w:szCs w:val="21"/>
                    </w:rPr>
                    <w:t>VOCs</w:t>
                  </w:r>
                  <w:r>
                    <w:rPr>
                      <w:rFonts w:hAnsi="宋体"/>
                      <w:color w:val="auto"/>
                      <w:szCs w:val="21"/>
                    </w:rPr>
                    <w:t>物料储存、物料转移和输送、工艺过程、设备与管线组件、敞开液面</w:t>
                  </w:r>
                  <w:r>
                    <w:rPr>
                      <w:color w:val="auto"/>
                      <w:szCs w:val="21"/>
                    </w:rPr>
                    <w:t>VOCs</w:t>
                  </w:r>
                  <w:r>
                    <w:rPr>
                      <w:rFonts w:hAnsi="宋体"/>
                      <w:color w:val="auto"/>
                      <w:szCs w:val="21"/>
                    </w:rPr>
                    <w:t>排放，以及</w:t>
                  </w:r>
                  <w:r>
                    <w:rPr>
                      <w:color w:val="auto"/>
                      <w:szCs w:val="21"/>
                    </w:rPr>
                    <w:t>VOCs</w:t>
                  </w:r>
                  <w:r>
                    <w:rPr>
                      <w:rFonts w:hAnsi="宋体"/>
                      <w:color w:val="auto"/>
                      <w:szCs w:val="21"/>
                    </w:rPr>
                    <w:t>无组织排放废气收集处理系统要求。</w:t>
                  </w:r>
                  <w:r>
                    <w:rPr>
                      <w:color w:val="auto"/>
                      <w:szCs w:val="21"/>
                    </w:rPr>
                    <w:t>60.</w:t>
                  </w:r>
                  <w:r>
                    <w:rPr>
                      <w:rFonts w:hAnsi="宋体"/>
                      <w:color w:val="auto"/>
                      <w:szCs w:val="21"/>
                    </w:rPr>
                    <w:t>新改扩建（含搬迁）钢铁项目要严格执行产能置换实施办法，按照钢铁企业超低排放指标要求，同步配套建设高效脱硫、脱硝、除尘设施，落实物料储存、输送及生产工艺过程无组织排放管控措施。</w:t>
                  </w:r>
                  <w:r>
                    <w:rPr>
                      <w:color w:val="auto"/>
                      <w:szCs w:val="21"/>
                    </w:rPr>
                    <w:t>61.</w:t>
                  </w:r>
                  <w:r>
                    <w:rPr>
                      <w:rFonts w:hAnsi="宋体"/>
                      <w:color w:val="auto"/>
                      <w:szCs w:val="21"/>
                    </w:rPr>
                    <w:t>烧结机机头、球团焙烧烟气颗粒物、二氧化硫、氮氧化物排放浓度小时均值分别不高于</w:t>
                  </w:r>
                  <w:r>
                    <w:rPr>
                      <w:color w:val="auto"/>
                      <w:szCs w:val="21"/>
                    </w:rPr>
                    <w:t>10</w:t>
                  </w:r>
                  <w:r>
                    <w:rPr>
                      <w:rFonts w:hAnsi="宋体"/>
                      <w:color w:val="auto"/>
                      <w:szCs w:val="21"/>
                    </w:rPr>
                    <w:t>、</w:t>
                  </w:r>
                  <w:r>
                    <w:rPr>
                      <w:color w:val="auto"/>
                      <w:szCs w:val="21"/>
                    </w:rPr>
                    <w:t>35</w:t>
                  </w:r>
                  <w:r>
                    <w:rPr>
                      <w:rFonts w:hAnsi="宋体"/>
                      <w:color w:val="auto"/>
                      <w:szCs w:val="21"/>
                    </w:rPr>
                    <w:t>、</w:t>
                  </w:r>
                  <w:r>
                    <w:rPr>
                      <w:color w:val="auto"/>
                      <w:szCs w:val="21"/>
                    </w:rPr>
                    <w:t>50</w:t>
                  </w:r>
                  <w:r>
                    <w:rPr>
                      <w:rFonts w:hAnsi="宋体"/>
                      <w:color w:val="auto"/>
                      <w:szCs w:val="21"/>
                    </w:rPr>
                    <w:t>毫克</w:t>
                  </w:r>
                  <w:r>
                    <w:rPr>
                      <w:color w:val="auto"/>
                      <w:szCs w:val="21"/>
                    </w:rPr>
                    <w:t>/</w:t>
                  </w:r>
                  <w:r>
                    <w:rPr>
                      <w:rFonts w:hAnsi="宋体"/>
                      <w:color w:val="auto"/>
                      <w:szCs w:val="21"/>
                    </w:rPr>
                    <w:t>立方米；其他主要污染源颗粒物、二氧化硫、氮氧化物排放浓度小时均值原则上分别不高于</w:t>
                  </w:r>
                  <w:r>
                    <w:rPr>
                      <w:color w:val="auto"/>
                      <w:szCs w:val="21"/>
                    </w:rPr>
                    <w:t>10</w:t>
                  </w:r>
                  <w:r>
                    <w:rPr>
                      <w:rFonts w:hAnsi="宋体"/>
                      <w:color w:val="auto"/>
                      <w:szCs w:val="21"/>
                    </w:rPr>
                    <w:t>、</w:t>
                  </w:r>
                  <w:r>
                    <w:rPr>
                      <w:color w:val="auto"/>
                      <w:szCs w:val="21"/>
                    </w:rPr>
                    <w:t>50</w:t>
                  </w:r>
                  <w:r>
                    <w:rPr>
                      <w:rFonts w:hAnsi="宋体"/>
                      <w:color w:val="auto"/>
                      <w:szCs w:val="21"/>
                    </w:rPr>
                    <w:t>、</w:t>
                  </w:r>
                  <w:r>
                    <w:rPr>
                      <w:color w:val="auto"/>
                      <w:szCs w:val="21"/>
                    </w:rPr>
                    <w:t>200</w:t>
                  </w:r>
                  <w:r>
                    <w:rPr>
                      <w:rFonts w:hAnsi="宋体"/>
                      <w:color w:val="auto"/>
                      <w:szCs w:val="21"/>
                    </w:rPr>
                    <w:t>毫克</w:t>
                  </w:r>
                  <w:r>
                    <w:rPr>
                      <w:color w:val="auto"/>
                      <w:szCs w:val="21"/>
                    </w:rPr>
                    <w:t>/</w:t>
                  </w:r>
                  <w:r>
                    <w:rPr>
                      <w:rFonts w:hAnsi="宋体"/>
                      <w:color w:val="auto"/>
                      <w:szCs w:val="21"/>
                    </w:rPr>
                    <w:t>立方米，达到超低排放的钢铁企业每月至少</w:t>
                  </w:r>
                  <w:r>
                    <w:rPr>
                      <w:color w:val="auto"/>
                      <w:szCs w:val="21"/>
                    </w:rPr>
                    <w:t>95%</w:t>
                  </w:r>
                  <w:r>
                    <w:rPr>
                      <w:rFonts w:hAnsi="宋体"/>
                      <w:color w:val="auto"/>
                      <w:szCs w:val="21"/>
                    </w:rPr>
                    <w:t>以上时段小时均值排放浓度满足上述要求。</w:t>
                  </w:r>
                  <w:r>
                    <w:rPr>
                      <w:color w:val="auto"/>
                      <w:szCs w:val="21"/>
                    </w:rPr>
                    <w:t>62.</w:t>
                  </w:r>
                  <w:r>
                    <w:rPr>
                      <w:rFonts w:hAnsi="宋体"/>
                      <w:color w:val="auto"/>
                      <w:szCs w:val="21"/>
                    </w:rPr>
                    <w:t>已有行业排放标准的工业炉窑，严格执行行业排放标准相关规定，配套建设高效脱硫脱硝除尘设施，确保稳定达标排放。已制定更严格地方排放标准的，按地方标准执行。</w:t>
                  </w:r>
                  <w:r>
                    <w:rPr>
                      <w:color w:val="auto"/>
                      <w:szCs w:val="21"/>
                    </w:rPr>
                    <w:t>63.</w:t>
                  </w:r>
                  <w:r>
                    <w:rPr>
                      <w:rFonts w:hAnsi="宋体"/>
                      <w:color w:val="auto"/>
                      <w:szCs w:val="21"/>
                    </w:rPr>
                    <w:t>铸造行业烧结、高炉工序污染排放控制按照钢铁行业相关标准要求执行；原则上按照颗粒物、二氧化硫、氮氧化物排放限值分别不高于</w:t>
                  </w:r>
                  <w:r>
                    <w:rPr>
                      <w:color w:val="auto"/>
                      <w:szCs w:val="21"/>
                    </w:rPr>
                    <w:t>30</w:t>
                  </w:r>
                  <w:r>
                    <w:rPr>
                      <w:rFonts w:hAnsi="宋体"/>
                      <w:color w:val="auto"/>
                      <w:szCs w:val="21"/>
                    </w:rPr>
                    <w:t>、</w:t>
                  </w:r>
                  <w:r>
                    <w:rPr>
                      <w:color w:val="auto"/>
                      <w:szCs w:val="21"/>
                    </w:rPr>
                    <w:t>200</w:t>
                  </w:r>
                  <w:r>
                    <w:rPr>
                      <w:rFonts w:hAnsi="宋体"/>
                      <w:color w:val="auto"/>
                      <w:szCs w:val="21"/>
                    </w:rPr>
                    <w:t>、</w:t>
                  </w:r>
                  <w:r>
                    <w:rPr>
                      <w:color w:val="auto"/>
                      <w:szCs w:val="21"/>
                    </w:rPr>
                    <w:t>300</w:t>
                  </w:r>
                  <w:r>
                    <w:rPr>
                      <w:rFonts w:hAnsi="宋体"/>
                      <w:color w:val="auto"/>
                      <w:szCs w:val="21"/>
                    </w:rPr>
                    <w:t>毫克</w:t>
                  </w:r>
                  <w:r>
                    <w:rPr>
                      <w:color w:val="auto"/>
                      <w:szCs w:val="21"/>
                    </w:rPr>
                    <w:t>/</w:t>
                  </w:r>
                  <w:r>
                    <w:rPr>
                      <w:rFonts w:hAnsi="宋体"/>
                      <w:color w:val="auto"/>
                      <w:szCs w:val="21"/>
                    </w:rPr>
                    <w:t>立方米实施改造，其中，日用玻璃、玻璃棉氮氧化物排放限值不高于</w:t>
                  </w:r>
                  <w:r>
                    <w:rPr>
                      <w:color w:val="auto"/>
                      <w:szCs w:val="21"/>
                    </w:rPr>
                    <w:t>400</w:t>
                  </w:r>
                  <w:r>
                    <w:rPr>
                      <w:rFonts w:hAnsi="宋体"/>
                      <w:color w:val="auto"/>
                      <w:szCs w:val="21"/>
                    </w:rPr>
                    <w:t>毫克</w:t>
                  </w:r>
                  <w:r>
                    <w:rPr>
                      <w:color w:val="auto"/>
                      <w:szCs w:val="21"/>
                    </w:rPr>
                    <w:t>/</w:t>
                  </w:r>
                  <w:r>
                    <w:rPr>
                      <w:rFonts w:hAnsi="宋体"/>
                      <w:color w:val="auto"/>
                      <w:szCs w:val="21"/>
                    </w:rPr>
                    <w:t>立方米。</w:t>
                  </w:r>
                  <w:r>
                    <w:rPr>
                      <w:color w:val="auto"/>
                      <w:szCs w:val="21"/>
                    </w:rPr>
                    <w:t>64.</w:t>
                  </w:r>
                  <w:r>
                    <w:rPr>
                      <w:rFonts w:hAnsi="宋体"/>
                      <w:color w:val="auto"/>
                      <w:szCs w:val="21"/>
                    </w:rPr>
                    <w:t>城市建成区生物质锅炉实施超低排放改造。</w:t>
                  </w:r>
                  <w:r>
                    <w:rPr>
                      <w:color w:val="auto"/>
                      <w:szCs w:val="21"/>
                    </w:rPr>
                    <w:t>65.</w:t>
                  </w:r>
                  <w:r>
                    <w:rPr>
                      <w:rFonts w:hAnsi="宋体"/>
                      <w:color w:val="auto"/>
                      <w:szCs w:val="21"/>
                    </w:rPr>
                    <w:t>实施煤电节能降碳改造、灵活性改造、供热改造</w:t>
                  </w:r>
                  <w:r>
                    <w:rPr>
                      <w:color w:val="auto"/>
                      <w:szCs w:val="21"/>
                    </w:rPr>
                    <w:t>“</w:t>
                  </w:r>
                  <w:r>
                    <w:rPr>
                      <w:rFonts w:hAnsi="宋体"/>
                      <w:color w:val="auto"/>
                      <w:szCs w:val="21"/>
                    </w:rPr>
                    <w:t>三改联动</w:t>
                  </w:r>
                  <w:r>
                    <w:rPr>
                      <w:color w:val="auto"/>
                      <w:szCs w:val="21"/>
                    </w:rPr>
                    <w:t>”</w:t>
                  </w:r>
                  <w:r>
                    <w:rPr>
                      <w:rFonts w:hAnsi="宋体"/>
                      <w:color w:val="auto"/>
                      <w:szCs w:val="21"/>
                    </w:rPr>
                    <w:t>，推动煤电由主体电源向支撑性、调节性电源转变。</w:t>
                  </w:r>
                </w:p>
              </w:tc>
              <w:tc>
                <w:tcPr>
                  <w:tcW w:w="3341" w:type="dxa"/>
                  <w:vAlign w:val="center"/>
                </w:tcPr>
                <w:p w14:paraId="1EC52E57">
                  <w:pPr>
                    <w:autoSpaceDE w:val="0"/>
                    <w:autoSpaceDN w:val="0"/>
                    <w:spacing w:line="276" w:lineRule="auto"/>
                    <w:jc w:val="center"/>
                    <w:rPr>
                      <w:color w:val="auto"/>
                      <w:szCs w:val="21"/>
                    </w:rPr>
                  </w:pPr>
                  <w:r>
                    <w:rPr>
                      <w:rFonts w:hAnsi="宋体"/>
                      <w:color w:val="auto"/>
                      <w:szCs w:val="21"/>
                    </w:rPr>
                    <w:t>本项目不涉及以煤、石油焦、渣油、重油等为燃料的工业炉窑；本项目不属于建设生产和使用高挥发性有机物含量涂料、油墨、胶粘剂、清洗剂等项目，属于低挥发性有机物水性涂料替代溶剂型涂料项目；本项目现有厂区已有工业炉窑已有行业排放标准，并严格执行行业排放标准相关规定，配套建设高效脱硫脱硝除尘设施，可确保稳定达标排放。</w:t>
                  </w:r>
                </w:p>
              </w:tc>
              <w:tc>
                <w:tcPr>
                  <w:tcW w:w="0" w:type="auto"/>
                  <w:vAlign w:val="center"/>
                </w:tcPr>
                <w:p w14:paraId="144A960F">
                  <w:pPr>
                    <w:autoSpaceDE w:val="0"/>
                    <w:autoSpaceDN w:val="0"/>
                    <w:spacing w:line="276" w:lineRule="auto"/>
                    <w:jc w:val="center"/>
                    <w:rPr>
                      <w:rFonts w:eastAsiaTheme="majorEastAsia"/>
                      <w:color w:val="auto"/>
                      <w:szCs w:val="21"/>
                    </w:rPr>
                  </w:pPr>
                  <w:r>
                    <w:rPr>
                      <w:rFonts w:eastAsiaTheme="majorEastAsia"/>
                      <w:color w:val="auto"/>
                      <w:szCs w:val="21"/>
                    </w:rPr>
                    <w:t>符合</w:t>
                  </w:r>
                </w:p>
              </w:tc>
            </w:tr>
            <w:tr w14:paraId="0CC8DE5E">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14:paraId="248FB7D4">
                  <w:pPr>
                    <w:autoSpaceDE w:val="0"/>
                    <w:autoSpaceDN w:val="0"/>
                    <w:spacing w:line="276" w:lineRule="auto"/>
                    <w:jc w:val="center"/>
                    <w:rPr>
                      <w:rFonts w:eastAsiaTheme="majorEastAsia"/>
                      <w:color w:val="auto"/>
                      <w:szCs w:val="21"/>
                    </w:rPr>
                  </w:pPr>
                </w:p>
              </w:tc>
              <w:tc>
                <w:tcPr>
                  <w:tcW w:w="0" w:type="auto"/>
                  <w:vMerge w:val="continue"/>
                  <w:vAlign w:val="center"/>
                </w:tcPr>
                <w:p w14:paraId="29BA7F11">
                  <w:pPr>
                    <w:autoSpaceDE w:val="0"/>
                    <w:autoSpaceDN w:val="0"/>
                    <w:spacing w:line="276" w:lineRule="auto"/>
                    <w:jc w:val="center"/>
                    <w:rPr>
                      <w:rFonts w:eastAsiaTheme="majorEastAsia"/>
                      <w:color w:val="auto"/>
                      <w:szCs w:val="21"/>
                    </w:rPr>
                  </w:pPr>
                </w:p>
              </w:tc>
              <w:tc>
                <w:tcPr>
                  <w:tcW w:w="0" w:type="auto"/>
                  <w:vMerge w:val="continue"/>
                  <w:vAlign w:val="center"/>
                </w:tcPr>
                <w:p w14:paraId="67A0E5B1">
                  <w:pPr>
                    <w:autoSpaceDE w:val="0"/>
                    <w:autoSpaceDN w:val="0"/>
                    <w:spacing w:line="276" w:lineRule="auto"/>
                    <w:jc w:val="center"/>
                    <w:rPr>
                      <w:rFonts w:eastAsiaTheme="majorEastAsia"/>
                      <w:color w:val="auto"/>
                      <w:szCs w:val="21"/>
                    </w:rPr>
                  </w:pPr>
                </w:p>
              </w:tc>
              <w:tc>
                <w:tcPr>
                  <w:tcW w:w="7487" w:type="dxa"/>
                  <w:vAlign w:val="center"/>
                </w:tcPr>
                <w:p w14:paraId="1B564075">
                  <w:pPr>
                    <w:autoSpaceDE w:val="0"/>
                    <w:autoSpaceDN w:val="0"/>
                    <w:spacing w:line="276" w:lineRule="auto"/>
                    <w:jc w:val="center"/>
                    <w:rPr>
                      <w:color w:val="auto"/>
                      <w:szCs w:val="21"/>
                    </w:rPr>
                  </w:pPr>
                  <w:r>
                    <w:rPr>
                      <w:color w:val="auto"/>
                      <w:szCs w:val="21"/>
                    </w:rPr>
                    <w:t>18.</w:t>
                  </w:r>
                  <w:r>
                    <w:rPr>
                      <w:rFonts w:hAnsi="宋体"/>
                      <w:color w:val="auto"/>
                      <w:szCs w:val="21"/>
                    </w:rPr>
                    <w:t>全面排查并淘汰经整改环保仍不达标的落后产能，集中治理产业集聚区水污染，全面建成污水集中处理及重污染企业污水预处理设施。实施重污染行业专项整治，加强清洁生产审核和工业用水循环利用。</w:t>
                  </w:r>
                  <w:r>
                    <w:rPr>
                      <w:color w:val="auto"/>
                      <w:szCs w:val="21"/>
                    </w:rPr>
                    <w:t>19.</w:t>
                  </w:r>
                  <w:r>
                    <w:rPr>
                      <w:rFonts w:hAnsi="宋体"/>
                      <w:color w:val="auto"/>
                      <w:szCs w:val="21"/>
                    </w:rPr>
                    <w:t>完善大气污染物排放总量控制制度，加强对工业烟尘、粉尘、城市扬尘和有毒有害空气污染物排放的协同控制。严格煤炭消费总量，增加清洁能源供给和使用，力争实现煤炭消费负增长。强化机动车尾气治理，优先发展公共交通。</w:t>
                  </w:r>
                  <w:r>
                    <w:rPr>
                      <w:color w:val="auto"/>
                      <w:szCs w:val="21"/>
                    </w:rPr>
                    <w:t>21.</w:t>
                  </w:r>
                  <w:r>
                    <w:rPr>
                      <w:rFonts w:hAnsi="宋体"/>
                      <w:color w:val="auto"/>
                      <w:szCs w:val="21"/>
                    </w:rPr>
                    <w:t>加强船舶港口污染控制，增强港口码头污染防治能力。</w:t>
                  </w:r>
                </w:p>
              </w:tc>
              <w:tc>
                <w:tcPr>
                  <w:tcW w:w="3341" w:type="dxa"/>
                  <w:vAlign w:val="center"/>
                </w:tcPr>
                <w:p w14:paraId="42002531">
                  <w:pPr>
                    <w:autoSpaceDE w:val="0"/>
                    <w:autoSpaceDN w:val="0"/>
                    <w:spacing w:line="276" w:lineRule="auto"/>
                    <w:jc w:val="center"/>
                    <w:rPr>
                      <w:color w:val="auto"/>
                      <w:szCs w:val="21"/>
                    </w:rPr>
                  </w:pPr>
                  <w:r>
                    <w:rPr>
                      <w:rFonts w:hAnsi="宋体"/>
                      <w:color w:val="auto"/>
                      <w:szCs w:val="21"/>
                    </w:rPr>
                    <w:t>本项目不属于落后产能项目；本项目不涉及煤炭燃烧、污泥处理处置、船舶港口污染。</w:t>
                  </w:r>
                </w:p>
              </w:tc>
              <w:tc>
                <w:tcPr>
                  <w:tcW w:w="0" w:type="auto"/>
                  <w:vAlign w:val="center"/>
                </w:tcPr>
                <w:p w14:paraId="171D61BD">
                  <w:pPr>
                    <w:autoSpaceDE w:val="0"/>
                    <w:autoSpaceDN w:val="0"/>
                    <w:spacing w:line="276" w:lineRule="auto"/>
                    <w:jc w:val="center"/>
                    <w:rPr>
                      <w:rFonts w:eastAsiaTheme="majorEastAsia"/>
                      <w:color w:val="auto"/>
                      <w:szCs w:val="21"/>
                    </w:rPr>
                  </w:pPr>
                  <w:r>
                    <w:rPr>
                      <w:rFonts w:eastAsiaTheme="majorEastAsia"/>
                      <w:color w:val="auto"/>
                      <w:szCs w:val="21"/>
                    </w:rPr>
                    <w:t>符合</w:t>
                  </w:r>
                </w:p>
              </w:tc>
            </w:tr>
            <w:tr w14:paraId="105C1BF6">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14:paraId="6D9A1942">
                  <w:pPr>
                    <w:autoSpaceDE w:val="0"/>
                    <w:autoSpaceDN w:val="0"/>
                    <w:spacing w:line="276" w:lineRule="auto"/>
                    <w:jc w:val="center"/>
                    <w:rPr>
                      <w:rFonts w:eastAsiaTheme="majorEastAsia"/>
                      <w:color w:val="auto"/>
                      <w:szCs w:val="21"/>
                    </w:rPr>
                  </w:pPr>
                </w:p>
              </w:tc>
              <w:tc>
                <w:tcPr>
                  <w:tcW w:w="0" w:type="auto"/>
                  <w:vMerge w:val="continue"/>
                  <w:vAlign w:val="center"/>
                </w:tcPr>
                <w:p w14:paraId="0AC8E9E9">
                  <w:pPr>
                    <w:autoSpaceDE w:val="0"/>
                    <w:autoSpaceDN w:val="0"/>
                    <w:spacing w:line="276" w:lineRule="auto"/>
                    <w:jc w:val="center"/>
                    <w:rPr>
                      <w:rFonts w:eastAsiaTheme="majorEastAsia"/>
                      <w:color w:val="auto"/>
                      <w:szCs w:val="21"/>
                    </w:rPr>
                  </w:pPr>
                </w:p>
              </w:tc>
              <w:tc>
                <w:tcPr>
                  <w:tcW w:w="0" w:type="auto"/>
                  <w:vMerge w:val="continue"/>
                  <w:vAlign w:val="center"/>
                </w:tcPr>
                <w:p w14:paraId="13339A4B">
                  <w:pPr>
                    <w:autoSpaceDE w:val="0"/>
                    <w:autoSpaceDN w:val="0"/>
                    <w:spacing w:line="276" w:lineRule="auto"/>
                    <w:jc w:val="center"/>
                    <w:rPr>
                      <w:rFonts w:eastAsiaTheme="majorEastAsia"/>
                      <w:color w:val="auto"/>
                      <w:szCs w:val="21"/>
                    </w:rPr>
                  </w:pPr>
                </w:p>
              </w:tc>
              <w:tc>
                <w:tcPr>
                  <w:tcW w:w="7487" w:type="dxa"/>
                  <w:vAlign w:val="center"/>
                </w:tcPr>
                <w:p w14:paraId="2EDFBA5E">
                  <w:pPr>
                    <w:autoSpaceDE w:val="0"/>
                    <w:autoSpaceDN w:val="0"/>
                    <w:spacing w:line="276" w:lineRule="auto"/>
                    <w:jc w:val="center"/>
                    <w:rPr>
                      <w:color w:val="auto"/>
                      <w:szCs w:val="21"/>
                    </w:rPr>
                  </w:pPr>
                  <w:r>
                    <w:rPr>
                      <w:color w:val="auto"/>
                      <w:szCs w:val="21"/>
                    </w:rPr>
                    <w:t>55.</w:t>
                  </w:r>
                  <w:r>
                    <w:rPr>
                      <w:rFonts w:hAnsi="宋体"/>
                      <w:color w:val="auto"/>
                      <w:szCs w:val="21"/>
                    </w:rPr>
                    <w:t>对国家确定的</w:t>
                  </w:r>
                  <w:r>
                    <w:rPr>
                      <w:color w:val="auto"/>
                      <w:szCs w:val="21"/>
                    </w:rPr>
                    <w:t>“</w:t>
                  </w:r>
                  <w:r>
                    <w:rPr>
                      <w:rFonts w:hAnsi="宋体"/>
                      <w:color w:val="auto"/>
                      <w:szCs w:val="21"/>
                    </w:rPr>
                    <w:t>十大</w:t>
                  </w:r>
                  <w:r>
                    <w:rPr>
                      <w:color w:val="auto"/>
                      <w:szCs w:val="21"/>
                    </w:rPr>
                    <w:t>”</w:t>
                  </w:r>
                  <w:r>
                    <w:rPr>
                      <w:rFonts w:hAnsi="宋体"/>
                      <w:color w:val="auto"/>
                      <w:szCs w:val="21"/>
                    </w:rPr>
                    <w:t>重点行业，我市现有的造纸、氮肥、印染、农副食品加工、原料药制造、电镀等重点行业要制定专项治理方案，依法开展强制性清洁生产审核，并实施清洁化改造。</w:t>
                  </w:r>
                  <w:r>
                    <w:rPr>
                      <w:color w:val="auto"/>
                      <w:szCs w:val="21"/>
                    </w:rPr>
                    <w:t>56.</w:t>
                  </w:r>
                  <w:r>
                    <w:rPr>
                      <w:rFonts w:hAnsi="宋体"/>
                      <w:color w:val="auto"/>
                      <w:szCs w:val="21"/>
                    </w:rPr>
                    <w:t>造纸行业完成纸浆无元素氯漂白改造或采取其他低污染制浆技术，氮肥行业尿素生产完成工艺冷凝液水解解析技术改造，印染行业实施低排水染整工艺改造，制药（抗生素、维生素）行业实施绿色酶法生产技术改造。对安徽淮化股份有限公司、安徽德邦化工有限公司实行污水特别排放限值，完成污水处理设施提标改造，外排废水中氨氮浓度控制在</w:t>
                  </w:r>
                  <w:r>
                    <w:rPr>
                      <w:color w:val="auto"/>
                      <w:szCs w:val="21"/>
                    </w:rPr>
                    <w:t>15mg/L</w:t>
                  </w:r>
                  <w:r>
                    <w:rPr>
                      <w:rFonts w:hAnsi="宋体"/>
                      <w:color w:val="auto"/>
                      <w:szCs w:val="21"/>
                    </w:rPr>
                    <w:t>以下。</w:t>
                  </w:r>
                  <w:r>
                    <w:rPr>
                      <w:color w:val="auto"/>
                      <w:szCs w:val="21"/>
                    </w:rPr>
                    <w:t>57.</w:t>
                  </w:r>
                  <w:r>
                    <w:rPr>
                      <w:rFonts w:hAnsi="宋体"/>
                      <w:color w:val="auto"/>
                      <w:szCs w:val="21"/>
                    </w:rPr>
                    <w:t>持续推进城镇污水处理厂建设，推进老旧城区、城中村、城乡结合部生活污水收集和处理，加快补齐生活污水收集处理设施短板。推进建成区污水管网全覆盖，生活污水全收集、全处理。加快城市雨污分流制改造，系统治理雨污错接、混接、漏接等问题。加强管网新建和提标改造，对于近期设施难以覆盖的地区，因地制宜建设分散污水处理设施，处理达标后排放。</w:t>
                  </w:r>
                  <w:r>
                    <w:rPr>
                      <w:color w:val="auto"/>
                      <w:szCs w:val="21"/>
                    </w:rPr>
                    <w:t>58.</w:t>
                  </w:r>
                  <w:r>
                    <w:rPr>
                      <w:rFonts w:hAnsi="宋体"/>
                      <w:color w:val="auto"/>
                      <w:szCs w:val="21"/>
                    </w:rPr>
                    <w:t>达标企业应采取措施确保稳定达标；对超标和超总量的企业予以</w:t>
                  </w:r>
                  <w:r>
                    <w:rPr>
                      <w:color w:val="auto"/>
                      <w:szCs w:val="21"/>
                    </w:rPr>
                    <w:t>“</w:t>
                  </w:r>
                  <w:r>
                    <w:rPr>
                      <w:rFonts w:hAnsi="宋体"/>
                      <w:color w:val="auto"/>
                      <w:szCs w:val="21"/>
                    </w:rPr>
                    <w:t>黄牌</w:t>
                  </w:r>
                  <w:r>
                    <w:rPr>
                      <w:color w:val="auto"/>
                      <w:szCs w:val="21"/>
                    </w:rPr>
                    <w:t>”</w:t>
                  </w:r>
                  <w:r>
                    <w:rPr>
                      <w:rFonts w:hAnsi="宋体"/>
                      <w:color w:val="auto"/>
                      <w:szCs w:val="21"/>
                    </w:rPr>
                    <w:t>警示，一律限制生产或停产整治；对整治仍不能达到要求且情节严重的企业予以</w:t>
                  </w:r>
                  <w:r>
                    <w:rPr>
                      <w:color w:val="auto"/>
                      <w:szCs w:val="21"/>
                    </w:rPr>
                    <w:t>“</w:t>
                  </w:r>
                  <w:r>
                    <w:rPr>
                      <w:rFonts w:hAnsi="宋体"/>
                      <w:color w:val="auto"/>
                      <w:szCs w:val="21"/>
                    </w:rPr>
                    <w:t>鹃牌</w:t>
                  </w:r>
                  <w:r>
                    <w:rPr>
                      <w:color w:val="auto"/>
                      <w:szCs w:val="21"/>
                    </w:rPr>
                    <w:t>”</w:t>
                  </w:r>
                  <w:r>
                    <w:rPr>
                      <w:rFonts w:hAnsi="宋体"/>
                      <w:color w:val="auto"/>
                      <w:szCs w:val="21"/>
                    </w:rPr>
                    <w:t>处罚，一律停业、关闭。</w:t>
                  </w:r>
                  <w:r>
                    <w:rPr>
                      <w:color w:val="auto"/>
                      <w:szCs w:val="21"/>
                    </w:rPr>
                    <w:t>59.</w:t>
                  </w:r>
                  <w:r>
                    <w:rPr>
                      <w:rFonts w:hAnsi="宋体"/>
                      <w:color w:val="auto"/>
                      <w:szCs w:val="21"/>
                    </w:rPr>
                    <w:t>完成县级以上经济开发区、高新技术产业开发区等工业集聚区水污染治理设施排查。全面推行工业集聚区企业废水、水污染物纳管总量双控制度。</w:t>
                  </w:r>
                  <w:r>
                    <w:rPr>
                      <w:color w:val="auto"/>
                      <w:szCs w:val="21"/>
                    </w:rPr>
                    <w:t>60.</w:t>
                  </w:r>
                  <w:r>
                    <w:rPr>
                      <w:rFonts w:hAnsi="宋体"/>
                      <w:color w:val="auto"/>
                      <w:szCs w:val="21"/>
                    </w:rPr>
                    <w:t>现有各类开发区、工业集聚区应全面实现污水集中处理。</w:t>
                  </w:r>
                  <w:r>
                    <w:rPr>
                      <w:color w:val="auto"/>
                      <w:szCs w:val="21"/>
                    </w:rPr>
                    <w:t>66.</w:t>
                  </w:r>
                  <w:r>
                    <w:rPr>
                      <w:rFonts w:hAnsi="宋体"/>
                      <w:color w:val="auto"/>
                      <w:szCs w:val="21"/>
                    </w:rPr>
                    <w:t>强化工业企业无组织排放管理，推进挥发性有机物排放综合整治，开展大气氨排放控制试点。</w:t>
                  </w:r>
                  <w:r>
                    <w:rPr>
                      <w:color w:val="auto"/>
                      <w:szCs w:val="21"/>
                    </w:rPr>
                    <w:t>67.</w:t>
                  </w:r>
                  <w:r>
                    <w:rPr>
                      <w:rFonts w:hAnsi="宋体"/>
                      <w:color w:val="auto"/>
                      <w:szCs w:val="21"/>
                    </w:rPr>
                    <w:t>依法严禁秸秆露天焚烧，全面推进综合利用。</w:t>
                  </w:r>
                  <w:r>
                    <w:rPr>
                      <w:color w:val="auto"/>
                      <w:szCs w:val="21"/>
                    </w:rPr>
                    <w:t>68.</w:t>
                  </w:r>
                  <w:r>
                    <w:rPr>
                      <w:rFonts w:hAnsi="宋体"/>
                      <w:color w:val="auto"/>
                      <w:szCs w:val="21"/>
                    </w:rPr>
                    <w:t>深化工业污染治理，工业污染源全面达标排放，未达标排放的企业一律依法停产整治。</w:t>
                  </w:r>
                  <w:r>
                    <w:rPr>
                      <w:color w:val="auto"/>
                      <w:szCs w:val="21"/>
                    </w:rPr>
                    <w:t>69.</w:t>
                  </w:r>
                  <w:r>
                    <w:rPr>
                      <w:rFonts w:hAnsi="宋体"/>
                      <w:color w:val="auto"/>
                      <w:szCs w:val="21"/>
                    </w:rPr>
                    <w:t>露天开采、加工矿产资源，应当采取喷淋、集中开采、运输道路硬化绿化等防止扬尘污染的措施。</w:t>
                  </w:r>
                  <w:r>
                    <w:rPr>
                      <w:color w:val="auto"/>
                      <w:szCs w:val="21"/>
                    </w:rPr>
                    <w:t>70.</w:t>
                  </w:r>
                  <w:r>
                    <w:rPr>
                      <w:rFonts w:hAnsi="宋体"/>
                      <w:color w:val="auto"/>
                      <w:szCs w:val="21"/>
                    </w:rPr>
                    <w:t>合理控制燃油机动车保有量，严格控制重型柴油车进入城市建成区，限制摩托车的行驶范围，并向社会公告。机动车和船舶向大气排放污染物不得超过规定的排放标准。</w:t>
                  </w:r>
                  <w:r>
                    <w:rPr>
                      <w:color w:val="auto"/>
                      <w:szCs w:val="21"/>
                    </w:rPr>
                    <w:t>72.</w:t>
                  </w:r>
                  <w:r>
                    <w:rPr>
                      <w:rFonts w:hAnsi="宋体"/>
                      <w:color w:val="auto"/>
                      <w:szCs w:val="21"/>
                    </w:rPr>
                    <w:t>工业生产中产生的可燃性气体应当回收利用。不具备回收利用条件而向大气排放的，应当进行污染防治处理。</w:t>
                  </w:r>
                  <w:r>
                    <w:rPr>
                      <w:color w:val="auto"/>
                      <w:szCs w:val="21"/>
                    </w:rPr>
                    <w:t>75.</w:t>
                  </w:r>
                  <w:r>
                    <w:rPr>
                      <w:rFonts w:hAnsi="宋体"/>
                      <w:color w:val="auto"/>
                      <w:szCs w:val="21"/>
                    </w:rPr>
                    <w:t>非煤矿山企业对产生扬尘的作业场所，应当按《安徽省非煤矿山管理条例》采取相应污染防治措施。</w:t>
                  </w:r>
                </w:p>
              </w:tc>
              <w:tc>
                <w:tcPr>
                  <w:tcW w:w="3341" w:type="dxa"/>
                  <w:vAlign w:val="center"/>
                </w:tcPr>
                <w:p w14:paraId="3241D59E">
                  <w:pPr>
                    <w:autoSpaceDE w:val="0"/>
                    <w:autoSpaceDN w:val="0"/>
                    <w:spacing w:line="276" w:lineRule="auto"/>
                    <w:jc w:val="center"/>
                    <w:rPr>
                      <w:color w:val="auto"/>
                      <w:szCs w:val="21"/>
                    </w:rPr>
                  </w:pPr>
                  <w:r>
                    <w:rPr>
                      <w:rFonts w:hAnsi="宋体"/>
                      <w:color w:val="auto"/>
                      <w:szCs w:val="21"/>
                    </w:rPr>
                    <w:t>本项目不属于造纸、氮肥、印染、农副食品加工、原料药制造、电镀等十大</w:t>
                  </w:r>
                  <w:r>
                    <w:rPr>
                      <w:color w:val="auto"/>
                      <w:szCs w:val="21"/>
                    </w:rPr>
                    <w:t>”</w:t>
                  </w:r>
                  <w:r>
                    <w:rPr>
                      <w:rFonts w:hAnsi="宋体"/>
                      <w:color w:val="auto"/>
                      <w:szCs w:val="21"/>
                    </w:rPr>
                    <w:t>重点行业；本项目厂区已实行雨污分流制；本项目喷涂工序产生的含</w:t>
                  </w:r>
                  <w:r>
                    <w:rPr>
                      <w:color w:val="auto"/>
                      <w:szCs w:val="21"/>
                    </w:rPr>
                    <w:t>VOCs</w:t>
                  </w:r>
                  <w:r>
                    <w:rPr>
                      <w:rFonts w:hAnsi="宋体"/>
                      <w:color w:val="auto"/>
                      <w:szCs w:val="21"/>
                    </w:rPr>
                    <w:t>废气采用集气罩收集后通过两级活性炭装置处理后排放，以减少挥发性有机物排放；本项目在现有厂区一车间、三车间建设，仅进行设备安装，不涉及土建工程。</w:t>
                  </w:r>
                </w:p>
              </w:tc>
              <w:tc>
                <w:tcPr>
                  <w:tcW w:w="0" w:type="auto"/>
                  <w:vAlign w:val="center"/>
                </w:tcPr>
                <w:p w14:paraId="47F42959">
                  <w:pPr>
                    <w:autoSpaceDE w:val="0"/>
                    <w:autoSpaceDN w:val="0"/>
                    <w:spacing w:line="276" w:lineRule="auto"/>
                    <w:jc w:val="center"/>
                    <w:rPr>
                      <w:rFonts w:eastAsiaTheme="majorEastAsia"/>
                      <w:color w:val="auto"/>
                      <w:szCs w:val="21"/>
                    </w:rPr>
                  </w:pPr>
                  <w:r>
                    <w:rPr>
                      <w:rFonts w:eastAsiaTheme="majorEastAsia"/>
                      <w:color w:val="auto"/>
                      <w:szCs w:val="21"/>
                    </w:rPr>
                    <w:t>符合</w:t>
                  </w:r>
                </w:p>
              </w:tc>
            </w:tr>
            <w:tr w14:paraId="06DBA862">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14:paraId="29AA6808">
                  <w:pPr>
                    <w:autoSpaceDE w:val="0"/>
                    <w:autoSpaceDN w:val="0"/>
                    <w:spacing w:line="276" w:lineRule="auto"/>
                    <w:jc w:val="center"/>
                    <w:rPr>
                      <w:rFonts w:eastAsiaTheme="majorEastAsia"/>
                      <w:color w:val="auto"/>
                      <w:szCs w:val="21"/>
                    </w:rPr>
                  </w:pPr>
                </w:p>
              </w:tc>
              <w:tc>
                <w:tcPr>
                  <w:tcW w:w="0" w:type="auto"/>
                  <w:vMerge w:val="continue"/>
                  <w:vAlign w:val="center"/>
                </w:tcPr>
                <w:p w14:paraId="3D0B4C39">
                  <w:pPr>
                    <w:autoSpaceDE w:val="0"/>
                    <w:autoSpaceDN w:val="0"/>
                    <w:spacing w:line="276" w:lineRule="auto"/>
                    <w:jc w:val="center"/>
                    <w:rPr>
                      <w:rFonts w:eastAsiaTheme="majorEastAsia"/>
                      <w:color w:val="auto"/>
                      <w:szCs w:val="21"/>
                    </w:rPr>
                  </w:pPr>
                </w:p>
              </w:tc>
              <w:tc>
                <w:tcPr>
                  <w:tcW w:w="0" w:type="auto"/>
                  <w:vMerge w:val="restart"/>
                  <w:vAlign w:val="center"/>
                </w:tcPr>
                <w:p w14:paraId="5820816F">
                  <w:pPr>
                    <w:autoSpaceDE w:val="0"/>
                    <w:autoSpaceDN w:val="0"/>
                    <w:spacing w:line="276" w:lineRule="auto"/>
                    <w:jc w:val="center"/>
                    <w:rPr>
                      <w:rFonts w:eastAsiaTheme="majorEastAsia"/>
                      <w:color w:val="auto"/>
                      <w:szCs w:val="21"/>
                    </w:rPr>
                  </w:pPr>
                  <w:r>
                    <w:rPr>
                      <w:rFonts w:eastAsiaTheme="majorEastAsia"/>
                      <w:color w:val="auto"/>
                      <w:szCs w:val="21"/>
                    </w:rPr>
                    <w:t>资源开发效率</w:t>
                  </w:r>
                </w:p>
                <w:p w14:paraId="65FD5485">
                  <w:pPr>
                    <w:autoSpaceDE w:val="0"/>
                    <w:autoSpaceDN w:val="0"/>
                    <w:spacing w:line="276" w:lineRule="auto"/>
                    <w:jc w:val="center"/>
                    <w:rPr>
                      <w:rFonts w:eastAsiaTheme="majorEastAsia"/>
                      <w:color w:val="auto"/>
                      <w:szCs w:val="21"/>
                    </w:rPr>
                  </w:pPr>
                  <w:r>
                    <w:rPr>
                      <w:rFonts w:eastAsiaTheme="majorEastAsia"/>
                      <w:color w:val="auto"/>
                      <w:szCs w:val="21"/>
                    </w:rPr>
                    <w:t>要求</w:t>
                  </w:r>
                </w:p>
              </w:tc>
              <w:tc>
                <w:tcPr>
                  <w:tcW w:w="7487" w:type="dxa"/>
                  <w:vAlign w:val="center"/>
                </w:tcPr>
                <w:p w14:paraId="01CAC2B9">
                  <w:pPr>
                    <w:autoSpaceDE w:val="0"/>
                    <w:autoSpaceDN w:val="0"/>
                    <w:spacing w:line="276" w:lineRule="auto"/>
                    <w:jc w:val="center"/>
                    <w:rPr>
                      <w:color w:val="auto"/>
                      <w:szCs w:val="21"/>
                    </w:rPr>
                  </w:pPr>
                  <w:r>
                    <w:rPr>
                      <w:color w:val="auto"/>
                      <w:szCs w:val="21"/>
                    </w:rPr>
                    <w:t>82.</w:t>
                  </w:r>
                  <w:r>
                    <w:rPr>
                      <w:rFonts w:hAnsi="宋体"/>
                      <w:color w:val="auto"/>
                      <w:szCs w:val="21"/>
                    </w:rPr>
                    <w:t>实施</w:t>
                  </w:r>
                  <w:r>
                    <w:rPr>
                      <w:color w:val="auto"/>
                      <w:szCs w:val="21"/>
                    </w:rPr>
                    <w:t>“</w:t>
                  </w:r>
                  <w:r>
                    <w:rPr>
                      <w:rFonts w:hAnsi="宋体"/>
                      <w:color w:val="auto"/>
                      <w:szCs w:val="21"/>
                    </w:rPr>
                    <w:t>煤改气</w:t>
                  </w:r>
                  <w:r>
                    <w:rPr>
                      <w:color w:val="auto"/>
                      <w:szCs w:val="21"/>
                    </w:rPr>
                    <w:t>”</w:t>
                  </w:r>
                  <w:r>
                    <w:rPr>
                      <w:rFonts w:hAnsi="宋体"/>
                      <w:color w:val="auto"/>
                      <w:szCs w:val="21"/>
                    </w:rPr>
                    <w:t>和</w:t>
                  </w:r>
                  <w:r>
                    <w:rPr>
                      <w:color w:val="auto"/>
                      <w:szCs w:val="21"/>
                    </w:rPr>
                    <w:t>“</w:t>
                  </w:r>
                  <w:r>
                    <w:rPr>
                      <w:rFonts w:hAnsi="宋体"/>
                      <w:color w:val="auto"/>
                      <w:szCs w:val="21"/>
                    </w:rPr>
                    <w:t>以电代煤</w:t>
                  </w:r>
                  <w:r>
                    <w:rPr>
                      <w:color w:val="auto"/>
                      <w:szCs w:val="21"/>
                    </w:rPr>
                    <w:t>”</w:t>
                  </w:r>
                  <w:r>
                    <w:rPr>
                      <w:rFonts w:hAnsi="宋体"/>
                      <w:color w:val="auto"/>
                      <w:szCs w:val="21"/>
                    </w:rPr>
                    <w:t>。在陶瓷、玻璃、铸造等行业积极推进天然气替代煤气化工程，有序实施燃煤设施煤改气。结合区域和行业用能特点，积极推进工业生产、建筑供暖供冷、交通运输、农业生产、居民生活五大领域实施</w:t>
                  </w:r>
                  <w:r>
                    <w:rPr>
                      <w:color w:val="auto"/>
                      <w:szCs w:val="21"/>
                    </w:rPr>
                    <w:t>“</w:t>
                  </w:r>
                  <w:r>
                    <w:rPr>
                      <w:rFonts w:hAnsi="宋体"/>
                      <w:color w:val="auto"/>
                      <w:szCs w:val="21"/>
                    </w:rPr>
                    <w:t>以电代煤</w:t>
                  </w:r>
                  <w:r>
                    <w:rPr>
                      <w:color w:val="auto"/>
                      <w:szCs w:val="21"/>
                    </w:rPr>
                    <w:t>”</w:t>
                  </w:r>
                  <w:r>
                    <w:rPr>
                      <w:rFonts w:hAnsi="宋体"/>
                      <w:color w:val="auto"/>
                      <w:szCs w:val="21"/>
                    </w:rPr>
                    <w:t>，着力提高电能占终端能源消费比重。</w:t>
                  </w:r>
                </w:p>
              </w:tc>
              <w:tc>
                <w:tcPr>
                  <w:tcW w:w="3341" w:type="dxa"/>
                  <w:vAlign w:val="center"/>
                </w:tcPr>
                <w:p w14:paraId="17BD8C61">
                  <w:pPr>
                    <w:autoSpaceDE w:val="0"/>
                    <w:autoSpaceDN w:val="0"/>
                    <w:spacing w:line="276" w:lineRule="auto"/>
                    <w:jc w:val="center"/>
                    <w:rPr>
                      <w:color w:val="auto"/>
                      <w:szCs w:val="21"/>
                    </w:rPr>
                  </w:pPr>
                  <w:r>
                    <w:rPr>
                      <w:rFonts w:hAnsi="宋体"/>
                      <w:color w:val="auto"/>
                      <w:szCs w:val="21"/>
                    </w:rPr>
                    <w:t>本项目为日用玻璃制品制造行业，现有项目采用天然气工业炉窑，不使用高污染燃料的锅炉、窑炉、炉灶等燃烧设施。</w:t>
                  </w:r>
                </w:p>
              </w:tc>
              <w:tc>
                <w:tcPr>
                  <w:tcW w:w="0" w:type="auto"/>
                  <w:vAlign w:val="center"/>
                </w:tcPr>
                <w:p w14:paraId="38DBAF0E">
                  <w:pPr>
                    <w:autoSpaceDE w:val="0"/>
                    <w:autoSpaceDN w:val="0"/>
                    <w:spacing w:line="276" w:lineRule="auto"/>
                    <w:jc w:val="center"/>
                    <w:rPr>
                      <w:rFonts w:eastAsiaTheme="majorEastAsia"/>
                      <w:color w:val="auto"/>
                      <w:szCs w:val="21"/>
                    </w:rPr>
                  </w:pPr>
                  <w:r>
                    <w:rPr>
                      <w:rFonts w:eastAsiaTheme="majorEastAsia"/>
                      <w:color w:val="auto"/>
                      <w:szCs w:val="21"/>
                    </w:rPr>
                    <w:t>符合</w:t>
                  </w:r>
                </w:p>
              </w:tc>
            </w:tr>
            <w:tr w14:paraId="171F776F">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restart"/>
                  <w:vAlign w:val="center"/>
                </w:tcPr>
                <w:p w14:paraId="5DC5459B">
                  <w:pPr>
                    <w:autoSpaceDE w:val="0"/>
                    <w:autoSpaceDN w:val="0"/>
                    <w:spacing w:line="276" w:lineRule="auto"/>
                    <w:jc w:val="center"/>
                    <w:rPr>
                      <w:rFonts w:eastAsiaTheme="majorEastAsia"/>
                      <w:color w:val="auto"/>
                      <w:szCs w:val="21"/>
                    </w:rPr>
                  </w:pPr>
                  <w:r>
                    <w:rPr>
                      <w:rFonts w:eastAsiaTheme="majorEastAsia"/>
                      <w:color w:val="auto"/>
                      <w:szCs w:val="21"/>
                    </w:rPr>
                    <w:t>重点管控单元</w:t>
                  </w:r>
                </w:p>
              </w:tc>
              <w:tc>
                <w:tcPr>
                  <w:tcW w:w="0" w:type="auto"/>
                  <w:vMerge w:val="restart"/>
                  <w:vAlign w:val="center"/>
                </w:tcPr>
                <w:p w14:paraId="19AE2AFD">
                  <w:pPr>
                    <w:autoSpaceDE w:val="0"/>
                    <w:autoSpaceDN w:val="0"/>
                    <w:spacing w:line="276" w:lineRule="auto"/>
                    <w:jc w:val="center"/>
                    <w:rPr>
                      <w:rFonts w:eastAsiaTheme="majorEastAsia"/>
                      <w:color w:val="auto"/>
                      <w:szCs w:val="21"/>
                    </w:rPr>
                  </w:pPr>
                  <w:r>
                    <w:rPr>
                      <w:rFonts w:hint="eastAsia" w:eastAsiaTheme="majorEastAsia"/>
                      <w:color w:val="auto"/>
                      <w:szCs w:val="21"/>
                    </w:rPr>
                    <w:t>重点管控单元</w:t>
                  </w:r>
                </w:p>
                <w:p w14:paraId="2A9FA4CB">
                  <w:pPr>
                    <w:autoSpaceDE w:val="0"/>
                    <w:autoSpaceDN w:val="0"/>
                    <w:spacing w:line="276" w:lineRule="auto"/>
                    <w:jc w:val="center"/>
                    <w:rPr>
                      <w:rFonts w:eastAsiaTheme="majorEastAsia"/>
                      <w:color w:val="auto"/>
                      <w:szCs w:val="21"/>
                    </w:rPr>
                  </w:pPr>
                  <w:r>
                    <w:rPr>
                      <w:rFonts w:hint="eastAsia" w:eastAsiaTheme="majorEastAsia"/>
                      <w:color w:val="auto"/>
                      <w:szCs w:val="21"/>
                    </w:rPr>
                    <w:t>7</w:t>
                  </w:r>
                </w:p>
              </w:tc>
              <w:tc>
                <w:tcPr>
                  <w:tcW w:w="0" w:type="auto"/>
                  <w:vMerge w:val="continue"/>
                  <w:vAlign w:val="center"/>
                </w:tcPr>
                <w:p w14:paraId="76C93BA9">
                  <w:pPr>
                    <w:autoSpaceDE w:val="0"/>
                    <w:autoSpaceDN w:val="0"/>
                    <w:spacing w:line="276" w:lineRule="auto"/>
                    <w:jc w:val="center"/>
                    <w:rPr>
                      <w:rFonts w:eastAsiaTheme="majorEastAsia"/>
                      <w:color w:val="auto"/>
                      <w:szCs w:val="21"/>
                    </w:rPr>
                  </w:pPr>
                </w:p>
              </w:tc>
              <w:tc>
                <w:tcPr>
                  <w:tcW w:w="7487" w:type="dxa"/>
                  <w:vAlign w:val="center"/>
                </w:tcPr>
                <w:p w14:paraId="58B55266">
                  <w:pPr>
                    <w:autoSpaceDE w:val="0"/>
                    <w:autoSpaceDN w:val="0"/>
                    <w:spacing w:line="276" w:lineRule="auto"/>
                    <w:jc w:val="center"/>
                    <w:rPr>
                      <w:color w:val="auto"/>
                      <w:szCs w:val="21"/>
                    </w:rPr>
                  </w:pPr>
                  <w:r>
                    <w:rPr>
                      <w:color w:val="auto"/>
                      <w:szCs w:val="21"/>
                    </w:rPr>
                    <w:t>34.</w:t>
                  </w:r>
                  <w:r>
                    <w:rPr>
                      <w:rFonts w:hAnsi="宋体"/>
                      <w:color w:val="auto"/>
                      <w:szCs w:val="21"/>
                    </w:rPr>
                    <w:t>按照省政府下达给区域各市的水资源利用总量及效率要求执行。</w:t>
                  </w:r>
                  <w:r>
                    <w:rPr>
                      <w:color w:val="auto"/>
                      <w:szCs w:val="21"/>
                    </w:rPr>
                    <w:t>35.</w:t>
                  </w:r>
                  <w:r>
                    <w:rPr>
                      <w:rFonts w:hAnsi="宋体"/>
                      <w:color w:val="auto"/>
                      <w:szCs w:val="21"/>
                    </w:rPr>
                    <w:t>兴建地下工程设施或者进行地下勘探、采矿等活动，应当采取防护性措施，防止地下水污染。</w:t>
                  </w:r>
                  <w:r>
                    <w:rPr>
                      <w:color w:val="auto"/>
                      <w:szCs w:val="21"/>
                    </w:rPr>
                    <w:t>36.</w:t>
                  </w:r>
                  <w:r>
                    <w:rPr>
                      <w:rFonts w:hAnsi="宋体"/>
                      <w:color w:val="auto"/>
                      <w:szCs w:val="21"/>
                    </w:rPr>
                    <w:t>开采地下水时，对下列含水层应当分层开采，不得混合开采：（一）半咸水、咸水、卤水层；（二）已受污染的含水层；（三）含有毒有害元素，超过生活饮用水卫生标准的水层；（四）有医疗价值和特殊经济价值的地下热水、温泉水和矿泉水。</w:t>
                  </w:r>
                  <w:r>
                    <w:rPr>
                      <w:color w:val="auto"/>
                      <w:szCs w:val="21"/>
                    </w:rPr>
                    <w:t>37.</w:t>
                  </w:r>
                  <w:r>
                    <w:rPr>
                      <w:rFonts w:hAnsi="宋体"/>
                      <w:color w:val="auto"/>
                      <w:szCs w:val="21"/>
                    </w:rPr>
                    <w:t>淮河流域地下水开采区应当依靠降雨、地下径流、河流和湖泊、水库渗漏等补给地下水。人工回灌补给地下水，不得恶化地下水质。</w:t>
                  </w:r>
                  <w:r>
                    <w:rPr>
                      <w:color w:val="auto"/>
                      <w:szCs w:val="21"/>
                    </w:rPr>
                    <w:t>38.</w:t>
                  </w:r>
                  <w:r>
                    <w:rPr>
                      <w:rFonts w:hAnsi="宋体"/>
                      <w:color w:val="auto"/>
                      <w:szCs w:val="21"/>
                    </w:rPr>
                    <w:t>按照省政府下达给区域各市能源利用总量及效率要求执行。</w:t>
                  </w:r>
                  <w:r>
                    <w:rPr>
                      <w:color w:val="auto"/>
                      <w:szCs w:val="21"/>
                    </w:rPr>
                    <w:t>39.</w:t>
                  </w:r>
                  <w:r>
                    <w:rPr>
                      <w:rFonts w:hAnsi="宋体"/>
                      <w:color w:val="auto"/>
                      <w:szCs w:val="21"/>
                    </w:rPr>
                    <w:t>按照省级清单中禁燃区要求执行。</w:t>
                  </w:r>
                  <w:r>
                    <w:rPr>
                      <w:color w:val="auto"/>
                      <w:szCs w:val="21"/>
                    </w:rPr>
                    <w:t>40.</w:t>
                  </w:r>
                  <w:r>
                    <w:rPr>
                      <w:rFonts w:hAnsi="宋体"/>
                      <w:color w:val="auto"/>
                      <w:szCs w:val="21"/>
                    </w:rPr>
                    <w:t>土地资源利用效率按照省政府下达给区域各市的要求执行。</w:t>
                  </w:r>
                </w:p>
              </w:tc>
              <w:tc>
                <w:tcPr>
                  <w:tcW w:w="3341" w:type="dxa"/>
                  <w:vAlign w:val="center"/>
                </w:tcPr>
                <w:p w14:paraId="5DC64242">
                  <w:pPr>
                    <w:autoSpaceDE w:val="0"/>
                    <w:autoSpaceDN w:val="0"/>
                    <w:spacing w:line="276" w:lineRule="auto"/>
                    <w:jc w:val="center"/>
                    <w:rPr>
                      <w:color w:val="auto"/>
                      <w:szCs w:val="21"/>
                    </w:rPr>
                  </w:pPr>
                  <w:r>
                    <w:rPr>
                      <w:rFonts w:hAnsi="宋体"/>
                      <w:color w:val="auto"/>
                      <w:szCs w:val="21"/>
                    </w:rPr>
                    <w:t>本项目现有厂区用水由市政给水管网供给，不涉及地下水开发等活动；本项目已按照区域水资源利用总量及效率要求、省级清单中禁燃区要求、区域土地资源利用效率要求等要求执行。</w:t>
                  </w:r>
                </w:p>
              </w:tc>
              <w:tc>
                <w:tcPr>
                  <w:tcW w:w="0" w:type="auto"/>
                  <w:vAlign w:val="center"/>
                </w:tcPr>
                <w:p w14:paraId="6FB05268">
                  <w:pPr>
                    <w:autoSpaceDE w:val="0"/>
                    <w:autoSpaceDN w:val="0"/>
                    <w:spacing w:line="276" w:lineRule="auto"/>
                    <w:jc w:val="center"/>
                    <w:rPr>
                      <w:rFonts w:eastAsiaTheme="majorEastAsia"/>
                      <w:color w:val="auto"/>
                      <w:szCs w:val="21"/>
                    </w:rPr>
                  </w:pPr>
                  <w:r>
                    <w:rPr>
                      <w:rFonts w:eastAsiaTheme="majorEastAsia"/>
                      <w:color w:val="auto"/>
                      <w:szCs w:val="21"/>
                    </w:rPr>
                    <w:t>符合</w:t>
                  </w:r>
                </w:p>
              </w:tc>
            </w:tr>
            <w:tr w14:paraId="4F777958">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14:paraId="4619C696">
                  <w:pPr>
                    <w:autoSpaceDE w:val="0"/>
                    <w:autoSpaceDN w:val="0"/>
                    <w:spacing w:line="276" w:lineRule="auto"/>
                    <w:jc w:val="center"/>
                    <w:rPr>
                      <w:rFonts w:eastAsiaTheme="majorEastAsia"/>
                      <w:color w:val="auto"/>
                      <w:szCs w:val="21"/>
                    </w:rPr>
                  </w:pPr>
                </w:p>
              </w:tc>
              <w:tc>
                <w:tcPr>
                  <w:tcW w:w="0" w:type="auto"/>
                  <w:vMerge w:val="continue"/>
                  <w:vAlign w:val="center"/>
                </w:tcPr>
                <w:p w14:paraId="11F11F03">
                  <w:pPr>
                    <w:autoSpaceDE w:val="0"/>
                    <w:autoSpaceDN w:val="0"/>
                    <w:spacing w:line="276" w:lineRule="auto"/>
                    <w:jc w:val="center"/>
                    <w:rPr>
                      <w:rFonts w:eastAsiaTheme="majorEastAsia"/>
                      <w:color w:val="auto"/>
                      <w:szCs w:val="21"/>
                    </w:rPr>
                  </w:pPr>
                </w:p>
              </w:tc>
              <w:tc>
                <w:tcPr>
                  <w:tcW w:w="0" w:type="auto"/>
                  <w:vMerge w:val="continue"/>
                  <w:vAlign w:val="center"/>
                </w:tcPr>
                <w:p w14:paraId="6194C50B">
                  <w:pPr>
                    <w:autoSpaceDE w:val="0"/>
                    <w:autoSpaceDN w:val="0"/>
                    <w:spacing w:line="276" w:lineRule="auto"/>
                    <w:jc w:val="center"/>
                    <w:rPr>
                      <w:rFonts w:eastAsiaTheme="majorEastAsia"/>
                      <w:color w:val="auto"/>
                      <w:szCs w:val="21"/>
                    </w:rPr>
                  </w:pPr>
                </w:p>
              </w:tc>
              <w:tc>
                <w:tcPr>
                  <w:tcW w:w="7487" w:type="dxa"/>
                  <w:vAlign w:val="center"/>
                </w:tcPr>
                <w:p w14:paraId="5D4DAB70">
                  <w:pPr>
                    <w:autoSpaceDE w:val="0"/>
                    <w:autoSpaceDN w:val="0"/>
                    <w:spacing w:line="276" w:lineRule="auto"/>
                    <w:jc w:val="center"/>
                    <w:rPr>
                      <w:color w:val="auto"/>
                      <w:szCs w:val="21"/>
                    </w:rPr>
                  </w:pPr>
                  <w:r>
                    <w:rPr>
                      <w:color w:val="auto"/>
                      <w:szCs w:val="21"/>
                    </w:rPr>
                    <w:t>69.</w:t>
                  </w:r>
                  <w:r>
                    <w:rPr>
                      <w:rFonts w:hAnsi="宋体"/>
                      <w:color w:val="auto"/>
                      <w:szCs w:val="21"/>
                    </w:rPr>
                    <w:t>到</w:t>
                  </w:r>
                  <w:r>
                    <w:rPr>
                      <w:color w:val="auto"/>
                      <w:szCs w:val="21"/>
                    </w:rPr>
                    <w:t>2025</w:t>
                  </w:r>
                  <w:r>
                    <w:rPr>
                      <w:rFonts w:hAnsi="宋体"/>
                      <w:color w:val="auto"/>
                      <w:szCs w:val="21"/>
                    </w:rPr>
                    <w:t>年，全市用水总量控制在</w:t>
                  </w:r>
                  <w:r>
                    <w:rPr>
                      <w:color w:val="auto"/>
                      <w:szCs w:val="21"/>
                    </w:rPr>
                    <w:t>23.02</w:t>
                  </w:r>
                  <w:r>
                    <w:rPr>
                      <w:rFonts w:hAnsi="宋体"/>
                      <w:color w:val="auto"/>
                      <w:szCs w:val="21"/>
                    </w:rPr>
                    <w:t>亿</w:t>
                  </w:r>
                  <w:r>
                    <w:rPr>
                      <w:color w:val="auto"/>
                      <w:szCs w:val="21"/>
                    </w:rPr>
                    <w:t>m</w:t>
                  </w:r>
                  <w:r>
                    <w:rPr>
                      <w:color w:val="auto"/>
                      <w:szCs w:val="21"/>
                      <w:vertAlign w:val="superscript"/>
                    </w:rPr>
                    <w:t>3</w:t>
                  </w:r>
                  <w:r>
                    <w:rPr>
                      <w:rFonts w:hAnsi="宋体"/>
                      <w:color w:val="auto"/>
                      <w:szCs w:val="21"/>
                    </w:rPr>
                    <w:t>以内，万元</w:t>
                  </w:r>
                  <w:r>
                    <w:rPr>
                      <w:color w:val="auto"/>
                      <w:szCs w:val="21"/>
                    </w:rPr>
                    <w:t>GDP</w:t>
                  </w:r>
                  <w:r>
                    <w:rPr>
                      <w:rFonts w:hAnsi="宋体"/>
                      <w:color w:val="auto"/>
                      <w:szCs w:val="21"/>
                    </w:rPr>
                    <w:t>用水量和万元工业增加值用水量分别比</w:t>
                  </w:r>
                  <w:r>
                    <w:rPr>
                      <w:color w:val="auto"/>
                      <w:szCs w:val="21"/>
                    </w:rPr>
                    <w:t>2020</w:t>
                  </w:r>
                  <w:r>
                    <w:rPr>
                      <w:rFonts w:hAnsi="宋体"/>
                      <w:color w:val="auto"/>
                      <w:szCs w:val="21"/>
                    </w:rPr>
                    <w:t>年下降</w:t>
                  </w:r>
                  <w:r>
                    <w:rPr>
                      <w:color w:val="auto"/>
                      <w:szCs w:val="21"/>
                    </w:rPr>
                    <w:t>18.5%</w:t>
                  </w:r>
                  <w:r>
                    <w:rPr>
                      <w:rFonts w:hAnsi="宋体"/>
                      <w:color w:val="auto"/>
                      <w:szCs w:val="21"/>
                    </w:rPr>
                    <w:t>和</w:t>
                  </w:r>
                  <w:r>
                    <w:rPr>
                      <w:color w:val="auto"/>
                      <w:szCs w:val="21"/>
                    </w:rPr>
                    <w:t>18%</w:t>
                  </w:r>
                  <w:r>
                    <w:rPr>
                      <w:rFonts w:hAnsi="宋体"/>
                      <w:color w:val="auto"/>
                      <w:szCs w:val="21"/>
                    </w:rPr>
                    <w:t>，规模以上工业用水重复利用率达到</w:t>
                  </w:r>
                  <w:r>
                    <w:rPr>
                      <w:color w:val="auto"/>
                      <w:szCs w:val="21"/>
                    </w:rPr>
                    <w:t>93%</w:t>
                  </w:r>
                  <w:r>
                    <w:rPr>
                      <w:rFonts w:hAnsi="宋体"/>
                      <w:color w:val="auto"/>
                      <w:szCs w:val="21"/>
                    </w:rPr>
                    <w:t>，全市农田灌溉水有效利用系数提高到</w:t>
                  </w:r>
                  <w:r>
                    <w:rPr>
                      <w:color w:val="auto"/>
                      <w:szCs w:val="21"/>
                    </w:rPr>
                    <w:t>0.60</w:t>
                  </w:r>
                  <w:r>
                    <w:rPr>
                      <w:rFonts w:hAnsi="宋体"/>
                      <w:color w:val="auto"/>
                      <w:szCs w:val="21"/>
                    </w:rPr>
                    <w:t>；全市新增县域节水型社会达标县（区）</w:t>
                  </w:r>
                  <w:r>
                    <w:rPr>
                      <w:color w:val="auto"/>
                      <w:szCs w:val="21"/>
                    </w:rPr>
                    <w:t>4</w:t>
                  </w:r>
                  <w:r>
                    <w:rPr>
                      <w:rFonts w:hAnsi="宋体"/>
                      <w:color w:val="auto"/>
                      <w:szCs w:val="21"/>
                    </w:rPr>
                    <w:t>个，新增</w:t>
                  </w:r>
                  <w:r>
                    <w:rPr>
                      <w:color w:val="auto"/>
                      <w:szCs w:val="21"/>
                    </w:rPr>
                    <w:t>3</w:t>
                  </w:r>
                  <w:r>
                    <w:rPr>
                      <w:rFonts w:hAnsi="宋体"/>
                      <w:color w:val="auto"/>
                      <w:szCs w:val="21"/>
                    </w:rPr>
                    <w:t>个省级节水型园区、</w:t>
                  </w:r>
                  <w:r>
                    <w:rPr>
                      <w:color w:val="auto"/>
                      <w:szCs w:val="21"/>
                    </w:rPr>
                    <w:t>10</w:t>
                  </w:r>
                  <w:r>
                    <w:rPr>
                      <w:rFonts w:hAnsi="宋体"/>
                      <w:color w:val="auto"/>
                      <w:szCs w:val="21"/>
                    </w:rPr>
                    <w:t>家节水型企业、</w:t>
                  </w:r>
                  <w:r>
                    <w:rPr>
                      <w:color w:val="auto"/>
                      <w:szCs w:val="21"/>
                    </w:rPr>
                    <w:t>3</w:t>
                  </w:r>
                  <w:r>
                    <w:rPr>
                      <w:rFonts w:hAnsi="宋体"/>
                      <w:color w:val="auto"/>
                      <w:szCs w:val="21"/>
                    </w:rPr>
                    <w:t>个节水型灌区、</w:t>
                  </w:r>
                  <w:r>
                    <w:rPr>
                      <w:color w:val="auto"/>
                      <w:szCs w:val="21"/>
                    </w:rPr>
                    <w:t>6</w:t>
                  </w:r>
                  <w:r>
                    <w:rPr>
                      <w:rFonts w:hAnsi="宋体"/>
                      <w:color w:val="auto"/>
                      <w:szCs w:val="21"/>
                    </w:rPr>
                    <w:t>家节水型高校。城镇公共供水管网漏损率下降到</w:t>
                  </w:r>
                  <w:r>
                    <w:rPr>
                      <w:color w:val="auto"/>
                      <w:szCs w:val="21"/>
                    </w:rPr>
                    <w:t>10%</w:t>
                  </w:r>
                  <w:r>
                    <w:rPr>
                      <w:rFonts w:hAnsi="宋体"/>
                      <w:color w:val="auto"/>
                      <w:szCs w:val="21"/>
                    </w:rPr>
                    <w:t>，非常规水利用率达到</w:t>
                  </w:r>
                  <w:r>
                    <w:rPr>
                      <w:color w:val="auto"/>
                      <w:szCs w:val="21"/>
                    </w:rPr>
                    <w:t>25%</w:t>
                  </w:r>
                  <w:r>
                    <w:rPr>
                      <w:rFonts w:hAnsi="宋体"/>
                      <w:color w:val="auto"/>
                      <w:szCs w:val="21"/>
                    </w:rPr>
                    <w:t>，非农业用水计量率达到</w:t>
                  </w:r>
                  <w:r>
                    <w:rPr>
                      <w:color w:val="auto"/>
                      <w:szCs w:val="21"/>
                    </w:rPr>
                    <w:t>100%</w:t>
                  </w:r>
                  <w:r>
                    <w:rPr>
                      <w:rFonts w:hAnsi="宋体"/>
                      <w:color w:val="auto"/>
                      <w:szCs w:val="21"/>
                    </w:rPr>
                    <w:t>，大中型灌区渠首计量率达到</w:t>
                  </w:r>
                  <w:r>
                    <w:rPr>
                      <w:color w:val="auto"/>
                      <w:szCs w:val="21"/>
                    </w:rPr>
                    <w:t>100%</w:t>
                  </w:r>
                  <w:r>
                    <w:rPr>
                      <w:rFonts w:hAnsi="宋体"/>
                      <w:color w:val="auto"/>
                      <w:szCs w:val="21"/>
                    </w:rPr>
                    <w:t>。</w:t>
                  </w:r>
                  <w:r>
                    <w:rPr>
                      <w:color w:val="auto"/>
                      <w:szCs w:val="21"/>
                    </w:rPr>
                    <w:t>70.2025</w:t>
                  </w:r>
                  <w:r>
                    <w:rPr>
                      <w:rFonts w:hAnsi="宋体"/>
                      <w:color w:val="auto"/>
                      <w:szCs w:val="21"/>
                    </w:rPr>
                    <w:t>年天然气占能源消费比重达到</w:t>
                  </w:r>
                  <w:r>
                    <w:rPr>
                      <w:color w:val="auto"/>
                      <w:szCs w:val="21"/>
                    </w:rPr>
                    <w:t>8%</w:t>
                  </w:r>
                  <w:r>
                    <w:rPr>
                      <w:rFonts w:hAnsi="宋体"/>
                      <w:color w:val="auto"/>
                      <w:szCs w:val="21"/>
                    </w:rPr>
                    <w:t>以上。</w:t>
                  </w:r>
                  <w:r>
                    <w:rPr>
                      <w:color w:val="auto"/>
                      <w:szCs w:val="21"/>
                    </w:rPr>
                    <w:t>2025</w:t>
                  </w:r>
                  <w:r>
                    <w:rPr>
                      <w:rFonts w:hAnsi="宋体"/>
                      <w:color w:val="auto"/>
                      <w:szCs w:val="21"/>
                    </w:rPr>
                    <w:t>年非化石能源占能源消费总量的</w:t>
                  </w:r>
                  <w:r>
                    <w:rPr>
                      <w:color w:val="auto"/>
                      <w:szCs w:val="21"/>
                    </w:rPr>
                    <w:t>10%</w:t>
                  </w:r>
                  <w:r>
                    <w:rPr>
                      <w:rFonts w:hAnsi="宋体"/>
                      <w:color w:val="auto"/>
                      <w:szCs w:val="21"/>
                    </w:rPr>
                    <w:t>以上。</w:t>
                  </w:r>
                  <w:r>
                    <w:rPr>
                      <w:color w:val="auto"/>
                      <w:szCs w:val="21"/>
                    </w:rPr>
                    <w:t>71.</w:t>
                  </w:r>
                  <w:r>
                    <w:rPr>
                      <w:rFonts w:hAnsi="宋体"/>
                      <w:color w:val="auto"/>
                      <w:szCs w:val="21"/>
                    </w:rPr>
                    <w:t>控制煤炭消费总量，加快实施重点用能单位节能低碳行动和重点产业能效提升计划，严格执行高耗能行业产品能耗限额标准体系。推进煤电企业通过资产整合、股权投资等方式深度融合，提高煤炭就地转化率，提高煤电联营规模，推动电力、煤炭产业一体化协调发展。推进传统电力能源和电力新能源协调发展，建设智慧电厂，全面推行热电联产、冷热电联供模式，利用国际领先水平的清洁高效煤电成套设备，升级改造现役电厂发电设备和配套设施，全面提升电网智能化水平，提升电网接入和消纳能力。优化电力新能源项目布局，支持光伏发电、风电项目建设。严格实施行业内新建项目重点污染物排放等量或减量置换，煤炭、水泥等产能过剩行业实施重点污染物排放等量或减量置换。严格控制煤炭消费总量，落实煤炭消费减量替代与污染减排</w:t>
                  </w:r>
                  <w:r>
                    <w:rPr>
                      <w:color w:val="auto"/>
                      <w:szCs w:val="21"/>
                    </w:rPr>
                    <w:t>“</w:t>
                  </w:r>
                  <w:r>
                    <w:rPr>
                      <w:rFonts w:hAnsi="宋体"/>
                      <w:color w:val="auto"/>
                      <w:szCs w:val="21"/>
                    </w:rPr>
                    <w:t>双挂钩</w:t>
                  </w:r>
                  <w:r>
                    <w:rPr>
                      <w:color w:val="auto"/>
                      <w:szCs w:val="21"/>
                    </w:rPr>
                    <w:t>”</w:t>
                  </w:r>
                  <w:r>
                    <w:rPr>
                      <w:rFonts w:hAnsi="宋体"/>
                      <w:color w:val="auto"/>
                      <w:szCs w:val="21"/>
                    </w:rPr>
                    <w:t>制度，提高非化石能源消费比重，降低煤炭在能源总消费中比例。优化配置生产要素，发挥清洁能源市场规模优势和已有的能源产业基础优势，促进传统能源要素和新兴清洁能源要素的有机融合。</w:t>
                  </w:r>
                  <w:r>
                    <w:rPr>
                      <w:color w:val="auto"/>
                      <w:szCs w:val="21"/>
                    </w:rPr>
                    <w:t>72.</w:t>
                  </w:r>
                  <w:r>
                    <w:rPr>
                      <w:rFonts w:hAnsi="宋体"/>
                      <w:color w:val="auto"/>
                      <w:szCs w:val="21"/>
                    </w:rPr>
                    <w:t>加快淘汰国三及以下排放标准的柴油货车、老旧燃气车辆；</w:t>
                  </w:r>
                  <w:r>
                    <w:rPr>
                      <w:color w:val="auto"/>
                      <w:szCs w:val="21"/>
                    </w:rPr>
                    <w:t>73.</w:t>
                  </w:r>
                  <w:r>
                    <w:rPr>
                      <w:rFonts w:hAnsi="宋体"/>
                      <w:color w:val="auto"/>
                      <w:szCs w:val="21"/>
                    </w:rPr>
                    <w:t>禁燃区内禁止燃用《高污染燃料目录》中的</w:t>
                  </w:r>
                  <w:r>
                    <w:rPr>
                      <w:color w:val="auto"/>
                      <w:szCs w:val="21"/>
                    </w:rPr>
                    <w:t>Ⅱ</w:t>
                  </w:r>
                  <w:r>
                    <w:rPr>
                      <w:rFonts w:hAnsi="宋体"/>
                      <w:color w:val="auto"/>
                      <w:szCs w:val="21"/>
                    </w:rPr>
                    <w:t>类燃料组合，即在禁燃区内，禁止使用除单台出力大于等于</w:t>
                  </w:r>
                  <w:r>
                    <w:rPr>
                      <w:color w:val="auto"/>
                      <w:szCs w:val="21"/>
                    </w:rPr>
                    <w:t>20</w:t>
                  </w:r>
                  <w:r>
                    <w:rPr>
                      <w:rFonts w:hAnsi="宋体"/>
                      <w:color w:val="auto"/>
                      <w:szCs w:val="21"/>
                    </w:rPr>
                    <w:t>蒸吨</w:t>
                  </w:r>
                  <w:r>
                    <w:rPr>
                      <w:color w:val="auto"/>
                      <w:szCs w:val="21"/>
                    </w:rPr>
                    <w:t>/</w:t>
                  </w:r>
                  <w:r>
                    <w:rPr>
                      <w:rFonts w:hAnsi="宋体"/>
                      <w:color w:val="auto"/>
                      <w:szCs w:val="21"/>
                    </w:rPr>
                    <w:t>小时的锅炉以外燃用的煤炭及其制品，及石油焦、油页岩、原油、重油、渣油、煤焦油。</w:t>
                  </w:r>
                  <w:r>
                    <w:rPr>
                      <w:color w:val="auto"/>
                      <w:szCs w:val="21"/>
                    </w:rPr>
                    <w:t>74.</w:t>
                  </w:r>
                  <w:r>
                    <w:rPr>
                      <w:rFonts w:hAnsi="宋体"/>
                      <w:color w:val="auto"/>
                      <w:szCs w:val="21"/>
                    </w:rPr>
                    <w:t>禁燃区内禁止销售、燃用高污染燃料，不得新建、扩建燃用高污染燃料的锅炉、窑炉、炉灶等燃烧设施（集中供热、火电厂锅炉除外）。</w:t>
                  </w:r>
                  <w:r>
                    <w:rPr>
                      <w:color w:val="auto"/>
                      <w:szCs w:val="21"/>
                    </w:rPr>
                    <w:t>75.</w:t>
                  </w:r>
                  <w:r>
                    <w:rPr>
                      <w:rFonts w:hAnsi="宋体"/>
                      <w:color w:val="auto"/>
                      <w:szCs w:val="21"/>
                    </w:rPr>
                    <w:t>禁燃区内现有高污染燃料燃烧设施（集中供热、火电厂锅炉除外），完成改用天然气、液化石油气、电等清洁能源，或改用城市集中供热。逾期未改用的，不得继续使用。</w:t>
                  </w:r>
                  <w:r>
                    <w:rPr>
                      <w:color w:val="auto"/>
                      <w:szCs w:val="21"/>
                    </w:rPr>
                    <w:t>76.</w:t>
                  </w:r>
                  <w:r>
                    <w:rPr>
                      <w:rFonts w:hAnsi="宋体"/>
                      <w:color w:val="auto"/>
                      <w:szCs w:val="21"/>
                    </w:rPr>
                    <w:t>现有经济开发区等工业集中区应实施热电联产或集中供热改造，将工业企业纳入集中供热范围，逐步淘汰分散燃煤锅炉，核准审批新建热电联产项目要求关停的燃煤锅炉必须按期淘汰。</w:t>
                  </w:r>
                  <w:r>
                    <w:rPr>
                      <w:color w:val="auto"/>
                      <w:szCs w:val="21"/>
                    </w:rPr>
                    <w:t>77.</w:t>
                  </w:r>
                  <w:r>
                    <w:rPr>
                      <w:rFonts w:hAnsi="宋体"/>
                      <w:color w:val="auto"/>
                      <w:szCs w:val="21"/>
                    </w:rPr>
                    <w:t>淮南市禁燃区范围：（一）寿县：寿春镇（不含城南防洪圈堤以南地区），寿西湖农场，寿县工业园，寿县新桥国际产业园区，寿县蜀山现代产业园区。（二）凤台县：县城中心区域（东至淮河，西至凤蒙路</w:t>
                  </w:r>
                  <w:r>
                    <w:rPr>
                      <w:color w:val="auto"/>
                      <w:szCs w:val="21"/>
                    </w:rPr>
                    <w:t>-</w:t>
                  </w:r>
                  <w:r>
                    <w:rPr>
                      <w:rFonts w:hAnsi="宋体"/>
                      <w:color w:val="auto"/>
                      <w:szCs w:val="21"/>
                    </w:rPr>
                    <w:t>凤利路</w:t>
                  </w:r>
                  <w:r>
                    <w:rPr>
                      <w:color w:val="auto"/>
                      <w:szCs w:val="21"/>
                    </w:rPr>
                    <w:t>-</w:t>
                  </w:r>
                  <w:r>
                    <w:rPr>
                      <w:rFonts w:hAnsi="宋体"/>
                      <w:color w:val="auto"/>
                      <w:szCs w:val="21"/>
                    </w:rPr>
                    <w:t>南湖大道一线，南至淮河，北至淮阜铁路线）。（三）大通区：大通主城区（东至中兴路，西至居仁村，南至舜耕山，北至淮蚌铁路线），九龙岗镇城区（东至镇东路，西至万向路，南至舜耕山，北至洞山东路），国庆东路洛河段两侧</w:t>
                  </w:r>
                  <w:r>
                    <w:rPr>
                      <w:color w:val="auto"/>
                      <w:szCs w:val="21"/>
                    </w:rPr>
                    <w:t>500</w:t>
                  </w:r>
                  <w:r>
                    <w:rPr>
                      <w:rFonts w:hAnsi="宋体"/>
                      <w:color w:val="auto"/>
                      <w:szCs w:val="21"/>
                    </w:rPr>
                    <w:t>米范围内，国庆东路上窑段两侧</w:t>
                  </w:r>
                  <w:r>
                    <w:rPr>
                      <w:color w:val="auto"/>
                      <w:szCs w:val="21"/>
                    </w:rPr>
                    <w:t>500</w:t>
                  </w:r>
                  <w:r>
                    <w:rPr>
                      <w:rFonts w:hAnsi="宋体"/>
                      <w:color w:val="auto"/>
                      <w:szCs w:val="21"/>
                    </w:rPr>
                    <w:t>米范围内，大通工业园区。（四）田家庵区：东至田大路，西至与谢家集区交界处，南至舜耕山，北至淮河沿线。（五）谢家集区：东至沿矿路，西至东西部第二通道，南至谢李路环卫处、莲花市场一线，北至与八公山区交界处。（六）八公山区：东至水张铁路线（八公山镇至山王镇李嘴孜段），西至东西部第二通道，南至常山路，北至东西部第二通道与淮凤路交界处。（七）潘集区：东至齐云山路，西至西外环路，南至珠江路，北至滨河路。（八）毛集实验区：东至丁家沟，西至合淮阜高速连接线，南至焦岗湖大道，北至</w:t>
                  </w:r>
                  <w:r>
                    <w:rPr>
                      <w:color w:val="auto"/>
                      <w:szCs w:val="21"/>
                    </w:rPr>
                    <w:t>102</w:t>
                  </w:r>
                  <w:r>
                    <w:rPr>
                      <w:rFonts w:hAnsi="宋体"/>
                      <w:color w:val="auto"/>
                      <w:szCs w:val="21"/>
                    </w:rPr>
                    <w:t>省道范围内及焦岗湖景区。（九）淮南经济技术开发区：东至中兴路高压走廊</w:t>
                  </w:r>
                  <w:r>
                    <w:rPr>
                      <w:color w:val="auto"/>
                      <w:szCs w:val="21"/>
                    </w:rPr>
                    <w:t>-</w:t>
                  </w:r>
                  <w:r>
                    <w:rPr>
                      <w:rFonts w:hAnsi="宋体"/>
                      <w:color w:val="auto"/>
                      <w:szCs w:val="21"/>
                    </w:rPr>
                    <w:t>洛九路，西至田大路，南至洞山东路，北至淮河大坝。（十）淮南高新技术产业开发区：全部辖区。（十一）八公山风景名胜区、舜耕山风景区、上窑国家森林公园：全部辖区。</w:t>
                  </w:r>
                  <w:r>
                    <w:rPr>
                      <w:color w:val="auto"/>
                      <w:szCs w:val="21"/>
                    </w:rPr>
                    <w:t>78.</w:t>
                  </w:r>
                  <w:r>
                    <w:rPr>
                      <w:rFonts w:hAnsi="宋体"/>
                      <w:color w:val="auto"/>
                      <w:szCs w:val="21"/>
                    </w:rPr>
                    <w:t>烟花爆竹禁放区域：田家庵区、谢家集区、八公山区、大通区行政区域内禁止燃放烟花爆竹。空气重污染黄色、橙色、红色预警期间，本市行政区域内禁止燃放烟花爆竹。禁放地点：田家庵区、谢家集区、八公山区、大通区行政区域外，下列地点禁止燃放烟花爆竹：（一）国家机关、人民团体和广播电台、电视台等重要新闻单位；（二）火车站、汽车站、码头等交通枢纽以及铁路线路安全保护区；（三）商场（超市）、影剧院、旅游景区、公园等人员密集的公共场所；（四）教育、科研、医疗等单位和养老机构、儿童福利院；（五）博物馆、图书馆、档案馆、文物保护单位；（六）经营性墓地、陵园；（七）重要军事设施保护区；（八）企业生产经营场所、物资储存仓库；（九）山林、苗圃等重点防火区；（十）生产、储存、经营易燃易爆物品、民用爆炸物品、化学危险品的场所，加油（气）站、输气（油）管线、输变电设施安全保护区；（十一）高层建筑、停车场（库）；（十二）市人民政府和县、区人民政府规定的其他地点。</w:t>
                  </w:r>
                </w:p>
              </w:tc>
              <w:tc>
                <w:tcPr>
                  <w:tcW w:w="3341" w:type="dxa"/>
                  <w:vAlign w:val="center"/>
                </w:tcPr>
                <w:p w14:paraId="65AF11D2">
                  <w:pPr>
                    <w:autoSpaceDE w:val="0"/>
                    <w:autoSpaceDN w:val="0"/>
                    <w:spacing w:line="276" w:lineRule="auto"/>
                    <w:jc w:val="center"/>
                    <w:rPr>
                      <w:color w:val="auto"/>
                      <w:szCs w:val="21"/>
                    </w:rPr>
                  </w:pPr>
                  <w:r>
                    <w:rPr>
                      <w:rFonts w:hAnsi="宋体"/>
                      <w:color w:val="auto"/>
                      <w:szCs w:val="21"/>
                    </w:rPr>
                    <w:t>本次改建项目仅新增少量用水，新增电能。现有项目工业炉窑采用天然气燃料，不涉及煤炭燃烧，符合禁燃区资源利用要求。</w:t>
                  </w:r>
                </w:p>
              </w:tc>
              <w:tc>
                <w:tcPr>
                  <w:tcW w:w="0" w:type="auto"/>
                  <w:vAlign w:val="center"/>
                </w:tcPr>
                <w:p w14:paraId="0E672653">
                  <w:pPr>
                    <w:autoSpaceDE w:val="0"/>
                    <w:autoSpaceDN w:val="0"/>
                    <w:spacing w:line="276" w:lineRule="auto"/>
                    <w:jc w:val="center"/>
                    <w:rPr>
                      <w:rFonts w:eastAsiaTheme="majorEastAsia"/>
                      <w:color w:val="auto"/>
                      <w:szCs w:val="21"/>
                    </w:rPr>
                  </w:pPr>
                  <w:r>
                    <w:rPr>
                      <w:rFonts w:eastAsiaTheme="majorEastAsia"/>
                      <w:color w:val="auto"/>
                      <w:szCs w:val="21"/>
                    </w:rPr>
                    <w:t>符合</w:t>
                  </w:r>
                </w:p>
              </w:tc>
            </w:tr>
          </w:tbl>
          <w:p w14:paraId="79CB8DB8">
            <w:pPr>
              <w:widowControl/>
              <w:spacing w:line="360" w:lineRule="auto"/>
              <w:jc w:val="left"/>
              <w:outlineLvl w:val="0"/>
              <w:rPr>
                <w:rFonts w:ascii="宋体" w:hAnsi="宋体"/>
                <w:b/>
                <w:bCs/>
                <w:color w:val="auto"/>
                <w:kern w:val="0"/>
                <w:sz w:val="24"/>
                <w:szCs w:val="24"/>
              </w:rPr>
            </w:pPr>
          </w:p>
          <w:p w14:paraId="2AFD8AC7">
            <w:pPr>
              <w:widowControl/>
              <w:spacing w:line="360" w:lineRule="auto"/>
              <w:jc w:val="left"/>
              <w:outlineLvl w:val="0"/>
              <w:rPr>
                <w:rFonts w:ascii="宋体" w:hAnsi="宋体"/>
                <w:b/>
                <w:bCs/>
                <w:color w:val="auto"/>
                <w:kern w:val="0"/>
                <w:sz w:val="24"/>
                <w:szCs w:val="24"/>
              </w:rPr>
            </w:pPr>
          </w:p>
          <w:p w14:paraId="462C5B35">
            <w:pPr>
              <w:widowControl/>
              <w:spacing w:line="360" w:lineRule="auto"/>
              <w:jc w:val="left"/>
              <w:outlineLvl w:val="0"/>
              <w:rPr>
                <w:rFonts w:ascii="宋体" w:hAnsi="宋体"/>
                <w:b/>
                <w:bCs/>
                <w:color w:val="auto"/>
                <w:kern w:val="0"/>
                <w:sz w:val="24"/>
                <w:szCs w:val="24"/>
              </w:rPr>
            </w:pPr>
          </w:p>
          <w:p w14:paraId="60850CA3">
            <w:pPr>
              <w:widowControl/>
              <w:spacing w:line="360" w:lineRule="auto"/>
              <w:jc w:val="left"/>
              <w:outlineLvl w:val="0"/>
              <w:rPr>
                <w:rFonts w:ascii="宋体" w:hAnsi="宋体"/>
                <w:b/>
                <w:bCs/>
                <w:color w:val="auto"/>
                <w:kern w:val="0"/>
                <w:sz w:val="24"/>
                <w:szCs w:val="24"/>
              </w:rPr>
            </w:pPr>
          </w:p>
          <w:p w14:paraId="4D720829">
            <w:pPr>
              <w:widowControl/>
              <w:spacing w:line="360" w:lineRule="auto"/>
              <w:jc w:val="left"/>
              <w:outlineLvl w:val="0"/>
              <w:rPr>
                <w:rFonts w:ascii="宋体" w:hAnsi="宋体"/>
                <w:b/>
                <w:bCs/>
                <w:color w:val="auto"/>
                <w:kern w:val="0"/>
                <w:sz w:val="24"/>
                <w:szCs w:val="24"/>
              </w:rPr>
            </w:pPr>
          </w:p>
          <w:p w14:paraId="2C604DAC">
            <w:pPr>
              <w:widowControl/>
              <w:spacing w:line="360" w:lineRule="auto"/>
              <w:jc w:val="left"/>
              <w:outlineLvl w:val="0"/>
              <w:rPr>
                <w:rFonts w:ascii="宋体" w:hAnsi="宋体"/>
                <w:b/>
                <w:bCs/>
                <w:color w:val="auto"/>
                <w:kern w:val="0"/>
                <w:sz w:val="24"/>
                <w:szCs w:val="24"/>
              </w:rPr>
            </w:pPr>
          </w:p>
          <w:p w14:paraId="668A00FF">
            <w:pPr>
              <w:widowControl/>
              <w:spacing w:line="360" w:lineRule="auto"/>
              <w:jc w:val="left"/>
              <w:outlineLvl w:val="0"/>
              <w:rPr>
                <w:rFonts w:ascii="宋体" w:hAnsi="宋体"/>
                <w:b/>
                <w:bCs/>
                <w:color w:val="auto"/>
                <w:kern w:val="0"/>
                <w:sz w:val="24"/>
                <w:szCs w:val="24"/>
              </w:rPr>
            </w:pPr>
          </w:p>
          <w:p w14:paraId="72525794">
            <w:pPr>
              <w:widowControl/>
              <w:spacing w:line="360" w:lineRule="auto"/>
              <w:jc w:val="left"/>
              <w:outlineLvl w:val="0"/>
              <w:rPr>
                <w:rFonts w:ascii="宋体" w:hAnsi="宋体"/>
                <w:b/>
                <w:bCs/>
                <w:color w:val="auto"/>
                <w:kern w:val="0"/>
                <w:sz w:val="24"/>
                <w:szCs w:val="24"/>
              </w:rPr>
            </w:pPr>
          </w:p>
          <w:p w14:paraId="1098721F">
            <w:pPr>
              <w:widowControl/>
              <w:spacing w:line="360" w:lineRule="auto"/>
              <w:jc w:val="left"/>
              <w:outlineLvl w:val="0"/>
              <w:rPr>
                <w:rFonts w:ascii="宋体" w:hAnsi="宋体"/>
                <w:b/>
                <w:bCs/>
                <w:color w:val="auto"/>
                <w:kern w:val="0"/>
                <w:sz w:val="24"/>
                <w:szCs w:val="24"/>
              </w:rPr>
            </w:pPr>
          </w:p>
          <w:p w14:paraId="33C6A78C">
            <w:pPr>
              <w:widowControl/>
              <w:spacing w:line="360" w:lineRule="auto"/>
              <w:jc w:val="left"/>
              <w:outlineLvl w:val="0"/>
              <w:rPr>
                <w:rFonts w:ascii="宋体" w:hAnsi="宋体"/>
                <w:b/>
                <w:bCs/>
                <w:color w:val="auto"/>
                <w:kern w:val="0"/>
                <w:sz w:val="24"/>
                <w:szCs w:val="24"/>
              </w:rPr>
            </w:pPr>
          </w:p>
          <w:p w14:paraId="0AC74CF6">
            <w:pPr>
              <w:widowControl/>
              <w:spacing w:line="360" w:lineRule="auto"/>
              <w:jc w:val="left"/>
              <w:outlineLvl w:val="0"/>
              <w:rPr>
                <w:rFonts w:ascii="宋体" w:hAnsi="宋体"/>
                <w:b/>
                <w:bCs/>
                <w:color w:val="auto"/>
                <w:kern w:val="0"/>
                <w:sz w:val="24"/>
                <w:szCs w:val="24"/>
              </w:rPr>
            </w:pPr>
          </w:p>
        </w:tc>
      </w:tr>
    </w:tbl>
    <w:p w14:paraId="4C7A3788">
      <w:pPr>
        <w:widowControl/>
        <w:jc w:val="left"/>
        <w:outlineLvl w:val="0"/>
        <w:rPr>
          <w:rFonts w:ascii="宋体" w:hAnsi="宋体"/>
          <w:b/>
          <w:bCs/>
          <w:color w:val="auto"/>
          <w:kern w:val="0"/>
          <w:sz w:val="30"/>
          <w:szCs w:val="30"/>
        </w:rPr>
        <w:sectPr>
          <w:pgSz w:w="16838" w:h="11906" w:orient="landscape"/>
          <w:pgMar w:top="1797" w:right="1440" w:bottom="1508" w:left="1440" w:header="851" w:footer="992" w:gutter="0"/>
          <w:cols w:space="720" w:num="1"/>
          <w:docGrid w:type="lines" w:linePitch="312" w:charSpace="0"/>
        </w:sectPr>
      </w:pPr>
    </w:p>
    <w:p w14:paraId="0719C661">
      <w:pPr>
        <w:widowControl/>
        <w:jc w:val="center"/>
        <w:outlineLvl w:val="0"/>
        <w:rPr>
          <w:rFonts w:ascii="宋体" w:hAnsi="宋体"/>
          <w:b/>
          <w:bCs/>
          <w:color w:val="auto"/>
          <w:kern w:val="0"/>
          <w:sz w:val="30"/>
          <w:szCs w:val="30"/>
        </w:rPr>
      </w:pPr>
      <w:r>
        <w:rPr>
          <w:rFonts w:ascii="宋体" w:hAnsi="宋体"/>
          <w:b/>
          <w:bCs/>
          <w:color w:val="auto"/>
          <w:kern w:val="0"/>
          <w:sz w:val="30"/>
          <w:szCs w:val="30"/>
        </w:rPr>
        <w:t>二</w:t>
      </w:r>
      <w:r>
        <w:rPr>
          <w:rFonts w:hint="eastAsia" w:ascii="宋体" w:hAnsi="宋体"/>
          <w:b/>
          <w:bCs/>
          <w:color w:val="auto"/>
          <w:kern w:val="0"/>
          <w:sz w:val="30"/>
          <w:szCs w:val="30"/>
        </w:rPr>
        <w:t>、</w:t>
      </w:r>
      <w:bookmarkEnd w:id="2"/>
      <w:r>
        <w:rPr>
          <w:rFonts w:ascii="宋体" w:hAnsi="宋体"/>
          <w:b/>
          <w:bCs/>
          <w:color w:val="auto"/>
          <w:kern w:val="0"/>
          <w:sz w:val="30"/>
          <w:szCs w:val="30"/>
        </w:rPr>
        <w:t>建设项目工程分析</w:t>
      </w:r>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
        <w:gridCol w:w="8363"/>
      </w:tblGrid>
      <w:tr w14:paraId="27C55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88" w:hRule="atLeast"/>
        </w:trPr>
        <w:tc>
          <w:tcPr>
            <w:tcW w:w="454" w:type="dxa"/>
            <w:vAlign w:val="center"/>
          </w:tcPr>
          <w:p w14:paraId="48801DED">
            <w:pPr>
              <w:widowControl/>
              <w:spacing w:line="360" w:lineRule="auto"/>
              <w:jc w:val="center"/>
              <w:rPr>
                <w:rFonts w:hAnsi="宋体"/>
                <w:color w:val="auto"/>
                <w:kern w:val="0"/>
                <w:sz w:val="24"/>
              </w:rPr>
            </w:pPr>
            <w:r>
              <w:rPr>
                <w:rFonts w:hAnsi="宋体"/>
                <w:color w:val="auto"/>
                <w:kern w:val="0"/>
                <w:sz w:val="24"/>
              </w:rPr>
              <w:t>建设</w:t>
            </w:r>
          </w:p>
          <w:p w14:paraId="2E23CCC5">
            <w:pPr>
              <w:widowControl/>
              <w:spacing w:line="360" w:lineRule="auto"/>
              <w:jc w:val="center"/>
              <w:rPr>
                <w:b/>
                <w:bCs/>
                <w:color w:val="auto"/>
                <w:kern w:val="0"/>
                <w:sz w:val="24"/>
                <w:szCs w:val="28"/>
              </w:rPr>
            </w:pPr>
            <w:r>
              <w:rPr>
                <w:rFonts w:hAnsi="宋体"/>
                <w:color w:val="auto"/>
                <w:kern w:val="0"/>
                <w:sz w:val="24"/>
              </w:rPr>
              <w:t>内容</w:t>
            </w:r>
          </w:p>
        </w:tc>
        <w:tc>
          <w:tcPr>
            <w:tcW w:w="8363" w:type="dxa"/>
          </w:tcPr>
          <w:p w14:paraId="394B222C">
            <w:pPr>
              <w:spacing w:line="360" w:lineRule="auto"/>
              <w:ind w:firstLine="482" w:firstLineChars="200"/>
              <w:rPr>
                <w:b/>
                <w:color w:val="auto"/>
                <w:sz w:val="24"/>
              </w:rPr>
            </w:pPr>
            <w:r>
              <w:rPr>
                <w:rFonts w:hint="eastAsia"/>
                <w:b/>
                <w:color w:val="auto"/>
                <w:sz w:val="24"/>
              </w:rPr>
              <w:t>1、项目背景</w:t>
            </w:r>
          </w:p>
          <w:p w14:paraId="026FD557">
            <w:pPr>
              <w:pStyle w:val="108"/>
              <w:adjustRightInd/>
              <w:spacing w:line="360" w:lineRule="auto"/>
              <w:ind w:firstLine="480" w:firstLineChars="200"/>
              <w:rPr>
                <w:color w:val="auto"/>
              </w:rPr>
            </w:pPr>
            <w:r>
              <w:rPr>
                <w:rFonts w:ascii="CIDFont+F2" w:hAnsi="CIDFont+F2"/>
                <w:color w:val="auto"/>
              </w:rPr>
              <w:t>安徽发强玻璃有限责任公司是淮南市较大的日用玻璃生产基地之一，分为东厂区和西厂区。随着市场需求的不断扩大，现对其一车间、三车间玻璃制品生产线进行技术改造，主要工程内容为：</w:t>
            </w:r>
            <w:r>
              <w:rPr>
                <w:rFonts w:hint="eastAsia" w:ascii="CIDFont+F2" w:hAnsi="CIDFont+F2"/>
                <w:color w:val="auto"/>
              </w:rPr>
              <w:t>在</w:t>
            </w:r>
            <w:r>
              <w:rPr>
                <w:rFonts w:ascii="CIDFont+F2" w:hAnsi="CIDFont+F2"/>
                <w:color w:val="auto"/>
              </w:rPr>
              <w:t>现有厂区一车间、三车间内，各增加</w:t>
            </w:r>
            <w:r>
              <w:rPr>
                <w:rFonts w:hint="eastAsia" w:ascii="CIDFont+F2" w:hAnsi="CIDFont+F2"/>
                <w:color w:val="auto"/>
              </w:rPr>
              <w:t>1套热端喷涂装置及1套废气处理设施，新增玻璃喷涂工序，年产1500万只着色玻璃制品。</w:t>
            </w:r>
            <w:r>
              <w:rPr>
                <w:rFonts w:hint="eastAsia"/>
                <w:color w:val="auto"/>
              </w:rPr>
              <w:t>2024年8月21日，“玻璃制品着色项目”通过淮南市田家庵区发展改革委首次备案（项目代码：2408-340403-04-05-192782），同意项目建设；2024年10月16日，对项目备案内容进行调整。</w:t>
            </w:r>
          </w:p>
          <w:p w14:paraId="643DB019">
            <w:pPr>
              <w:pStyle w:val="8"/>
              <w:spacing w:line="360" w:lineRule="auto"/>
              <w:ind w:firstLine="480" w:firstLineChars="200"/>
              <w:rPr>
                <w:color w:val="auto"/>
                <w:sz w:val="24"/>
              </w:rPr>
            </w:pPr>
            <w:r>
              <w:rPr>
                <w:rFonts w:hint="eastAsia" w:hAnsi="宋体"/>
                <w:color w:val="auto"/>
                <w:sz w:val="24"/>
              </w:rPr>
              <w:t>根据《中华人民共和国环境保护法》（主席令2014年第9号）、《中华人民共和国</w:t>
            </w:r>
            <w:r>
              <w:rPr>
                <w:rFonts w:hint="eastAsia" w:hAnsi="宋体"/>
                <w:color w:val="auto"/>
                <w:sz w:val="24"/>
                <w:szCs w:val="24"/>
              </w:rPr>
              <w:t>环境影响评价法》（2018年12月29日修订）中有关规定，同时根据《建设项目环境影响评价分</w:t>
            </w:r>
            <w:r>
              <w:rPr>
                <w:color w:val="auto"/>
                <w:sz w:val="24"/>
                <w:szCs w:val="24"/>
              </w:rPr>
              <w:t>类管理名录》（2021年版），</w:t>
            </w:r>
            <w:r>
              <w:rPr>
                <w:rFonts w:hAnsi="宋体"/>
                <w:color w:val="auto"/>
                <w:sz w:val="24"/>
                <w:szCs w:val="24"/>
              </w:rPr>
              <w:t>本项目属于</w:t>
            </w:r>
            <w:r>
              <w:rPr>
                <w:rFonts w:ascii="宋体" w:hAnsi="宋体"/>
                <w:color w:val="auto"/>
                <w:sz w:val="24"/>
                <w:szCs w:val="24"/>
              </w:rPr>
              <w:t>“</w:t>
            </w:r>
            <w:r>
              <w:rPr>
                <w:rFonts w:hint="eastAsia" w:ascii="宋体" w:hAnsi="宋体"/>
                <w:color w:val="auto"/>
                <w:sz w:val="24"/>
                <w:szCs w:val="24"/>
              </w:rPr>
              <w:t>二十七</w:t>
            </w:r>
            <w:r>
              <w:rPr>
                <w:rFonts w:ascii="宋体" w:hAnsi="宋体"/>
                <w:color w:val="auto"/>
                <w:sz w:val="24"/>
                <w:szCs w:val="24"/>
              </w:rPr>
              <w:t>、</w:t>
            </w:r>
            <w:r>
              <w:rPr>
                <w:rFonts w:hint="eastAsia" w:ascii="宋体" w:hAnsi="宋体"/>
                <w:color w:val="auto"/>
                <w:sz w:val="24"/>
                <w:szCs w:val="24"/>
              </w:rPr>
              <w:t>非金属</w:t>
            </w:r>
            <w:r>
              <w:rPr>
                <w:rFonts w:ascii="宋体" w:hAnsi="宋体"/>
                <w:color w:val="auto"/>
                <w:sz w:val="24"/>
                <w:szCs w:val="24"/>
              </w:rPr>
              <w:t>矿物制品业</w:t>
            </w:r>
            <w:r>
              <w:rPr>
                <w:rFonts w:hint="eastAsia"/>
                <w:color w:val="auto"/>
                <w:sz w:val="24"/>
                <w:szCs w:val="24"/>
              </w:rPr>
              <w:t>30</w:t>
            </w:r>
            <w:r>
              <w:rPr>
                <w:rFonts w:ascii="宋体" w:hAnsi="宋体"/>
                <w:color w:val="auto"/>
                <w:sz w:val="24"/>
                <w:szCs w:val="24"/>
              </w:rPr>
              <w:t>”的“</w:t>
            </w:r>
            <w:r>
              <w:rPr>
                <w:rFonts w:hint="eastAsia"/>
                <w:color w:val="auto"/>
                <w:sz w:val="24"/>
                <w:szCs w:val="24"/>
              </w:rPr>
              <w:t>57玻璃制品制造305</w:t>
            </w:r>
            <w:r>
              <w:rPr>
                <w:rFonts w:ascii="宋体" w:hAnsi="宋体"/>
                <w:color w:val="auto"/>
                <w:sz w:val="24"/>
                <w:szCs w:val="24"/>
              </w:rPr>
              <w:t>”的“</w:t>
            </w:r>
            <w:r>
              <w:rPr>
                <w:rFonts w:hint="eastAsia" w:ascii="宋体" w:hAnsi="宋体"/>
                <w:color w:val="auto"/>
                <w:sz w:val="24"/>
                <w:szCs w:val="24"/>
              </w:rPr>
              <w:t>玻璃制品</w:t>
            </w:r>
            <w:r>
              <w:rPr>
                <w:rFonts w:ascii="宋体" w:hAnsi="宋体"/>
                <w:color w:val="auto"/>
                <w:sz w:val="24"/>
                <w:szCs w:val="24"/>
              </w:rPr>
              <w:t>制造（电电加热的除外；仅切割、打磨、成型的除外）”，建设项目应编制环境影响报告表</w:t>
            </w:r>
            <w:r>
              <w:rPr>
                <w:rFonts w:ascii="宋体" w:hAnsi="宋体"/>
                <w:color w:val="auto"/>
                <w:sz w:val="24"/>
              </w:rPr>
              <w:t>。</w:t>
            </w:r>
          </w:p>
          <w:p w14:paraId="53B90D34">
            <w:pPr>
              <w:pStyle w:val="219"/>
              <w:jc w:val="center"/>
              <w:rPr>
                <w:rFonts w:eastAsia="黑体" w:cs="Times New Roman"/>
                <w:color w:val="auto"/>
                <w:szCs w:val="21"/>
              </w:rPr>
            </w:pPr>
            <w:r>
              <w:rPr>
                <w:rFonts w:hAnsi="黑体" w:eastAsia="黑体" w:cs="Times New Roman"/>
                <w:color w:val="auto"/>
              </w:rPr>
              <w:t>表</w:t>
            </w:r>
            <w:r>
              <w:rPr>
                <w:rFonts w:hint="eastAsia" w:eastAsia="黑体" w:cs="Times New Roman"/>
                <w:color w:val="auto"/>
              </w:rPr>
              <w:t>9</w:t>
            </w:r>
            <w:r>
              <w:rPr>
                <w:rFonts w:eastAsia="黑体" w:cs="Times New Roman"/>
                <w:color w:val="auto"/>
              </w:rPr>
              <w:t xml:space="preserve">  </w:t>
            </w:r>
            <w:r>
              <w:rPr>
                <w:rFonts w:hAnsi="黑体" w:eastAsia="黑体" w:cs="Times New Roman"/>
                <w:color w:val="auto"/>
              </w:rPr>
              <w:t>建设项目环境影响评价分类管理名录</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35"/>
              <w:gridCol w:w="1983"/>
              <w:gridCol w:w="3397"/>
              <w:gridCol w:w="946"/>
            </w:tblGrid>
            <w:tr w14:paraId="0E34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4" w:type="pct"/>
                  <w:gridSpan w:val="2"/>
                  <w:tcBorders>
                    <w:top w:val="single" w:color="auto" w:sz="12" w:space="0"/>
                    <w:left w:val="nil"/>
                    <w:tl2br w:val="single" w:color="auto" w:sz="4" w:space="0"/>
                  </w:tcBorders>
                  <w:vAlign w:val="center"/>
                </w:tcPr>
                <w:p w14:paraId="7EEA5ED8">
                  <w:pPr>
                    <w:autoSpaceDE w:val="0"/>
                    <w:autoSpaceDN w:val="0"/>
                    <w:spacing w:line="276" w:lineRule="auto"/>
                    <w:jc w:val="right"/>
                    <w:rPr>
                      <w:b/>
                      <w:color w:val="auto"/>
                      <w:szCs w:val="21"/>
                    </w:rPr>
                  </w:pPr>
                  <w:r>
                    <w:rPr>
                      <w:rFonts w:hAnsi="宋体"/>
                      <w:b/>
                      <w:color w:val="auto"/>
                      <w:szCs w:val="21"/>
                    </w:rPr>
                    <w:t>环评类别</w:t>
                  </w:r>
                </w:p>
                <w:p w14:paraId="6AC7F18E">
                  <w:pPr>
                    <w:spacing w:line="276" w:lineRule="auto"/>
                    <w:jc w:val="left"/>
                    <w:rPr>
                      <w:color w:val="auto"/>
                    </w:rPr>
                  </w:pPr>
                  <w:r>
                    <w:rPr>
                      <w:rFonts w:hAnsi="宋体"/>
                      <w:b/>
                      <w:color w:val="auto"/>
                      <w:szCs w:val="21"/>
                    </w:rPr>
                    <w:t>项目类别</w:t>
                  </w:r>
                </w:p>
              </w:tc>
              <w:tc>
                <w:tcPr>
                  <w:tcW w:w="1218" w:type="pct"/>
                  <w:tcBorders>
                    <w:top w:val="single" w:color="auto" w:sz="12" w:space="0"/>
                  </w:tcBorders>
                  <w:vAlign w:val="center"/>
                </w:tcPr>
                <w:p w14:paraId="7AF3C0B2">
                  <w:pPr>
                    <w:autoSpaceDE w:val="0"/>
                    <w:autoSpaceDN w:val="0"/>
                    <w:spacing w:line="276" w:lineRule="auto"/>
                    <w:jc w:val="center"/>
                    <w:rPr>
                      <w:b/>
                      <w:color w:val="auto"/>
                      <w:szCs w:val="21"/>
                    </w:rPr>
                  </w:pPr>
                  <w:r>
                    <w:rPr>
                      <w:rFonts w:hAnsi="宋体"/>
                      <w:b/>
                      <w:color w:val="auto"/>
                      <w:szCs w:val="21"/>
                    </w:rPr>
                    <w:t>报告书</w:t>
                  </w:r>
                </w:p>
              </w:tc>
              <w:tc>
                <w:tcPr>
                  <w:tcW w:w="2087" w:type="pct"/>
                  <w:tcBorders>
                    <w:top w:val="single" w:color="auto" w:sz="12" w:space="0"/>
                  </w:tcBorders>
                  <w:shd w:val="clear" w:color="auto" w:fill="D9D9D9"/>
                  <w:vAlign w:val="center"/>
                </w:tcPr>
                <w:p w14:paraId="2191E5D2">
                  <w:pPr>
                    <w:autoSpaceDE w:val="0"/>
                    <w:autoSpaceDN w:val="0"/>
                    <w:spacing w:line="276" w:lineRule="auto"/>
                    <w:jc w:val="center"/>
                    <w:rPr>
                      <w:b/>
                      <w:color w:val="auto"/>
                      <w:szCs w:val="21"/>
                    </w:rPr>
                  </w:pPr>
                  <w:r>
                    <w:rPr>
                      <w:rFonts w:hAnsi="宋体"/>
                      <w:b/>
                      <w:color w:val="auto"/>
                      <w:szCs w:val="21"/>
                    </w:rPr>
                    <w:t>报告表</w:t>
                  </w:r>
                </w:p>
              </w:tc>
              <w:tc>
                <w:tcPr>
                  <w:tcW w:w="581" w:type="pct"/>
                  <w:tcBorders>
                    <w:top w:val="single" w:color="auto" w:sz="12" w:space="0"/>
                    <w:right w:val="nil"/>
                  </w:tcBorders>
                  <w:vAlign w:val="center"/>
                </w:tcPr>
                <w:p w14:paraId="71C5A2B2">
                  <w:pPr>
                    <w:autoSpaceDE w:val="0"/>
                    <w:autoSpaceDN w:val="0"/>
                    <w:spacing w:line="276" w:lineRule="auto"/>
                    <w:jc w:val="center"/>
                    <w:rPr>
                      <w:b/>
                      <w:color w:val="auto"/>
                      <w:szCs w:val="21"/>
                    </w:rPr>
                  </w:pPr>
                  <w:r>
                    <w:rPr>
                      <w:rFonts w:hAnsi="宋体"/>
                      <w:b/>
                      <w:color w:val="auto"/>
                      <w:szCs w:val="21"/>
                    </w:rPr>
                    <w:t>登记表</w:t>
                  </w:r>
                </w:p>
              </w:tc>
            </w:tr>
            <w:tr w14:paraId="657C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5000" w:type="pct"/>
                  <w:gridSpan w:val="5"/>
                  <w:tcBorders>
                    <w:left w:val="nil"/>
                    <w:bottom w:val="single" w:color="auto" w:sz="4" w:space="0"/>
                    <w:right w:val="nil"/>
                  </w:tcBorders>
                  <w:vAlign w:val="center"/>
                </w:tcPr>
                <w:p w14:paraId="17A9B443">
                  <w:pPr>
                    <w:spacing w:line="276" w:lineRule="auto"/>
                    <w:jc w:val="left"/>
                    <w:rPr>
                      <w:color w:val="auto"/>
                      <w:szCs w:val="21"/>
                    </w:rPr>
                  </w:pPr>
                  <w:r>
                    <w:rPr>
                      <w:color w:val="auto"/>
                      <w:szCs w:val="21"/>
                    </w:rPr>
                    <w:t>二十七、非金属矿物制品业</w:t>
                  </w:r>
                  <w:r>
                    <w:rPr>
                      <w:rFonts w:hint="eastAsia"/>
                      <w:color w:val="auto"/>
                      <w:szCs w:val="21"/>
                    </w:rPr>
                    <w:t>30</w:t>
                  </w:r>
                </w:p>
              </w:tc>
            </w:tr>
            <w:tr w14:paraId="5358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417" w:type="pct"/>
                  <w:tcBorders>
                    <w:left w:val="nil"/>
                    <w:bottom w:val="single" w:color="auto" w:sz="12" w:space="0"/>
                  </w:tcBorders>
                  <w:vAlign w:val="center"/>
                </w:tcPr>
                <w:p w14:paraId="4C4723B6">
                  <w:pPr>
                    <w:spacing w:line="276" w:lineRule="auto"/>
                    <w:jc w:val="center"/>
                    <w:rPr>
                      <w:color w:val="auto"/>
                    </w:rPr>
                  </w:pPr>
                  <w:r>
                    <w:rPr>
                      <w:rFonts w:hint="eastAsia"/>
                      <w:color w:val="auto"/>
                    </w:rPr>
                    <w:t>57</w:t>
                  </w:r>
                </w:p>
              </w:tc>
              <w:tc>
                <w:tcPr>
                  <w:tcW w:w="697" w:type="pct"/>
                  <w:tcBorders>
                    <w:bottom w:val="single" w:color="auto" w:sz="12" w:space="0"/>
                  </w:tcBorders>
                  <w:vAlign w:val="center"/>
                </w:tcPr>
                <w:p w14:paraId="712C8F6E">
                  <w:pPr>
                    <w:spacing w:line="276" w:lineRule="auto"/>
                    <w:jc w:val="center"/>
                    <w:rPr>
                      <w:color w:val="auto"/>
                    </w:rPr>
                  </w:pPr>
                  <w:r>
                    <w:rPr>
                      <w:rFonts w:hint="eastAsia"/>
                      <w:color w:val="auto"/>
                    </w:rPr>
                    <w:t>玻璃制品制造305</w:t>
                  </w:r>
                </w:p>
              </w:tc>
              <w:tc>
                <w:tcPr>
                  <w:tcW w:w="1218" w:type="pct"/>
                  <w:tcBorders>
                    <w:bottom w:val="single" w:color="auto" w:sz="12" w:space="0"/>
                  </w:tcBorders>
                  <w:vAlign w:val="center"/>
                </w:tcPr>
                <w:p w14:paraId="4BF8381C">
                  <w:pPr>
                    <w:spacing w:line="276" w:lineRule="auto"/>
                    <w:jc w:val="center"/>
                    <w:rPr>
                      <w:color w:val="auto"/>
                    </w:rPr>
                  </w:pPr>
                  <w:r>
                    <w:rPr>
                      <w:rFonts w:hint="eastAsia"/>
                      <w:color w:val="auto"/>
                    </w:rPr>
                    <w:t>平板</w:t>
                  </w:r>
                  <w:r>
                    <w:rPr>
                      <w:color w:val="auto"/>
                    </w:rPr>
                    <w:t>玻璃制造</w:t>
                  </w:r>
                </w:p>
              </w:tc>
              <w:tc>
                <w:tcPr>
                  <w:tcW w:w="2087" w:type="pct"/>
                  <w:tcBorders>
                    <w:bottom w:val="single" w:color="auto" w:sz="12" w:space="0"/>
                  </w:tcBorders>
                  <w:shd w:val="clear" w:color="auto" w:fill="D9D9D9"/>
                  <w:vAlign w:val="center"/>
                </w:tcPr>
                <w:p w14:paraId="67232C2B">
                  <w:pPr>
                    <w:jc w:val="center"/>
                    <w:rPr>
                      <w:color w:val="auto"/>
                    </w:rPr>
                  </w:pPr>
                  <w:r>
                    <w:rPr>
                      <w:color w:val="auto"/>
                    </w:rPr>
                    <w:t>特种玻璃制造；其他玻璃制造；玻璃制品制造（电加热的除外；仅切割、打磨、成型的除外）</w:t>
                  </w:r>
                </w:p>
              </w:tc>
              <w:tc>
                <w:tcPr>
                  <w:tcW w:w="581" w:type="pct"/>
                  <w:tcBorders>
                    <w:bottom w:val="single" w:color="auto" w:sz="12" w:space="0"/>
                    <w:right w:val="nil"/>
                  </w:tcBorders>
                  <w:vAlign w:val="center"/>
                </w:tcPr>
                <w:p w14:paraId="152D3C96">
                  <w:pPr>
                    <w:spacing w:line="276" w:lineRule="auto"/>
                    <w:jc w:val="center"/>
                    <w:rPr>
                      <w:color w:val="auto"/>
                    </w:rPr>
                  </w:pPr>
                  <w:r>
                    <w:rPr>
                      <w:rFonts w:hint="eastAsia"/>
                      <w:color w:val="auto"/>
                      <w:szCs w:val="21"/>
                    </w:rPr>
                    <w:t>/</w:t>
                  </w:r>
                </w:p>
              </w:tc>
            </w:tr>
          </w:tbl>
          <w:p w14:paraId="2D29E957">
            <w:pPr>
              <w:spacing w:line="360" w:lineRule="auto"/>
              <w:ind w:firstLine="472" w:firstLineChars="200"/>
              <w:rPr>
                <w:color w:val="auto"/>
                <w:spacing w:val="-2"/>
                <w:kern w:val="0"/>
                <w:sz w:val="24"/>
                <w:szCs w:val="24"/>
              </w:rPr>
            </w:pPr>
            <w:r>
              <w:rPr>
                <w:rFonts w:hint="eastAsia"/>
                <w:color w:val="auto"/>
                <w:spacing w:val="-2"/>
                <w:kern w:val="0"/>
                <w:sz w:val="24"/>
                <w:szCs w:val="24"/>
              </w:rPr>
              <w:t>根据安徽省生态环境厅于</w:t>
            </w:r>
            <w:r>
              <w:rPr>
                <w:color w:val="auto"/>
                <w:spacing w:val="-2"/>
                <w:kern w:val="0"/>
                <w:sz w:val="24"/>
                <w:szCs w:val="24"/>
              </w:rPr>
              <w:t>2021</w:t>
            </w:r>
            <w:r>
              <w:rPr>
                <w:rFonts w:hint="eastAsia"/>
                <w:color w:val="auto"/>
                <w:spacing w:val="-2"/>
                <w:kern w:val="0"/>
                <w:sz w:val="24"/>
                <w:szCs w:val="24"/>
              </w:rPr>
              <w:t>年</w:t>
            </w:r>
            <w:r>
              <w:rPr>
                <w:color w:val="auto"/>
                <w:spacing w:val="-2"/>
                <w:kern w:val="0"/>
                <w:sz w:val="24"/>
                <w:szCs w:val="24"/>
              </w:rPr>
              <w:t>1</w:t>
            </w:r>
            <w:r>
              <w:rPr>
                <w:rFonts w:hint="eastAsia"/>
                <w:color w:val="auto"/>
                <w:spacing w:val="-2"/>
                <w:kern w:val="0"/>
                <w:sz w:val="24"/>
                <w:szCs w:val="24"/>
              </w:rPr>
              <w:t>月</w:t>
            </w:r>
            <w:r>
              <w:rPr>
                <w:color w:val="auto"/>
                <w:spacing w:val="-2"/>
                <w:kern w:val="0"/>
                <w:sz w:val="24"/>
                <w:szCs w:val="24"/>
              </w:rPr>
              <w:t>30</w:t>
            </w:r>
            <w:r>
              <w:rPr>
                <w:rFonts w:hint="eastAsia"/>
                <w:color w:val="auto"/>
                <w:spacing w:val="-2"/>
                <w:kern w:val="0"/>
                <w:sz w:val="24"/>
                <w:szCs w:val="24"/>
              </w:rPr>
              <w:t>日发布的《安徽省生态环境厅关于统筹做好固定污染源排污许可日常监管工作的通知》（皖环发〔</w:t>
            </w:r>
            <w:r>
              <w:rPr>
                <w:color w:val="auto"/>
                <w:spacing w:val="-2"/>
                <w:kern w:val="0"/>
                <w:sz w:val="24"/>
                <w:szCs w:val="24"/>
              </w:rPr>
              <w:t>2021</w:t>
            </w:r>
            <w:r>
              <w:rPr>
                <w:rFonts w:hint="eastAsia"/>
                <w:color w:val="auto"/>
                <w:spacing w:val="-2"/>
                <w:kern w:val="0"/>
                <w:sz w:val="24"/>
                <w:szCs w:val="24"/>
              </w:rPr>
              <w:t>〕</w:t>
            </w:r>
            <w:r>
              <w:rPr>
                <w:color w:val="auto"/>
                <w:spacing w:val="-2"/>
                <w:kern w:val="0"/>
                <w:sz w:val="24"/>
                <w:szCs w:val="24"/>
              </w:rPr>
              <w:t>7</w:t>
            </w:r>
            <w:r>
              <w:rPr>
                <w:rFonts w:hint="eastAsia"/>
                <w:color w:val="auto"/>
                <w:spacing w:val="-2"/>
                <w:kern w:val="0"/>
                <w:sz w:val="24"/>
                <w:szCs w:val="24"/>
              </w:rPr>
              <w:t>号），属于现行《固定污染源排污许可分类管理名录</w:t>
            </w:r>
            <w:r>
              <w:rPr>
                <w:rFonts w:hint="eastAsia"/>
                <w:color w:val="auto"/>
              </w:rPr>
              <w:t>（</w:t>
            </w:r>
            <w:r>
              <w:rPr>
                <w:color w:val="auto"/>
              </w:rPr>
              <w:t>2019</w:t>
            </w:r>
            <w:r>
              <w:rPr>
                <w:rFonts w:hint="eastAsia"/>
                <w:color w:val="auto"/>
              </w:rPr>
              <w:t>年版）</w:t>
            </w:r>
            <w:r>
              <w:rPr>
                <w:rFonts w:hint="eastAsia"/>
                <w:color w:val="auto"/>
                <w:spacing w:val="-2"/>
                <w:kern w:val="0"/>
                <w:sz w:val="24"/>
                <w:szCs w:val="24"/>
              </w:rPr>
              <w:t>》内重点管理和简化管理的行业，在环评文件中应明确“建设项目环境影响评价与排污许可联动内容”。</w:t>
            </w:r>
          </w:p>
          <w:p w14:paraId="06427BC4">
            <w:pPr>
              <w:pStyle w:val="108"/>
              <w:adjustRightInd/>
              <w:spacing w:line="360" w:lineRule="auto"/>
              <w:ind w:firstLine="480" w:firstLineChars="200"/>
              <w:rPr>
                <w:color w:val="auto"/>
              </w:rPr>
            </w:pPr>
            <w:r>
              <w:rPr>
                <w:rFonts w:hint="eastAsia"/>
                <w:color w:val="auto"/>
              </w:rPr>
              <w:t>本项目国民经济行业类别为</w:t>
            </w:r>
            <w:r>
              <w:rPr>
                <w:color w:val="auto"/>
              </w:rPr>
              <w:t>C</w:t>
            </w:r>
            <w:r>
              <w:rPr>
                <w:rFonts w:hint="eastAsia"/>
                <w:color w:val="auto"/>
              </w:rPr>
              <w:t>3054日用玻璃制品制造，根据《固定污染源排污许可分类管理名录（</w:t>
            </w:r>
            <w:r>
              <w:rPr>
                <w:color w:val="auto"/>
              </w:rPr>
              <w:t>2019</w:t>
            </w:r>
            <w:r>
              <w:rPr>
                <w:rFonts w:hint="eastAsia"/>
                <w:color w:val="auto"/>
              </w:rPr>
              <w:t>年版）》，本项目属于固定污染源排污许可分类管理名录表中的“二十五、非金属</w:t>
            </w:r>
            <w:r>
              <w:rPr>
                <w:color w:val="auto"/>
              </w:rPr>
              <w:t>矿物制品业</w:t>
            </w:r>
            <w:r>
              <w:rPr>
                <w:rFonts w:hint="eastAsia"/>
                <w:color w:val="auto"/>
              </w:rPr>
              <w:t>30”“66</w:t>
            </w:r>
            <w:r>
              <w:rPr>
                <w:color w:val="auto"/>
              </w:rPr>
              <w:t>玻璃制品制造</w:t>
            </w:r>
            <w:r>
              <w:rPr>
                <w:rFonts w:hint="eastAsia"/>
                <w:color w:val="auto"/>
              </w:rPr>
              <w:t>30</w:t>
            </w:r>
            <w:r>
              <w:rPr>
                <w:color w:val="auto"/>
              </w:rPr>
              <w:t>5</w:t>
            </w:r>
            <w:r>
              <w:rPr>
                <w:rFonts w:hint="eastAsia"/>
                <w:color w:val="auto"/>
              </w:rPr>
              <w:t>”中的“其他”。因此，项目的排污许可填报管理类别应为“登记管理”。</w:t>
            </w:r>
          </w:p>
          <w:p w14:paraId="5C34A412">
            <w:pPr>
              <w:autoSpaceDE w:val="0"/>
              <w:autoSpaceDN w:val="0"/>
              <w:spacing w:line="360" w:lineRule="auto"/>
              <w:jc w:val="center"/>
              <w:rPr>
                <w:rFonts w:hAnsi="黑体" w:eastAsia="黑体"/>
                <w:color w:val="auto"/>
                <w:szCs w:val="21"/>
              </w:rPr>
            </w:pPr>
            <w:r>
              <w:rPr>
                <w:rFonts w:hAnsi="黑体" w:eastAsia="黑体"/>
                <w:color w:val="auto"/>
                <w:sz w:val="24"/>
                <w:szCs w:val="24"/>
              </w:rPr>
              <w:t>表</w:t>
            </w:r>
            <w:r>
              <w:rPr>
                <w:rFonts w:hint="eastAsia" w:hAnsi="黑体" w:eastAsia="黑体"/>
                <w:color w:val="auto"/>
                <w:sz w:val="24"/>
                <w:szCs w:val="24"/>
              </w:rPr>
              <w:t xml:space="preserve">10 </w:t>
            </w:r>
            <w:r>
              <w:rPr>
                <w:rFonts w:hAnsi="黑体" w:eastAsia="黑体"/>
                <w:color w:val="auto"/>
                <w:sz w:val="24"/>
                <w:szCs w:val="24"/>
              </w:rPr>
              <w:t xml:space="preserve"> 固定污染源排污许可分类管理名录</w:t>
            </w:r>
          </w:p>
          <w:tbl>
            <w:tblPr>
              <w:tblStyle w:val="3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134"/>
              <w:gridCol w:w="2651"/>
              <w:gridCol w:w="2513"/>
              <w:gridCol w:w="1312"/>
            </w:tblGrid>
            <w:tr w14:paraId="0DF4A8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330" w:type="pct"/>
                  <w:vAlign w:val="center"/>
                </w:tcPr>
                <w:p w14:paraId="42ECB7FD">
                  <w:pPr>
                    <w:spacing w:line="276" w:lineRule="auto"/>
                    <w:jc w:val="center"/>
                    <w:rPr>
                      <w:b/>
                      <w:color w:val="auto"/>
                    </w:rPr>
                  </w:pPr>
                  <w:r>
                    <w:rPr>
                      <w:b/>
                      <w:color w:val="auto"/>
                    </w:rPr>
                    <w:t>序号</w:t>
                  </w:r>
                </w:p>
              </w:tc>
              <w:tc>
                <w:tcPr>
                  <w:tcW w:w="696" w:type="pct"/>
                  <w:vAlign w:val="center"/>
                </w:tcPr>
                <w:p w14:paraId="048429AB">
                  <w:pPr>
                    <w:spacing w:line="276" w:lineRule="auto"/>
                    <w:jc w:val="center"/>
                    <w:rPr>
                      <w:b/>
                      <w:color w:val="auto"/>
                    </w:rPr>
                  </w:pPr>
                  <w:r>
                    <w:rPr>
                      <w:b/>
                      <w:color w:val="auto"/>
                    </w:rPr>
                    <w:t>行业类别</w:t>
                  </w:r>
                </w:p>
              </w:tc>
              <w:tc>
                <w:tcPr>
                  <w:tcW w:w="1627" w:type="pct"/>
                  <w:vAlign w:val="center"/>
                </w:tcPr>
                <w:p w14:paraId="5AC9F60C">
                  <w:pPr>
                    <w:spacing w:line="276" w:lineRule="auto"/>
                    <w:jc w:val="center"/>
                    <w:rPr>
                      <w:b/>
                      <w:color w:val="auto"/>
                    </w:rPr>
                  </w:pPr>
                  <w:r>
                    <w:rPr>
                      <w:b/>
                      <w:color w:val="auto"/>
                    </w:rPr>
                    <w:t>重点管理</w:t>
                  </w:r>
                </w:p>
              </w:tc>
              <w:tc>
                <w:tcPr>
                  <w:tcW w:w="1542" w:type="pct"/>
                  <w:shd w:val="clear" w:color="auto" w:fill="auto"/>
                  <w:vAlign w:val="center"/>
                </w:tcPr>
                <w:p w14:paraId="00BD4198">
                  <w:pPr>
                    <w:spacing w:line="276" w:lineRule="auto"/>
                    <w:jc w:val="center"/>
                    <w:rPr>
                      <w:b/>
                      <w:color w:val="auto"/>
                    </w:rPr>
                  </w:pPr>
                  <w:r>
                    <w:rPr>
                      <w:b/>
                      <w:color w:val="auto"/>
                    </w:rPr>
                    <w:t>简化管理</w:t>
                  </w:r>
                </w:p>
              </w:tc>
              <w:tc>
                <w:tcPr>
                  <w:tcW w:w="805" w:type="pct"/>
                  <w:vAlign w:val="center"/>
                </w:tcPr>
                <w:p w14:paraId="08F0ED25">
                  <w:pPr>
                    <w:spacing w:line="276" w:lineRule="auto"/>
                    <w:jc w:val="center"/>
                    <w:rPr>
                      <w:b/>
                      <w:color w:val="auto"/>
                    </w:rPr>
                  </w:pPr>
                  <w:r>
                    <w:rPr>
                      <w:b/>
                      <w:color w:val="auto"/>
                    </w:rPr>
                    <w:t>登记管理</w:t>
                  </w:r>
                </w:p>
              </w:tc>
            </w:tr>
            <w:tr w14:paraId="7FD65B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5000" w:type="pct"/>
                  <w:gridSpan w:val="5"/>
                  <w:vAlign w:val="center"/>
                </w:tcPr>
                <w:p w14:paraId="651CE2F8">
                  <w:pPr>
                    <w:spacing w:line="276" w:lineRule="auto"/>
                    <w:jc w:val="left"/>
                    <w:rPr>
                      <w:color w:val="auto"/>
                      <w:szCs w:val="21"/>
                    </w:rPr>
                  </w:pPr>
                  <w:r>
                    <w:rPr>
                      <w:color w:val="auto"/>
                    </w:rPr>
                    <w:t>二十五、非金属矿物制品业</w:t>
                  </w:r>
                  <w:r>
                    <w:rPr>
                      <w:rFonts w:hint="eastAsia"/>
                      <w:color w:val="auto"/>
                    </w:rPr>
                    <w:t>30</w:t>
                  </w:r>
                </w:p>
              </w:tc>
            </w:tr>
            <w:tr w14:paraId="5853EA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330" w:type="pct"/>
                  <w:vAlign w:val="center"/>
                </w:tcPr>
                <w:p w14:paraId="61437A60">
                  <w:pPr>
                    <w:spacing w:line="276" w:lineRule="auto"/>
                    <w:jc w:val="center"/>
                    <w:rPr>
                      <w:color w:val="auto"/>
                    </w:rPr>
                  </w:pPr>
                  <w:r>
                    <w:rPr>
                      <w:rFonts w:hint="eastAsia"/>
                      <w:color w:val="auto"/>
                    </w:rPr>
                    <w:t>66</w:t>
                  </w:r>
                </w:p>
              </w:tc>
              <w:tc>
                <w:tcPr>
                  <w:tcW w:w="696" w:type="pct"/>
                  <w:vAlign w:val="center"/>
                </w:tcPr>
                <w:p w14:paraId="183A01FB">
                  <w:pPr>
                    <w:spacing w:line="276" w:lineRule="auto"/>
                    <w:jc w:val="center"/>
                    <w:rPr>
                      <w:color w:val="auto"/>
                    </w:rPr>
                  </w:pPr>
                  <w:r>
                    <w:rPr>
                      <w:rFonts w:hint="eastAsia"/>
                      <w:color w:val="auto"/>
                    </w:rPr>
                    <w:t>玻璃制品</w:t>
                  </w:r>
                  <w:r>
                    <w:rPr>
                      <w:color w:val="auto"/>
                    </w:rPr>
                    <w:t>制造</w:t>
                  </w:r>
                  <w:r>
                    <w:rPr>
                      <w:rFonts w:hint="eastAsia"/>
                      <w:color w:val="auto"/>
                    </w:rPr>
                    <w:t>30</w:t>
                  </w:r>
                  <w:r>
                    <w:rPr>
                      <w:color w:val="auto"/>
                    </w:rPr>
                    <w:t>5</w:t>
                  </w:r>
                </w:p>
              </w:tc>
              <w:tc>
                <w:tcPr>
                  <w:tcW w:w="1627" w:type="pct"/>
                  <w:vAlign w:val="center"/>
                </w:tcPr>
                <w:p w14:paraId="64C8266B">
                  <w:pPr>
                    <w:spacing w:line="276" w:lineRule="auto"/>
                    <w:jc w:val="center"/>
                    <w:rPr>
                      <w:color w:val="auto"/>
                    </w:rPr>
                  </w:pPr>
                  <w:r>
                    <w:rPr>
                      <w:color w:val="auto"/>
                    </w:rPr>
                    <w:t>以煤、石油焦、油和发生炉煤气为燃料的</w:t>
                  </w:r>
                </w:p>
              </w:tc>
              <w:tc>
                <w:tcPr>
                  <w:tcW w:w="1542" w:type="pct"/>
                  <w:shd w:val="clear" w:color="auto" w:fill="auto"/>
                  <w:vAlign w:val="center"/>
                </w:tcPr>
                <w:p w14:paraId="4AB35037">
                  <w:pPr>
                    <w:spacing w:line="276" w:lineRule="auto"/>
                    <w:jc w:val="center"/>
                    <w:rPr>
                      <w:color w:val="auto"/>
                    </w:rPr>
                  </w:pPr>
                  <w:r>
                    <w:rPr>
                      <w:color w:val="auto"/>
                    </w:rPr>
                    <w:t>以天然气为燃料的</w:t>
                  </w:r>
                </w:p>
              </w:tc>
              <w:tc>
                <w:tcPr>
                  <w:tcW w:w="805" w:type="pct"/>
                  <w:shd w:val="clear" w:color="auto" w:fill="BEBEBE" w:themeFill="background1" w:themeFillShade="BF"/>
                  <w:vAlign w:val="center"/>
                </w:tcPr>
                <w:p w14:paraId="4112547A">
                  <w:pPr>
                    <w:spacing w:line="276" w:lineRule="auto"/>
                    <w:jc w:val="center"/>
                    <w:rPr>
                      <w:color w:val="auto"/>
                    </w:rPr>
                  </w:pPr>
                  <w:r>
                    <w:rPr>
                      <w:rFonts w:hint="eastAsia"/>
                      <w:color w:val="auto"/>
                      <w:szCs w:val="21"/>
                    </w:rPr>
                    <w:t>其他</w:t>
                  </w:r>
                </w:p>
              </w:tc>
            </w:tr>
          </w:tbl>
          <w:p w14:paraId="1370A5EE">
            <w:pPr>
              <w:spacing w:line="360" w:lineRule="auto"/>
              <w:ind w:firstLine="480" w:firstLineChars="200"/>
              <w:rPr>
                <w:color w:val="auto"/>
                <w:kern w:val="0"/>
                <w:sz w:val="24"/>
                <w:szCs w:val="24"/>
              </w:rPr>
            </w:pPr>
            <w:r>
              <w:rPr>
                <w:rFonts w:hint="eastAsia"/>
                <w:color w:val="auto"/>
                <w:sz w:val="24"/>
                <w:szCs w:val="24"/>
              </w:rPr>
              <w:t>安徽发强玻璃有限责任公司</w:t>
            </w:r>
            <w:r>
              <w:rPr>
                <w:rFonts w:hint="eastAsia" w:ascii="宋体" w:hAnsi="宋体" w:cs="宋体"/>
                <w:color w:val="auto"/>
                <w:kern w:val="0"/>
                <w:sz w:val="24"/>
                <w:szCs w:val="24"/>
              </w:rPr>
              <w:t>于</w:t>
            </w:r>
            <w:r>
              <w:rPr>
                <w:color w:val="auto"/>
                <w:sz w:val="24"/>
                <w:szCs w:val="24"/>
              </w:rPr>
              <w:t>20</w:t>
            </w:r>
            <w:r>
              <w:rPr>
                <w:rFonts w:hint="eastAsia"/>
                <w:color w:val="auto"/>
                <w:sz w:val="24"/>
                <w:szCs w:val="24"/>
              </w:rPr>
              <w:t>24</w:t>
            </w:r>
            <w:r>
              <w:rPr>
                <w:rFonts w:hint="eastAsia" w:hAnsi="宋体"/>
                <w:color w:val="auto"/>
                <w:sz w:val="24"/>
                <w:szCs w:val="24"/>
              </w:rPr>
              <w:t>年</w:t>
            </w:r>
            <w:r>
              <w:rPr>
                <w:color w:val="auto"/>
                <w:sz w:val="24"/>
                <w:szCs w:val="24"/>
              </w:rPr>
              <w:t>10</w:t>
            </w:r>
            <w:r>
              <w:rPr>
                <w:rFonts w:hint="eastAsia"/>
                <w:color w:val="auto"/>
                <w:sz w:val="24"/>
                <w:szCs w:val="24"/>
              </w:rPr>
              <w:t>月</w:t>
            </w:r>
            <w:r>
              <w:rPr>
                <w:rFonts w:hint="eastAsia" w:hAnsi="宋体"/>
                <w:color w:val="auto"/>
                <w:sz w:val="24"/>
                <w:szCs w:val="24"/>
              </w:rPr>
              <w:t>委托我公司为该项目进行环境影响评价。我公司在接受委托后，立即到现场踏勘，认真了解项目所在区域的周边环境情况，收集有关资料，编写完成本项目的环境影响报告表，现呈报生态环境主管部门审批。</w:t>
            </w:r>
          </w:p>
          <w:p w14:paraId="29D9A5BE">
            <w:pPr>
              <w:spacing w:line="360" w:lineRule="auto"/>
              <w:ind w:firstLine="482" w:firstLineChars="200"/>
              <w:rPr>
                <w:b/>
                <w:color w:val="auto"/>
                <w:sz w:val="24"/>
              </w:rPr>
            </w:pPr>
            <w:r>
              <w:rPr>
                <w:rFonts w:hint="eastAsia"/>
                <w:b/>
                <w:color w:val="auto"/>
                <w:sz w:val="24"/>
              </w:rPr>
              <w:t>2、项目基本情况</w:t>
            </w:r>
          </w:p>
          <w:p w14:paraId="46106ACB">
            <w:pPr>
              <w:spacing w:line="360" w:lineRule="auto"/>
              <w:ind w:firstLine="480" w:firstLineChars="200"/>
              <w:rPr>
                <w:color w:val="auto"/>
                <w:sz w:val="24"/>
                <w:szCs w:val="28"/>
              </w:rPr>
            </w:pPr>
            <w:r>
              <w:rPr>
                <w:rFonts w:hint="eastAsia"/>
                <w:color w:val="auto"/>
                <w:sz w:val="24"/>
                <w:szCs w:val="28"/>
              </w:rPr>
              <w:t>（1）</w:t>
            </w:r>
            <w:r>
              <w:rPr>
                <w:color w:val="auto"/>
                <w:sz w:val="24"/>
                <w:szCs w:val="28"/>
              </w:rPr>
              <w:t>项目名称</w:t>
            </w:r>
            <w:r>
              <w:rPr>
                <w:rFonts w:hint="eastAsia"/>
                <w:color w:val="auto"/>
                <w:sz w:val="24"/>
                <w:szCs w:val="28"/>
              </w:rPr>
              <w:t>：玻璃制品着色项目</w:t>
            </w:r>
          </w:p>
          <w:p w14:paraId="2C045F96">
            <w:pPr>
              <w:spacing w:line="360" w:lineRule="auto"/>
              <w:ind w:firstLine="480" w:firstLineChars="200"/>
              <w:rPr>
                <w:color w:val="auto"/>
                <w:sz w:val="24"/>
                <w:szCs w:val="28"/>
              </w:rPr>
            </w:pPr>
            <w:r>
              <w:rPr>
                <w:rFonts w:hint="eastAsia"/>
                <w:color w:val="auto"/>
                <w:sz w:val="24"/>
                <w:szCs w:val="28"/>
              </w:rPr>
              <w:t>（2）</w:t>
            </w:r>
            <w:r>
              <w:rPr>
                <w:color w:val="auto"/>
                <w:sz w:val="24"/>
                <w:szCs w:val="28"/>
              </w:rPr>
              <w:t>建设单位</w:t>
            </w:r>
            <w:r>
              <w:rPr>
                <w:rFonts w:hint="eastAsia"/>
                <w:color w:val="auto"/>
                <w:sz w:val="24"/>
                <w:szCs w:val="28"/>
              </w:rPr>
              <w:t>：</w:t>
            </w:r>
            <w:r>
              <w:rPr>
                <w:rFonts w:hint="eastAsia"/>
                <w:color w:val="auto"/>
                <w:sz w:val="24"/>
                <w:szCs w:val="24"/>
              </w:rPr>
              <w:t>安徽发强玻璃有限责任公司</w:t>
            </w:r>
          </w:p>
          <w:p w14:paraId="5F8049F3">
            <w:pPr>
              <w:spacing w:line="360" w:lineRule="auto"/>
              <w:ind w:firstLine="480" w:firstLineChars="200"/>
              <w:rPr>
                <w:color w:val="auto"/>
                <w:sz w:val="24"/>
                <w:szCs w:val="28"/>
              </w:rPr>
            </w:pPr>
            <w:r>
              <w:rPr>
                <w:rFonts w:hint="eastAsia"/>
                <w:color w:val="auto"/>
                <w:sz w:val="24"/>
                <w:szCs w:val="28"/>
              </w:rPr>
              <w:t>（3）</w:t>
            </w:r>
            <w:r>
              <w:rPr>
                <w:color w:val="auto"/>
                <w:sz w:val="24"/>
                <w:szCs w:val="28"/>
              </w:rPr>
              <w:t>项目性质</w:t>
            </w:r>
            <w:r>
              <w:rPr>
                <w:rFonts w:hint="eastAsia"/>
                <w:color w:val="auto"/>
                <w:sz w:val="24"/>
                <w:szCs w:val="28"/>
              </w:rPr>
              <w:t>：改建</w:t>
            </w:r>
          </w:p>
          <w:p w14:paraId="5096B2D2">
            <w:pPr>
              <w:spacing w:line="360" w:lineRule="auto"/>
              <w:ind w:firstLine="480" w:firstLineChars="200"/>
              <w:rPr>
                <w:color w:val="auto"/>
                <w:sz w:val="24"/>
                <w:szCs w:val="28"/>
              </w:rPr>
            </w:pPr>
            <w:r>
              <w:rPr>
                <w:rFonts w:hint="eastAsia"/>
                <w:color w:val="auto"/>
                <w:sz w:val="24"/>
                <w:szCs w:val="28"/>
              </w:rPr>
              <w:t>（4）项目建设地点：</w:t>
            </w:r>
            <w:r>
              <w:rPr>
                <w:rFonts w:hint="eastAsia" w:hAnsi="宋体"/>
                <w:color w:val="auto"/>
                <w:sz w:val="24"/>
              </w:rPr>
              <w:t>本项目位于</w:t>
            </w:r>
            <w:r>
              <w:rPr>
                <w:rFonts w:hint="eastAsia"/>
                <w:color w:val="auto"/>
                <w:sz w:val="24"/>
              </w:rPr>
              <w:t>安徽省淮南市安成镇十涧湖中路安徽发强玻璃有限责任公司现有厂区内</w:t>
            </w:r>
            <w:r>
              <w:rPr>
                <w:rFonts w:hint="eastAsia"/>
                <w:color w:val="auto"/>
                <w:sz w:val="24"/>
                <w:szCs w:val="28"/>
              </w:rPr>
              <w:t>，项目中心位置地理坐标为（</w:t>
            </w:r>
            <w:r>
              <w:rPr>
                <w:rFonts w:hint="eastAsia"/>
                <w:color w:val="auto"/>
                <w:kern w:val="0"/>
                <w:sz w:val="24"/>
                <w:szCs w:val="24"/>
              </w:rPr>
              <w:t>E：</w:t>
            </w:r>
            <w:r>
              <w:rPr>
                <w:color w:val="auto"/>
                <w:sz w:val="24"/>
                <w:szCs w:val="24"/>
              </w:rPr>
              <w:t>116</w:t>
            </w:r>
            <w:r>
              <w:rPr>
                <w:rFonts w:hint="eastAsia" w:ascii="宋体" w:hAnsi="宋体" w:cs="宋体"/>
                <w:color w:val="auto"/>
                <w:sz w:val="24"/>
                <w:szCs w:val="24"/>
              </w:rPr>
              <w:t>°</w:t>
            </w:r>
            <w:r>
              <w:rPr>
                <w:rFonts w:hint="eastAsia"/>
                <w:color w:val="auto"/>
                <w:sz w:val="24"/>
                <w:szCs w:val="24"/>
              </w:rPr>
              <w:t>55</w:t>
            </w:r>
            <w:r>
              <w:rPr>
                <w:rFonts w:hint="eastAsia" w:ascii="宋体" w:hAnsi="宋体" w:cs="宋体"/>
                <w:color w:val="auto"/>
                <w:sz w:val="24"/>
                <w:szCs w:val="24"/>
              </w:rPr>
              <w:t>′</w:t>
            </w:r>
            <w:r>
              <w:rPr>
                <w:rFonts w:hint="eastAsia"/>
                <w:color w:val="auto"/>
                <w:sz w:val="24"/>
                <w:szCs w:val="24"/>
              </w:rPr>
              <w:t>47.539</w:t>
            </w:r>
            <w:r>
              <w:rPr>
                <w:rFonts w:hint="eastAsia" w:ascii="宋体" w:hAnsi="宋体" w:cs="宋体"/>
                <w:color w:val="auto"/>
                <w:sz w:val="24"/>
                <w:szCs w:val="24"/>
              </w:rPr>
              <w:t>″，</w:t>
            </w:r>
            <w:r>
              <w:rPr>
                <w:rFonts w:hint="eastAsia"/>
                <w:color w:val="auto"/>
                <w:kern w:val="0"/>
                <w:sz w:val="24"/>
                <w:szCs w:val="24"/>
              </w:rPr>
              <w:t>N：</w:t>
            </w:r>
            <w:r>
              <w:rPr>
                <w:color w:val="auto"/>
                <w:sz w:val="24"/>
                <w:szCs w:val="24"/>
              </w:rPr>
              <w:t>3</w:t>
            </w:r>
            <w:r>
              <w:rPr>
                <w:rFonts w:hint="eastAsia"/>
                <w:color w:val="auto"/>
                <w:sz w:val="24"/>
                <w:szCs w:val="24"/>
              </w:rPr>
              <w:t>2</w:t>
            </w:r>
            <w:r>
              <w:rPr>
                <w:rFonts w:hint="eastAsia" w:ascii="宋体" w:hAnsi="宋体" w:cs="宋体"/>
                <w:color w:val="auto"/>
                <w:sz w:val="24"/>
                <w:szCs w:val="24"/>
              </w:rPr>
              <w:t>°</w:t>
            </w:r>
            <w:r>
              <w:rPr>
                <w:rFonts w:hint="eastAsia"/>
                <w:color w:val="auto"/>
                <w:sz w:val="24"/>
                <w:szCs w:val="24"/>
              </w:rPr>
              <w:t>37</w:t>
            </w:r>
            <w:r>
              <w:rPr>
                <w:rFonts w:hint="eastAsia" w:ascii="宋体" w:hAnsi="宋体" w:cs="宋体"/>
                <w:color w:val="auto"/>
                <w:sz w:val="24"/>
                <w:szCs w:val="24"/>
              </w:rPr>
              <w:t>′</w:t>
            </w:r>
            <w:r>
              <w:rPr>
                <w:rFonts w:hint="eastAsia"/>
                <w:color w:val="auto"/>
                <w:sz w:val="24"/>
                <w:szCs w:val="24"/>
              </w:rPr>
              <w:t>28.991</w:t>
            </w:r>
            <w:r>
              <w:rPr>
                <w:rFonts w:hint="eastAsia" w:ascii="宋体" w:hAnsi="宋体" w:cs="宋体"/>
                <w:color w:val="auto"/>
                <w:sz w:val="24"/>
                <w:szCs w:val="24"/>
              </w:rPr>
              <w:t>″</w:t>
            </w:r>
            <w:r>
              <w:rPr>
                <w:rFonts w:hint="eastAsia"/>
                <w:color w:val="auto"/>
                <w:sz w:val="24"/>
                <w:szCs w:val="28"/>
              </w:rPr>
              <w:t>）。本项目地理位置见附图1。</w:t>
            </w:r>
          </w:p>
          <w:p w14:paraId="2CCE52DD">
            <w:pPr>
              <w:pStyle w:val="8"/>
              <w:spacing w:line="360" w:lineRule="auto"/>
              <w:ind w:firstLine="480" w:firstLineChars="200"/>
              <w:rPr>
                <w:color w:val="auto"/>
                <w:sz w:val="24"/>
                <w:szCs w:val="28"/>
              </w:rPr>
            </w:pPr>
            <w:r>
              <w:rPr>
                <w:rFonts w:hint="eastAsia"/>
                <w:color w:val="auto"/>
                <w:sz w:val="24"/>
                <w:szCs w:val="28"/>
              </w:rPr>
              <w:t>（</w:t>
            </w:r>
            <w:r>
              <w:rPr>
                <w:color w:val="auto"/>
                <w:sz w:val="24"/>
                <w:szCs w:val="28"/>
              </w:rPr>
              <w:t>5</w:t>
            </w:r>
            <w:r>
              <w:rPr>
                <w:rFonts w:hint="eastAsia"/>
                <w:color w:val="auto"/>
                <w:sz w:val="24"/>
                <w:szCs w:val="28"/>
              </w:rPr>
              <w:t>）项目投资：项目总投资</w:t>
            </w:r>
            <w:r>
              <w:rPr>
                <w:rFonts w:hint="eastAsia"/>
                <w:color w:val="auto"/>
                <w:sz w:val="24"/>
                <w:szCs w:val="24"/>
              </w:rPr>
              <w:t>200</w:t>
            </w:r>
            <w:r>
              <w:rPr>
                <w:rFonts w:hint="eastAsia"/>
                <w:color w:val="auto"/>
                <w:sz w:val="24"/>
                <w:szCs w:val="28"/>
              </w:rPr>
              <w:t>万元，其中环保投资30万元，占总投资15</w:t>
            </w:r>
            <w:r>
              <w:rPr>
                <w:color w:val="auto"/>
                <w:sz w:val="24"/>
                <w:szCs w:val="28"/>
              </w:rPr>
              <w:t>%</w:t>
            </w:r>
            <w:r>
              <w:rPr>
                <w:rFonts w:hint="eastAsia"/>
                <w:color w:val="auto"/>
                <w:sz w:val="24"/>
                <w:szCs w:val="28"/>
              </w:rPr>
              <w:t>。</w:t>
            </w:r>
          </w:p>
          <w:p w14:paraId="0CABE501">
            <w:pPr>
              <w:spacing w:line="360" w:lineRule="auto"/>
              <w:ind w:firstLine="482" w:firstLineChars="200"/>
              <w:rPr>
                <w:b/>
                <w:color w:val="auto"/>
                <w:sz w:val="24"/>
              </w:rPr>
            </w:pPr>
            <w:r>
              <w:rPr>
                <w:rFonts w:hint="eastAsia"/>
                <w:b/>
                <w:color w:val="auto"/>
                <w:sz w:val="24"/>
              </w:rPr>
              <w:t>3</w:t>
            </w:r>
            <w:r>
              <w:rPr>
                <w:b/>
                <w:color w:val="auto"/>
                <w:sz w:val="24"/>
              </w:rPr>
              <w:t>、</w:t>
            </w:r>
            <w:r>
              <w:rPr>
                <w:rFonts w:hint="eastAsia"/>
                <w:b/>
                <w:color w:val="auto"/>
                <w:sz w:val="24"/>
              </w:rPr>
              <w:t>项目</w:t>
            </w:r>
            <w:r>
              <w:rPr>
                <w:b/>
                <w:color w:val="auto"/>
                <w:sz w:val="24"/>
              </w:rPr>
              <w:t>组成</w:t>
            </w:r>
          </w:p>
          <w:p w14:paraId="687DB5E4">
            <w:pPr>
              <w:spacing w:line="360" w:lineRule="auto"/>
              <w:ind w:firstLine="480" w:firstLineChars="200"/>
              <w:rPr>
                <w:rFonts w:hAnsi="宋体"/>
                <w:color w:val="auto"/>
                <w:kern w:val="0"/>
                <w:sz w:val="24"/>
              </w:rPr>
            </w:pPr>
            <w:r>
              <w:rPr>
                <w:rFonts w:hint="eastAsia" w:hAnsi="宋体"/>
                <w:color w:val="auto"/>
                <w:kern w:val="0"/>
                <w:sz w:val="24"/>
              </w:rPr>
              <w:t>本项目位于安徽省淮南市安成镇十涧湖中路1号安徽发强玻璃有限责任公司现有厂区内，依托现有厂区一车间、三车间进行建设，项目建设内容见下表。</w:t>
            </w:r>
          </w:p>
          <w:p w14:paraId="1BD5B8C3">
            <w:pPr>
              <w:pStyle w:val="219"/>
              <w:jc w:val="center"/>
              <w:rPr>
                <w:rFonts w:eastAsia="黑体" w:cs="Times New Roman"/>
                <w:bCs/>
                <w:color w:val="auto"/>
                <w:szCs w:val="21"/>
              </w:rPr>
            </w:pPr>
            <w:r>
              <w:rPr>
                <w:rFonts w:hAnsi="黑体" w:eastAsia="黑体" w:cs="Times New Roman"/>
                <w:color w:val="auto"/>
              </w:rPr>
              <w:t>表</w:t>
            </w:r>
            <w:r>
              <w:rPr>
                <w:rFonts w:hint="eastAsia" w:eastAsia="黑体" w:cs="Times New Roman"/>
                <w:color w:val="auto"/>
              </w:rPr>
              <w:t>11</w:t>
            </w:r>
            <w:r>
              <w:rPr>
                <w:rFonts w:eastAsia="黑体" w:cs="Times New Roman"/>
                <w:color w:val="auto"/>
              </w:rPr>
              <w:t xml:space="preserve">  </w:t>
            </w:r>
            <w:r>
              <w:rPr>
                <w:rFonts w:hAnsi="黑体" w:eastAsia="黑体" w:cs="Times New Roman"/>
                <w:color w:val="auto"/>
              </w:rPr>
              <w:t>项目建设组成一览表</w:t>
            </w:r>
          </w:p>
          <w:tbl>
            <w:tblPr>
              <w:tblStyle w:val="34"/>
              <w:tblW w:w="4982"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62"/>
              <w:gridCol w:w="546"/>
              <w:gridCol w:w="830"/>
              <w:gridCol w:w="2687"/>
              <w:gridCol w:w="1698"/>
              <w:gridCol w:w="1495"/>
            </w:tblGrid>
            <w:tr w14:paraId="3CA5D55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Align w:val="center"/>
                </w:tcPr>
                <w:p w14:paraId="014640E3">
                  <w:pPr>
                    <w:spacing w:line="276" w:lineRule="auto"/>
                    <w:contextualSpacing/>
                    <w:jc w:val="center"/>
                    <w:rPr>
                      <w:b/>
                      <w:bCs/>
                      <w:color w:val="auto"/>
                      <w:szCs w:val="21"/>
                    </w:rPr>
                  </w:pPr>
                  <w:r>
                    <w:rPr>
                      <w:b/>
                      <w:bCs/>
                      <w:color w:val="auto"/>
                      <w:szCs w:val="21"/>
                    </w:rPr>
                    <w:t>工程</w:t>
                  </w:r>
                </w:p>
                <w:p w14:paraId="239ABEBF">
                  <w:pPr>
                    <w:spacing w:line="276" w:lineRule="auto"/>
                    <w:contextualSpacing/>
                    <w:jc w:val="center"/>
                    <w:rPr>
                      <w:b/>
                      <w:bCs/>
                      <w:color w:val="auto"/>
                      <w:szCs w:val="21"/>
                    </w:rPr>
                  </w:pPr>
                  <w:r>
                    <w:rPr>
                      <w:b/>
                      <w:bCs/>
                      <w:color w:val="auto"/>
                      <w:szCs w:val="21"/>
                    </w:rPr>
                    <w:t>类别</w:t>
                  </w:r>
                </w:p>
              </w:tc>
              <w:tc>
                <w:tcPr>
                  <w:tcW w:w="847" w:type="pct"/>
                  <w:gridSpan w:val="2"/>
                  <w:vAlign w:val="center"/>
                </w:tcPr>
                <w:p w14:paraId="024B6E7B">
                  <w:pPr>
                    <w:spacing w:line="276" w:lineRule="auto"/>
                    <w:contextualSpacing/>
                    <w:jc w:val="center"/>
                    <w:rPr>
                      <w:b/>
                      <w:bCs/>
                      <w:color w:val="auto"/>
                      <w:szCs w:val="21"/>
                    </w:rPr>
                  </w:pPr>
                  <w:r>
                    <w:rPr>
                      <w:b/>
                      <w:bCs/>
                      <w:color w:val="auto"/>
                      <w:szCs w:val="21"/>
                    </w:rPr>
                    <w:t>单项工程名</w:t>
                  </w:r>
                  <w:r>
                    <w:rPr>
                      <w:rFonts w:hint="eastAsia"/>
                      <w:b/>
                      <w:bCs/>
                      <w:color w:val="auto"/>
                      <w:szCs w:val="21"/>
                    </w:rPr>
                    <w:t>称</w:t>
                  </w:r>
                </w:p>
              </w:tc>
              <w:tc>
                <w:tcPr>
                  <w:tcW w:w="1655" w:type="pct"/>
                  <w:vAlign w:val="center"/>
                </w:tcPr>
                <w:p w14:paraId="6B49C55F">
                  <w:pPr>
                    <w:spacing w:line="276" w:lineRule="auto"/>
                    <w:contextualSpacing/>
                    <w:jc w:val="center"/>
                    <w:rPr>
                      <w:b/>
                      <w:bCs/>
                      <w:color w:val="auto"/>
                      <w:szCs w:val="21"/>
                    </w:rPr>
                  </w:pPr>
                  <w:r>
                    <w:rPr>
                      <w:b/>
                      <w:bCs/>
                      <w:color w:val="auto"/>
                      <w:szCs w:val="21"/>
                    </w:rPr>
                    <w:t>现有工程内容及规模</w:t>
                  </w:r>
                </w:p>
              </w:tc>
              <w:tc>
                <w:tcPr>
                  <w:tcW w:w="1046" w:type="pct"/>
                  <w:vAlign w:val="center"/>
                </w:tcPr>
                <w:p w14:paraId="7671B43C">
                  <w:pPr>
                    <w:spacing w:line="276" w:lineRule="auto"/>
                    <w:contextualSpacing/>
                    <w:jc w:val="center"/>
                    <w:rPr>
                      <w:b/>
                      <w:bCs/>
                      <w:color w:val="auto"/>
                      <w:szCs w:val="21"/>
                    </w:rPr>
                  </w:pPr>
                  <w:r>
                    <w:rPr>
                      <w:rFonts w:hint="eastAsia"/>
                      <w:b/>
                      <w:bCs/>
                      <w:color w:val="auto"/>
                      <w:szCs w:val="21"/>
                    </w:rPr>
                    <w:t>改建工程内容及规模</w:t>
                  </w:r>
                </w:p>
              </w:tc>
              <w:tc>
                <w:tcPr>
                  <w:tcW w:w="921" w:type="pct"/>
                  <w:vAlign w:val="center"/>
                </w:tcPr>
                <w:p w14:paraId="6E1DE80B">
                  <w:pPr>
                    <w:spacing w:line="276" w:lineRule="auto"/>
                    <w:contextualSpacing/>
                    <w:jc w:val="center"/>
                    <w:rPr>
                      <w:b/>
                      <w:bCs/>
                      <w:color w:val="auto"/>
                      <w:szCs w:val="21"/>
                    </w:rPr>
                  </w:pPr>
                  <w:r>
                    <w:rPr>
                      <w:rFonts w:hint="eastAsia"/>
                      <w:b/>
                      <w:bCs/>
                      <w:color w:val="auto"/>
                      <w:szCs w:val="21"/>
                    </w:rPr>
                    <w:t>与现有工程依托关系</w:t>
                  </w:r>
                </w:p>
              </w:tc>
            </w:tr>
            <w:tr w14:paraId="12AE5DD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restart"/>
                  <w:vAlign w:val="center"/>
                </w:tcPr>
                <w:p w14:paraId="72A63C89">
                  <w:pPr>
                    <w:spacing w:line="276" w:lineRule="auto"/>
                    <w:contextualSpacing/>
                    <w:jc w:val="center"/>
                    <w:rPr>
                      <w:bCs/>
                      <w:color w:val="auto"/>
                      <w:szCs w:val="21"/>
                    </w:rPr>
                  </w:pPr>
                  <w:r>
                    <w:rPr>
                      <w:bCs/>
                      <w:color w:val="auto"/>
                      <w:szCs w:val="21"/>
                    </w:rPr>
                    <w:t>主体工程</w:t>
                  </w:r>
                </w:p>
              </w:tc>
              <w:tc>
                <w:tcPr>
                  <w:tcW w:w="336" w:type="pct"/>
                  <w:vMerge w:val="restart"/>
                  <w:vAlign w:val="center"/>
                </w:tcPr>
                <w:p w14:paraId="06E3FDB7">
                  <w:pPr>
                    <w:spacing w:line="276" w:lineRule="auto"/>
                    <w:contextualSpacing/>
                    <w:jc w:val="center"/>
                    <w:rPr>
                      <w:bCs/>
                      <w:color w:val="auto"/>
                      <w:szCs w:val="21"/>
                    </w:rPr>
                  </w:pPr>
                  <w:r>
                    <w:rPr>
                      <w:bCs/>
                      <w:color w:val="auto"/>
                      <w:szCs w:val="21"/>
                    </w:rPr>
                    <w:t>生产厂房</w:t>
                  </w:r>
                </w:p>
              </w:tc>
              <w:tc>
                <w:tcPr>
                  <w:tcW w:w="510" w:type="pct"/>
                  <w:vAlign w:val="center"/>
                </w:tcPr>
                <w:p w14:paraId="784CA692">
                  <w:pPr>
                    <w:spacing w:line="276" w:lineRule="auto"/>
                    <w:contextualSpacing/>
                    <w:jc w:val="center"/>
                    <w:rPr>
                      <w:bCs/>
                      <w:color w:val="auto"/>
                      <w:szCs w:val="21"/>
                    </w:rPr>
                  </w:pPr>
                  <w:r>
                    <w:rPr>
                      <w:rFonts w:hint="eastAsia"/>
                      <w:bCs/>
                      <w:color w:val="auto"/>
                      <w:szCs w:val="21"/>
                    </w:rPr>
                    <w:t>一车间（平面图编号1#）</w:t>
                  </w:r>
                </w:p>
              </w:tc>
              <w:tc>
                <w:tcPr>
                  <w:tcW w:w="1655" w:type="pct"/>
                  <w:vAlign w:val="center"/>
                </w:tcPr>
                <w:p w14:paraId="65B73382">
                  <w:pPr>
                    <w:snapToGrid w:val="0"/>
                    <w:spacing w:line="276" w:lineRule="auto"/>
                    <w:jc w:val="center"/>
                    <w:rPr>
                      <w:bCs/>
                      <w:color w:val="auto"/>
                      <w:szCs w:val="21"/>
                    </w:rPr>
                  </w:pPr>
                  <w:r>
                    <w:rPr>
                      <w:color w:val="auto"/>
                      <w:szCs w:val="21"/>
                    </w:rPr>
                    <w:t>位于西厂区东南部，</w:t>
                  </w:r>
                  <w:r>
                    <w:rPr>
                      <w:rFonts w:hint="eastAsia"/>
                      <w:bCs/>
                      <w:color w:val="auto"/>
                      <w:szCs w:val="21"/>
                    </w:rPr>
                    <w:t>已建设1座92m</w:t>
                  </w:r>
                  <w:r>
                    <w:rPr>
                      <w:rFonts w:hint="eastAsia"/>
                      <w:bCs/>
                      <w:color w:val="auto"/>
                      <w:szCs w:val="21"/>
                      <w:vertAlign w:val="superscript"/>
                    </w:rPr>
                    <w:t>2</w:t>
                  </w:r>
                  <w:r>
                    <w:rPr>
                      <w:rFonts w:hint="eastAsia"/>
                      <w:bCs/>
                      <w:color w:val="auto"/>
                      <w:szCs w:val="21"/>
                    </w:rPr>
                    <w:t>天然气多通道蓄热室马蹄焰窑炉（1#），配套压制机、退火窑等生产设备，为2F建筑，年产60000吨玻璃制品，占地面积6967m</w:t>
                  </w:r>
                  <w:r>
                    <w:rPr>
                      <w:rFonts w:hint="eastAsia"/>
                      <w:bCs/>
                      <w:color w:val="auto"/>
                      <w:szCs w:val="21"/>
                      <w:vertAlign w:val="superscript"/>
                    </w:rPr>
                    <w:t>2</w:t>
                  </w:r>
                  <w:r>
                    <w:rPr>
                      <w:rFonts w:hint="eastAsia"/>
                      <w:bCs/>
                      <w:color w:val="auto"/>
                      <w:szCs w:val="21"/>
                    </w:rPr>
                    <w:t>，高度10.2m，建筑面积</w:t>
                  </w:r>
                  <w:r>
                    <w:rPr>
                      <w:bCs/>
                      <w:color w:val="auto"/>
                      <w:szCs w:val="21"/>
                    </w:rPr>
                    <w:t>13935m</w:t>
                  </w:r>
                  <w:r>
                    <w:rPr>
                      <w:bCs/>
                      <w:color w:val="auto"/>
                      <w:szCs w:val="21"/>
                      <w:vertAlign w:val="superscript"/>
                    </w:rPr>
                    <w:t>2</w:t>
                  </w:r>
                </w:p>
              </w:tc>
              <w:tc>
                <w:tcPr>
                  <w:tcW w:w="1046" w:type="pct"/>
                  <w:vAlign w:val="center"/>
                </w:tcPr>
                <w:p w14:paraId="34A3F21A">
                  <w:pPr>
                    <w:spacing w:line="276" w:lineRule="auto"/>
                    <w:contextualSpacing/>
                    <w:jc w:val="center"/>
                    <w:rPr>
                      <w:bCs/>
                      <w:color w:val="auto"/>
                      <w:szCs w:val="21"/>
                    </w:rPr>
                  </w:pPr>
                  <w:r>
                    <w:rPr>
                      <w:rFonts w:hint="eastAsia"/>
                      <w:bCs/>
                      <w:color w:val="auto"/>
                      <w:szCs w:val="21"/>
                    </w:rPr>
                    <w:t>现有一车间内退火窑北侧设置喷涂区，占地面积约5m</w:t>
                  </w:r>
                  <w:r>
                    <w:rPr>
                      <w:rFonts w:hint="eastAsia"/>
                      <w:bCs/>
                      <w:color w:val="auto"/>
                      <w:szCs w:val="21"/>
                      <w:vertAlign w:val="superscript"/>
                    </w:rPr>
                    <w:t>2</w:t>
                  </w:r>
                  <w:r>
                    <w:rPr>
                      <w:rFonts w:hint="eastAsia"/>
                      <w:bCs/>
                      <w:color w:val="auto"/>
                      <w:szCs w:val="21"/>
                    </w:rPr>
                    <w:t>，仅</w:t>
                  </w:r>
                  <w:r>
                    <w:rPr>
                      <w:bCs/>
                      <w:color w:val="auto"/>
                      <w:szCs w:val="21"/>
                    </w:rPr>
                    <w:t>新增</w:t>
                  </w:r>
                  <w:r>
                    <w:rPr>
                      <w:rFonts w:hint="eastAsia"/>
                      <w:bCs/>
                      <w:color w:val="auto"/>
                      <w:szCs w:val="21"/>
                    </w:rPr>
                    <w:t>1套热端喷涂装置，专用于成型后热玻璃制品着色加工，年着色750万只（1500吨）玻璃制品</w:t>
                  </w:r>
                </w:p>
              </w:tc>
              <w:tc>
                <w:tcPr>
                  <w:tcW w:w="921" w:type="pct"/>
                  <w:vAlign w:val="center"/>
                </w:tcPr>
                <w:p w14:paraId="13651523">
                  <w:pPr>
                    <w:spacing w:line="276" w:lineRule="auto"/>
                    <w:contextualSpacing/>
                    <w:jc w:val="center"/>
                    <w:rPr>
                      <w:bCs/>
                      <w:color w:val="auto"/>
                      <w:szCs w:val="21"/>
                    </w:rPr>
                  </w:pPr>
                  <w:r>
                    <w:rPr>
                      <w:bCs/>
                      <w:color w:val="auto"/>
                      <w:szCs w:val="21"/>
                    </w:rPr>
                    <w:t>依托现有一车间</w:t>
                  </w:r>
                  <w:r>
                    <w:rPr>
                      <w:rFonts w:hint="eastAsia"/>
                      <w:bCs/>
                      <w:color w:val="auto"/>
                      <w:szCs w:val="21"/>
                    </w:rPr>
                    <w:t>1#玻璃窑炉及</w:t>
                  </w:r>
                  <w:r>
                    <w:rPr>
                      <w:bCs/>
                      <w:color w:val="auto"/>
                      <w:szCs w:val="21"/>
                    </w:rPr>
                    <w:t>玻璃制品生产线，喷涂区新增</w:t>
                  </w:r>
                  <w:r>
                    <w:rPr>
                      <w:rFonts w:hint="eastAsia"/>
                      <w:bCs/>
                      <w:color w:val="auto"/>
                      <w:szCs w:val="21"/>
                    </w:rPr>
                    <w:t>1套热端喷涂装置，生产着色玻璃制品，不改变现有项目玻璃液生产能力</w:t>
                  </w:r>
                </w:p>
              </w:tc>
            </w:tr>
            <w:tr w14:paraId="6CFFCD1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33139C69">
                  <w:pPr>
                    <w:spacing w:line="276" w:lineRule="auto"/>
                    <w:contextualSpacing/>
                    <w:jc w:val="center"/>
                    <w:rPr>
                      <w:bCs/>
                      <w:color w:val="auto"/>
                      <w:szCs w:val="21"/>
                    </w:rPr>
                  </w:pPr>
                </w:p>
              </w:tc>
              <w:tc>
                <w:tcPr>
                  <w:tcW w:w="336" w:type="pct"/>
                  <w:vMerge w:val="continue"/>
                  <w:vAlign w:val="center"/>
                </w:tcPr>
                <w:p w14:paraId="047D39EA">
                  <w:pPr>
                    <w:spacing w:line="276" w:lineRule="auto"/>
                    <w:contextualSpacing/>
                    <w:jc w:val="center"/>
                    <w:rPr>
                      <w:bCs/>
                      <w:color w:val="auto"/>
                      <w:szCs w:val="21"/>
                    </w:rPr>
                  </w:pPr>
                </w:p>
              </w:tc>
              <w:tc>
                <w:tcPr>
                  <w:tcW w:w="510" w:type="pct"/>
                  <w:vAlign w:val="center"/>
                </w:tcPr>
                <w:p w14:paraId="1843A875">
                  <w:pPr>
                    <w:spacing w:line="276" w:lineRule="auto"/>
                    <w:contextualSpacing/>
                    <w:jc w:val="center"/>
                    <w:rPr>
                      <w:bCs/>
                      <w:color w:val="auto"/>
                      <w:szCs w:val="21"/>
                    </w:rPr>
                  </w:pPr>
                  <w:r>
                    <w:rPr>
                      <w:rFonts w:hint="eastAsia"/>
                      <w:bCs/>
                      <w:color w:val="auto"/>
                      <w:szCs w:val="21"/>
                    </w:rPr>
                    <w:t>二车间（</w:t>
                  </w:r>
                  <w:r>
                    <w:rPr>
                      <w:color w:val="auto"/>
                      <w:szCs w:val="21"/>
                    </w:rPr>
                    <w:t>平面图编号2#</w:t>
                  </w:r>
                  <w:r>
                    <w:rPr>
                      <w:rFonts w:hint="eastAsia"/>
                      <w:bCs/>
                      <w:color w:val="auto"/>
                      <w:szCs w:val="21"/>
                    </w:rPr>
                    <w:t>）</w:t>
                  </w:r>
                </w:p>
              </w:tc>
              <w:tc>
                <w:tcPr>
                  <w:tcW w:w="1655" w:type="pct"/>
                  <w:vAlign w:val="center"/>
                </w:tcPr>
                <w:p w14:paraId="4D785709">
                  <w:pPr>
                    <w:snapToGrid w:val="0"/>
                    <w:spacing w:line="276" w:lineRule="auto"/>
                    <w:jc w:val="center"/>
                    <w:rPr>
                      <w:bCs/>
                      <w:color w:val="auto"/>
                      <w:szCs w:val="21"/>
                    </w:rPr>
                  </w:pPr>
                  <w:r>
                    <w:rPr>
                      <w:color w:val="auto"/>
                      <w:szCs w:val="21"/>
                    </w:rPr>
                    <w:t>位于西厂区中部，</w:t>
                  </w:r>
                  <w:r>
                    <w:rPr>
                      <w:rFonts w:hint="eastAsia"/>
                      <w:bCs/>
                      <w:color w:val="auto"/>
                      <w:szCs w:val="21"/>
                    </w:rPr>
                    <w:t>已建设1座92m</w:t>
                  </w:r>
                  <w:r>
                    <w:rPr>
                      <w:rFonts w:hint="eastAsia"/>
                      <w:bCs/>
                      <w:color w:val="auto"/>
                      <w:szCs w:val="21"/>
                      <w:vertAlign w:val="superscript"/>
                    </w:rPr>
                    <w:t>2</w:t>
                  </w:r>
                  <w:r>
                    <w:rPr>
                      <w:rFonts w:hint="eastAsia"/>
                      <w:bCs/>
                      <w:color w:val="auto"/>
                      <w:szCs w:val="21"/>
                    </w:rPr>
                    <w:t>天然气多通道蓄热室马蹄焰窑炉（2#），配套压制机、退火窑等生产设备，为2F建筑，年产60000吨玻璃制品，占地面积6967m</w:t>
                  </w:r>
                  <w:r>
                    <w:rPr>
                      <w:rFonts w:hint="eastAsia"/>
                      <w:bCs/>
                      <w:color w:val="auto"/>
                      <w:szCs w:val="21"/>
                      <w:vertAlign w:val="superscript"/>
                    </w:rPr>
                    <w:t>2</w:t>
                  </w:r>
                  <w:r>
                    <w:rPr>
                      <w:rFonts w:hint="eastAsia"/>
                      <w:bCs/>
                      <w:color w:val="auto"/>
                      <w:szCs w:val="21"/>
                    </w:rPr>
                    <w:t>，高度10.2m，建筑面积</w:t>
                  </w:r>
                  <w:r>
                    <w:rPr>
                      <w:bCs/>
                      <w:color w:val="auto"/>
                      <w:szCs w:val="21"/>
                    </w:rPr>
                    <w:t>13935m</w:t>
                  </w:r>
                  <w:r>
                    <w:rPr>
                      <w:bCs/>
                      <w:color w:val="auto"/>
                      <w:szCs w:val="21"/>
                      <w:vertAlign w:val="superscript"/>
                    </w:rPr>
                    <w:t>2</w:t>
                  </w:r>
                </w:p>
              </w:tc>
              <w:tc>
                <w:tcPr>
                  <w:tcW w:w="1046" w:type="pct"/>
                  <w:vAlign w:val="center"/>
                </w:tcPr>
                <w:p w14:paraId="63185F32">
                  <w:pPr>
                    <w:spacing w:line="276" w:lineRule="auto"/>
                    <w:contextualSpacing/>
                    <w:jc w:val="center"/>
                    <w:rPr>
                      <w:bCs/>
                      <w:color w:val="auto"/>
                      <w:szCs w:val="21"/>
                    </w:rPr>
                  </w:pPr>
                  <w:r>
                    <w:rPr>
                      <w:rFonts w:hint="eastAsia"/>
                      <w:bCs/>
                      <w:color w:val="auto"/>
                      <w:szCs w:val="21"/>
                    </w:rPr>
                    <w:t>/</w:t>
                  </w:r>
                </w:p>
              </w:tc>
              <w:tc>
                <w:tcPr>
                  <w:tcW w:w="921" w:type="pct"/>
                  <w:vAlign w:val="center"/>
                </w:tcPr>
                <w:p w14:paraId="57A72ECD">
                  <w:pPr>
                    <w:spacing w:line="276" w:lineRule="auto"/>
                    <w:contextualSpacing/>
                    <w:jc w:val="center"/>
                    <w:rPr>
                      <w:bCs/>
                      <w:color w:val="auto"/>
                      <w:szCs w:val="21"/>
                    </w:rPr>
                  </w:pPr>
                  <w:r>
                    <w:rPr>
                      <w:rFonts w:hint="eastAsia"/>
                      <w:bCs/>
                      <w:color w:val="auto"/>
                      <w:szCs w:val="21"/>
                    </w:rPr>
                    <w:t>/</w:t>
                  </w:r>
                </w:p>
              </w:tc>
            </w:tr>
            <w:tr w14:paraId="256011E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2CE453A0">
                  <w:pPr>
                    <w:spacing w:line="276" w:lineRule="auto"/>
                    <w:contextualSpacing/>
                    <w:jc w:val="center"/>
                    <w:rPr>
                      <w:bCs/>
                      <w:color w:val="auto"/>
                      <w:szCs w:val="21"/>
                    </w:rPr>
                  </w:pPr>
                </w:p>
              </w:tc>
              <w:tc>
                <w:tcPr>
                  <w:tcW w:w="336" w:type="pct"/>
                  <w:vMerge w:val="continue"/>
                  <w:vAlign w:val="center"/>
                </w:tcPr>
                <w:p w14:paraId="03421A2F">
                  <w:pPr>
                    <w:spacing w:line="276" w:lineRule="auto"/>
                    <w:contextualSpacing/>
                    <w:jc w:val="center"/>
                    <w:rPr>
                      <w:bCs/>
                      <w:color w:val="auto"/>
                      <w:szCs w:val="21"/>
                    </w:rPr>
                  </w:pPr>
                </w:p>
              </w:tc>
              <w:tc>
                <w:tcPr>
                  <w:tcW w:w="510" w:type="pct"/>
                  <w:vAlign w:val="center"/>
                </w:tcPr>
                <w:p w14:paraId="3D2034CC">
                  <w:pPr>
                    <w:spacing w:line="276" w:lineRule="auto"/>
                    <w:contextualSpacing/>
                    <w:jc w:val="center"/>
                    <w:rPr>
                      <w:bCs/>
                      <w:color w:val="auto"/>
                      <w:szCs w:val="21"/>
                    </w:rPr>
                  </w:pPr>
                  <w:r>
                    <w:rPr>
                      <w:rFonts w:hint="eastAsia"/>
                      <w:bCs/>
                      <w:color w:val="auto"/>
                      <w:szCs w:val="21"/>
                    </w:rPr>
                    <w:t>三车间（</w:t>
                  </w:r>
                  <w:r>
                    <w:rPr>
                      <w:color w:val="auto"/>
                      <w:szCs w:val="21"/>
                    </w:rPr>
                    <w:t>平面图编号</w:t>
                  </w:r>
                  <w:r>
                    <w:rPr>
                      <w:rFonts w:hint="eastAsia"/>
                      <w:color w:val="auto"/>
                      <w:szCs w:val="21"/>
                    </w:rPr>
                    <w:t>20</w:t>
                  </w:r>
                  <w:r>
                    <w:rPr>
                      <w:color w:val="auto"/>
                      <w:szCs w:val="21"/>
                    </w:rPr>
                    <w:t>#</w:t>
                  </w:r>
                  <w:r>
                    <w:rPr>
                      <w:rFonts w:hint="eastAsia"/>
                      <w:bCs/>
                      <w:color w:val="auto"/>
                      <w:szCs w:val="21"/>
                    </w:rPr>
                    <w:t>）</w:t>
                  </w:r>
                </w:p>
              </w:tc>
              <w:tc>
                <w:tcPr>
                  <w:tcW w:w="1655" w:type="pct"/>
                  <w:vAlign w:val="center"/>
                </w:tcPr>
                <w:p w14:paraId="7614312A">
                  <w:pPr>
                    <w:snapToGrid w:val="0"/>
                    <w:spacing w:line="276" w:lineRule="auto"/>
                    <w:jc w:val="center"/>
                    <w:rPr>
                      <w:bCs/>
                      <w:color w:val="auto"/>
                      <w:szCs w:val="21"/>
                    </w:rPr>
                  </w:pPr>
                  <w:r>
                    <w:rPr>
                      <w:color w:val="auto"/>
                      <w:szCs w:val="21"/>
                    </w:rPr>
                    <w:t>位于东厂区西南部，</w:t>
                  </w:r>
                  <w:r>
                    <w:rPr>
                      <w:rFonts w:hint="eastAsia"/>
                      <w:bCs/>
                      <w:color w:val="auto"/>
                      <w:szCs w:val="21"/>
                    </w:rPr>
                    <w:t>已建设1座90m</w:t>
                  </w:r>
                  <w:r>
                    <w:rPr>
                      <w:rFonts w:hint="eastAsia"/>
                      <w:bCs/>
                      <w:color w:val="auto"/>
                      <w:szCs w:val="21"/>
                      <w:vertAlign w:val="superscript"/>
                    </w:rPr>
                    <w:t>2</w:t>
                  </w:r>
                  <w:r>
                    <w:rPr>
                      <w:rFonts w:hint="eastAsia"/>
                      <w:bCs/>
                      <w:color w:val="auto"/>
                      <w:szCs w:val="21"/>
                    </w:rPr>
                    <w:t>天然气多通道蓄热室马蹄焰窑炉（3#），配套压制机、退火窑等生产设备，为2F建筑，年产30000吨玻璃制品，占地面积2146m</w:t>
                  </w:r>
                  <w:r>
                    <w:rPr>
                      <w:rFonts w:hint="eastAsia"/>
                      <w:bCs/>
                      <w:color w:val="auto"/>
                      <w:szCs w:val="21"/>
                      <w:vertAlign w:val="superscript"/>
                    </w:rPr>
                    <w:t>2</w:t>
                  </w:r>
                  <w:r>
                    <w:rPr>
                      <w:rFonts w:hint="eastAsia"/>
                      <w:bCs/>
                      <w:color w:val="auto"/>
                      <w:szCs w:val="21"/>
                    </w:rPr>
                    <w:t>，高度10.2m，建筑面积4292</w:t>
                  </w:r>
                  <w:r>
                    <w:rPr>
                      <w:bCs/>
                      <w:color w:val="auto"/>
                      <w:szCs w:val="21"/>
                    </w:rPr>
                    <w:t>m</w:t>
                  </w:r>
                  <w:r>
                    <w:rPr>
                      <w:bCs/>
                      <w:color w:val="auto"/>
                      <w:szCs w:val="21"/>
                      <w:vertAlign w:val="superscript"/>
                    </w:rPr>
                    <w:t>2</w:t>
                  </w:r>
                </w:p>
              </w:tc>
              <w:tc>
                <w:tcPr>
                  <w:tcW w:w="1046" w:type="pct"/>
                  <w:vAlign w:val="center"/>
                </w:tcPr>
                <w:p w14:paraId="3C6EC492">
                  <w:pPr>
                    <w:spacing w:line="276" w:lineRule="auto"/>
                    <w:contextualSpacing/>
                    <w:jc w:val="center"/>
                    <w:rPr>
                      <w:bCs/>
                      <w:color w:val="auto"/>
                      <w:szCs w:val="21"/>
                    </w:rPr>
                  </w:pPr>
                  <w:r>
                    <w:rPr>
                      <w:rFonts w:hint="eastAsia"/>
                      <w:bCs/>
                      <w:color w:val="auto"/>
                      <w:szCs w:val="21"/>
                    </w:rPr>
                    <w:t>现有三车间内退火窑北侧设置喷涂区，占地面积约5m</w:t>
                  </w:r>
                  <w:r>
                    <w:rPr>
                      <w:rFonts w:hint="eastAsia"/>
                      <w:bCs/>
                      <w:color w:val="auto"/>
                      <w:szCs w:val="21"/>
                      <w:vertAlign w:val="superscript"/>
                    </w:rPr>
                    <w:t>2</w:t>
                  </w:r>
                  <w:r>
                    <w:rPr>
                      <w:rFonts w:hint="eastAsia"/>
                      <w:bCs/>
                      <w:color w:val="auto"/>
                      <w:szCs w:val="21"/>
                    </w:rPr>
                    <w:t>，仅</w:t>
                  </w:r>
                  <w:r>
                    <w:rPr>
                      <w:bCs/>
                      <w:color w:val="auto"/>
                      <w:szCs w:val="21"/>
                    </w:rPr>
                    <w:t>新增</w:t>
                  </w:r>
                  <w:r>
                    <w:rPr>
                      <w:rFonts w:hint="eastAsia"/>
                      <w:bCs/>
                      <w:color w:val="auto"/>
                      <w:szCs w:val="21"/>
                    </w:rPr>
                    <w:t>1套热端喷涂装置，专用于成型后热玻璃制品着色加工，年着色750万只（1500吨）玻璃制品</w:t>
                  </w:r>
                </w:p>
              </w:tc>
              <w:tc>
                <w:tcPr>
                  <w:tcW w:w="921" w:type="pct"/>
                  <w:vAlign w:val="center"/>
                </w:tcPr>
                <w:p w14:paraId="216C7EAC">
                  <w:pPr>
                    <w:spacing w:line="276" w:lineRule="auto"/>
                    <w:contextualSpacing/>
                    <w:jc w:val="center"/>
                    <w:rPr>
                      <w:bCs/>
                      <w:color w:val="auto"/>
                      <w:szCs w:val="21"/>
                    </w:rPr>
                  </w:pPr>
                  <w:r>
                    <w:rPr>
                      <w:bCs/>
                      <w:color w:val="auto"/>
                      <w:szCs w:val="21"/>
                    </w:rPr>
                    <w:t>依托现有</w:t>
                  </w:r>
                  <w:r>
                    <w:rPr>
                      <w:rFonts w:hint="eastAsia"/>
                      <w:bCs/>
                      <w:color w:val="auto"/>
                      <w:szCs w:val="21"/>
                    </w:rPr>
                    <w:t>三</w:t>
                  </w:r>
                  <w:r>
                    <w:rPr>
                      <w:bCs/>
                      <w:color w:val="auto"/>
                      <w:szCs w:val="21"/>
                    </w:rPr>
                    <w:t>车间</w:t>
                  </w:r>
                  <w:r>
                    <w:rPr>
                      <w:rFonts w:hint="eastAsia"/>
                      <w:bCs/>
                      <w:color w:val="auto"/>
                      <w:szCs w:val="21"/>
                    </w:rPr>
                    <w:t>3#玻璃窑炉及</w:t>
                  </w:r>
                  <w:r>
                    <w:rPr>
                      <w:bCs/>
                      <w:color w:val="auto"/>
                      <w:szCs w:val="21"/>
                    </w:rPr>
                    <w:t>玻璃制品生产线，喷涂区新增</w:t>
                  </w:r>
                  <w:r>
                    <w:rPr>
                      <w:rFonts w:hint="eastAsia"/>
                      <w:bCs/>
                      <w:color w:val="auto"/>
                      <w:szCs w:val="21"/>
                    </w:rPr>
                    <w:t>1套热端喷涂装置，生产着色玻璃制品，不改变现有项目玻璃液生产能力</w:t>
                  </w:r>
                </w:p>
              </w:tc>
            </w:tr>
            <w:tr w14:paraId="6C6D6C7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1E1B09CC">
                  <w:pPr>
                    <w:spacing w:line="276" w:lineRule="auto"/>
                    <w:contextualSpacing/>
                    <w:jc w:val="center"/>
                    <w:rPr>
                      <w:bCs/>
                      <w:color w:val="auto"/>
                      <w:szCs w:val="21"/>
                    </w:rPr>
                  </w:pPr>
                </w:p>
              </w:tc>
              <w:tc>
                <w:tcPr>
                  <w:tcW w:w="336" w:type="pct"/>
                  <w:vMerge w:val="continue"/>
                  <w:vAlign w:val="center"/>
                </w:tcPr>
                <w:p w14:paraId="511E9B9B">
                  <w:pPr>
                    <w:spacing w:line="276" w:lineRule="auto"/>
                    <w:contextualSpacing/>
                    <w:jc w:val="center"/>
                    <w:rPr>
                      <w:bCs/>
                      <w:color w:val="auto"/>
                      <w:szCs w:val="21"/>
                    </w:rPr>
                  </w:pPr>
                </w:p>
              </w:tc>
              <w:tc>
                <w:tcPr>
                  <w:tcW w:w="510" w:type="pct"/>
                  <w:vAlign w:val="center"/>
                </w:tcPr>
                <w:p w14:paraId="2D573602">
                  <w:pPr>
                    <w:spacing w:line="276" w:lineRule="auto"/>
                    <w:contextualSpacing/>
                    <w:jc w:val="center"/>
                    <w:rPr>
                      <w:bCs/>
                      <w:color w:val="auto"/>
                      <w:szCs w:val="21"/>
                    </w:rPr>
                  </w:pPr>
                  <w:r>
                    <w:rPr>
                      <w:rFonts w:hint="eastAsia"/>
                      <w:bCs/>
                      <w:color w:val="auto"/>
                      <w:szCs w:val="21"/>
                    </w:rPr>
                    <w:t>加工车间（</w:t>
                  </w:r>
                  <w:r>
                    <w:rPr>
                      <w:color w:val="auto"/>
                      <w:szCs w:val="21"/>
                    </w:rPr>
                    <w:t>平面图编号</w:t>
                  </w:r>
                  <w:r>
                    <w:rPr>
                      <w:rFonts w:hint="eastAsia"/>
                      <w:color w:val="auto"/>
                      <w:szCs w:val="21"/>
                    </w:rPr>
                    <w:t>22</w:t>
                  </w:r>
                  <w:r>
                    <w:rPr>
                      <w:color w:val="auto"/>
                      <w:szCs w:val="21"/>
                    </w:rPr>
                    <w:t>#</w:t>
                  </w:r>
                  <w:r>
                    <w:rPr>
                      <w:rFonts w:hint="eastAsia"/>
                      <w:bCs/>
                      <w:color w:val="auto"/>
                      <w:szCs w:val="21"/>
                    </w:rPr>
                    <w:t>）</w:t>
                  </w:r>
                </w:p>
              </w:tc>
              <w:tc>
                <w:tcPr>
                  <w:tcW w:w="1655" w:type="pct"/>
                  <w:vAlign w:val="center"/>
                </w:tcPr>
                <w:p w14:paraId="25CBA930">
                  <w:pPr>
                    <w:snapToGrid w:val="0"/>
                    <w:spacing w:line="276" w:lineRule="auto"/>
                    <w:jc w:val="center"/>
                    <w:rPr>
                      <w:bCs/>
                      <w:color w:val="auto"/>
                      <w:szCs w:val="21"/>
                    </w:rPr>
                  </w:pPr>
                  <w:r>
                    <w:rPr>
                      <w:color w:val="auto"/>
                      <w:szCs w:val="21"/>
                    </w:rPr>
                    <w:t>位于东厂区中部，</w:t>
                  </w:r>
                  <w:r>
                    <w:rPr>
                      <w:rFonts w:hint="eastAsia"/>
                      <w:bCs/>
                      <w:color w:val="auto"/>
                      <w:szCs w:val="21"/>
                    </w:rPr>
                    <w:t>2座全电熔炉（4#9.5m</w:t>
                  </w:r>
                  <w:r>
                    <w:rPr>
                      <w:bCs/>
                      <w:color w:val="auto"/>
                      <w:szCs w:val="21"/>
                      <w:vertAlign w:val="superscript"/>
                    </w:rPr>
                    <w:t>2</w:t>
                  </w:r>
                  <w:r>
                    <w:rPr>
                      <w:bCs/>
                      <w:color w:val="auto"/>
                      <w:szCs w:val="21"/>
                    </w:rPr>
                    <w:t>的</w:t>
                  </w:r>
                  <w:r>
                    <w:rPr>
                      <w:rFonts w:hint="eastAsia"/>
                      <w:bCs/>
                      <w:color w:val="auto"/>
                      <w:szCs w:val="21"/>
                    </w:rPr>
                    <w:t>全电容炉窑和5#13.4m</w:t>
                  </w:r>
                  <w:r>
                    <w:rPr>
                      <w:rFonts w:hint="eastAsia"/>
                      <w:bCs/>
                      <w:color w:val="auto"/>
                      <w:szCs w:val="21"/>
                      <w:vertAlign w:val="superscript"/>
                    </w:rPr>
                    <w:t>2</w:t>
                  </w:r>
                  <w:r>
                    <w:rPr>
                      <w:rFonts w:hint="eastAsia"/>
                      <w:bCs/>
                      <w:color w:val="auto"/>
                      <w:szCs w:val="21"/>
                    </w:rPr>
                    <w:t>的全电容炉窑），位于2F，年产2000万只玻璃高档制品（停产）。建设一条深加工生产线，</w:t>
                  </w:r>
                  <w:r>
                    <w:rPr>
                      <w:color w:val="auto"/>
                      <w:szCs w:val="21"/>
                    </w:rPr>
                    <w:t>布设玻璃瓶喷涂生产区（已建</w:t>
                  </w:r>
                  <w:r>
                    <w:rPr>
                      <w:rFonts w:hint="eastAsia"/>
                      <w:color w:val="auto"/>
                      <w:szCs w:val="21"/>
                    </w:rPr>
                    <w:t>1条</w:t>
                  </w:r>
                  <w:r>
                    <w:rPr>
                      <w:color w:val="auto"/>
                      <w:szCs w:val="21"/>
                    </w:rPr>
                    <w:t>）、印花及贴纸区（未设置）、烤花区，配套印花机（未设置）、烤箱、烤花炉等生产设备，</w:t>
                  </w:r>
                  <w:r>
                    <w:rPr>
                      <w:rFonts w:hint="eastAsia"/>
                      <w:bCs/>
                      <w:color w:val="auto"/>
                      <w:szCs w:val="21"/>
                    </w:rPr>
                    <w:t>位于1F，年喷涂玻璃制品1200万只（600万只产能已验收投产，剩余600万只产能未投验收投产）、年印花玻璃制品1500万只（全部未验收投产）、年贴花玻璃制品1500万只（全部已验收投产）。为2F建筑，占地面积3875m</w:t>
                  </w:r>
                  <w:r>
                    <w:rPr>
                      <w:rFonts w:hint="eastAsia"/>
                      <w:bCs/>
                      <w:color w:val="auto"/>
                      <w:szCs w:val="21"/>
                      <w:vertAlign w:val="superscript"/>
                    </w:rPr>
                    <w:t>2</w:t>
                  </w:r>
                  <w:r>
                    <w:rPr>
                      <w:rFonts w:hint="eastAsia"/>
                      <w:bCs/>
                      <w:color w:val="auto"/>
                      <w:szCs w:val="21"/>
                    </w:rPr>
                    <w:t>，高度10.2m，建筑面积6870m</w:t>
                  </w:r>
                  <w:r>
                    <w:rPr>
                      <w:bCs/>
                      <w:color w:val="auto"/>
                      <w:szCs w:val="21"/>
                      <w:vertAlign w:val="superscript"/>
                    </w:rPr>
                    <w:t>2</w:t>
                  </w:r>
                </w:p>
              </w:tc>
              <w:tc>
                <w:tcPr>
                  <w:tcW w:w="1046" w:type="pct"/>
                  <w:vAlign w:val="center"/>
                </w:tcPr>
                <w:p w14:paraId="58C37814">
                  <w:pPr>
                    <w:spacing w:line="276" w:lineRule="auto"/>
                    <w:contextualSpacing/>
                    <w:jc w:val="center"/>
                    <w:rPr>
                      <w:bCs/>
                      <w:color w:val="auto"/>
                      <w:szCs w:val="21"/>
                    </w:rPr>
                  </w:pPr>
                  <w:r>
                    <w:rPr>
                      <w:rFonts w:hint="eastAsia"/>
                      <w:bCs/>
                      <w:color w:val="auto"/>
                      <w:szCs w:val="21"/>
                    </w:rPr>
                    <w:t>/</w:t>
                  </w:r>
                </w:p>
              </w:tc>
              <w:tc>
                <w:tcPr>
                  <w:tcW w:w="921" w:type="pct"/>
                  <w:vAlign w:val="center"/>
                </w:tcPr>
                <w:p w14:paraId="4527E457">
                  <w:pPr>
                    <w:spacing w:line="276" w:lineRule="auto"/>
                    <w:contextualSpacing/>
                    <w:jc w:val="center"/>
                    <w:rPr>
                      <w:bCs/>
                      <w:color w:val="auto"/>
                      <w:szCs w:val="21"/>
                    </w:rPr>
                  </w:pPr>
                  <w:r>
                    <w:rPr>
                      <w:rFonts w:hint="eastAsia"/>
                      <w:bCs/>
                      <w:color w:val="auto"/>
                      <w:szCs w:val="21"/>
                    </w:rPr>
                    <w:t>/</w:t>
                  </w:r>
                </w:p>
              </w:tc>
            </w:tr>
            <w:tr w14:paraId="76F3F62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20013AC1">
                  <w:pPr>
                    <w:spacing w:line="276" w:lineRule="auto"/>
                    <w:contextualSpacing/>
                    <w:jc w:val="center"/>
                    <w:rPr>
                      <w:bCs/>
                      <w:color w:val="auto"/>
                      <w:szCs w:val="21"/>
                    </w:rPr>
                  </w:pPr>
                </w:p>
              </w:tc>
              <w:tc>
                <w:tcPr>
                  <w:tcW w:w="847" w:type="pct"/>
                  <w:gridSpan w:val="2"/>
                  <w:vAlign w:val="center"/>
                </w:tcPr>
                <w:p w14:paraId="5EC7F43D">
                  <w:pPr>
                    <w:spacing w:line="276" w:lineRule="auto"/>
                    <w:contextualSpacing/>
                    <w:jc w:val="center"/>
                    <w:rPr>
                      <w:bCs/>
                      <w:color w:val="auto"/>
                      <w:szCs w:val="21"/>
                    </w:rPr>
                  </w:pPr>
                  <w:r>
                    <w:rPr>
                      <w:rFonts w:hint="eastAsia"/>
                      <w:bCs/>
                      <w:color w:val="auto"/>
                      <w:szCs w:val="21"/>
                    </w:rPr>
                    <w:t>配料中心（</w:t>
                  </w:r>
                  <w:r>
                    <w:rPr>
                      <w:color w:val="auto"/>
                      <w:szCs w:val="21"/>
                    </w:rPr>
                    <w:t>平面图编号</w:t>
                  </w:r>
                  <w:r>
                    <w:rPr>
                      <w:rFonts w:hint="eastAsia"/>
                      <w:color w:val="auto"/>
                      <w:szCs w:val="21"/>
                    </w:rPr>
                    <w:t>10</w:t>
                  </w:r>
                  <w:r>
                    <w:rPr>
                      <w:color w:val="auto"/>
                      <w:szCs w:val="21"/>
                    </w:rPr>
                    <w:t>#</w:t>
                  </w:r>
                  <w:r>
                    <w:rPr>
                      <w:rFonts w:hint="eastAsia"/>
                      <w:bCs/>
                      <w:color w:val="auto"/>
                      <w:szCs w:val="21"/>
                    </w:rPr>
                    <w:t>）</w:t>
                  </w:r>
                </w:p>
              </w:tc>
              <w:tc>
                <w:tcPr>
                  <w:tcW w:w="1655" w:type="pct"/>
                  <w:vAlign w:val="center"/>
                </w:tcPr>
                <w:p w14:paraId="163477B8">
                  <w:pPr>
                    <w:snapToGrid w:val="0"/>
                    <w:spacing w:line="276" w:lineRule="auto"/>
                    <w:jc w:val="center"/>
                    <w:rPr>
                      <w:bCs/>
                      <w:color w:val="auto"/>
                      <w:szCs w:val="21"/>
                    </w:rPr>
                  </w:pPr>
                  <w:r>
                    <w:rPr>
                      <w:color w:val="auto"/>
                      <w:szCs w:val="21"/>
                    </w:rPr>
                    <w:t>位于西厂区厂房1北边，已</w:t>
                  </w:r>
                  <w:r>
                    <w:rPr>
                      <w:rFonts w:hint="eastAsia"/>
                      <w:bCs/>
                      <w:color w:val="auto"/>
                      <w:szCs w:val="21"/>
                    </w:rPr>
                    <w:t>建设一座配料中心，为5F建筑，占地面积323m</w:t>
                  </w:r>
                  <w:r>
                    <w:rPr>
                      <w:rFonts w:hint="eastAsia"/>
                      <w:bCs/>
                      <w:color w:val="auto"/>
                      <w:szCs w:val="21"/>
                      <w:vertAlign w:val="superscript"/>
                    </w:rPr>
                    <w:t>2</w:t>
                  </w:r>
                  <w:r>
                    <w:rPr>
                      <w:rFonts w:hint="eastAsia"/>
                      <w:bCs/>
                      <w:color w:val="auto"/>
                      <w:szCs w:val="21"/>
                    </w:rPr>
                    <w:t>，建筑面积1629m</w:t>
                  </w:r>
                  <w:r>
                    <w:rPr>
                      <w:bCs/>
                      <w:color w:val="auto"/>
                      <w:szCs w:val="21"/>
                      <w:vertAlign w:val="superscript"/>
                    </w:rPr>
                    <w:t>2</w:t>
                  </w:r>
                </w:p>
              </w:tc>
              <w:tc>
                <w:tcPr>
                  <w:tcW w:w="1046" w:type="pct"/>
                  <w:vAlign w:val="center"/>
                </w:tcPr>
                <w:p w14:paraId="32040D3D">
                  <w:pPr>
                    <w:spacing w:line="276" w:lineRule="auto"/>
                    <w:contextualSpacing/>
                    <w:jc w:val="center"/>
                    <w:rPr>
                      <w:bCs/>
                      <w:color w:val="auto"/>
                      <w:szCs w:val="21"/>
                    </w:rPr>
                  </w:pPr>
                  <w:r>
                    <w:rPr>
                      <w:rFonts w:hint="eastAsia"/>
                      <w:bCs/>
                      <w:color w:val="auto"/>
                      <w:szCs w:val="21"/>
                    </w:rPr>
                    <w:t>/</w:t>
                  </w:r>
                </w:p>
              </w:tc>
              <w:tc>
                <w:tcPr>
                  <w:tcW w:w="921" w:type="pct"/>
                  <w:vAlign w:val="center"/>
                </w:tcPr>
                <w:p w14:paraId="6322B852">
                  <w:pPr>
                    <w:spacing w:line="276" w:lineRule="auto"/>
                    <w:contextualSpacing/>
                    <w:jc w:val="center"/>
                    <w:rPr>
                      <w:bCs/>
                      <w:color w:val="auto"/>
                      <w:szCs w:val="21"/>
                    </w:rPr>
                  </w:pPr>
                  <w:r>
                    <w:rPr>
                      <w:bCs/>
                      <w:color w:val="auto"/>
                      <w:szCs w:val="21"/>
                    </w:rPr>
                    <w:t>依托现有</w:t>
                  </w:r>
                </w:p>
              </w:tc>
            </w:tr>
            <w:tr w14:paraId="595BC6F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restart"/>
                  <w:vAlign w:val="center"/>
                </w:tcPr>
                <w:p w14:paraId="6AD155F6">
                  <w:pPr>
                    <w:spacing w:line="276" w:lineRule="auto"/>
                    <w:contextualSpacing/>
                    <w:jc w:val="center"/>
                    <w:rPr>
                      <w:bCs/>
                      <w:color w:val="auto"/>
                      <w:szCs w:val="21"/>
                    </w:rPr>
                  </w:pPr>
                  <w:r>
                    <w:rPr>
                      <w:bCs/>
                      <w:color w:val="auto"/>
                      <w:szCs w:val="21"/>
                    </w:rPr>
                    <w:t>辅助工程</w:t>
                  </w:r>
                </w:p>
              </w:tc>
              <w:tc>
                <w:tcPr>
                  <w:tcW w:w="847" w:type="pct"/>
                  <w:gridSpan w:val="2"/>
                  <w:vAlign w:val="center"/>
                </w:tcPr>
                <w:p w14:paraId="41AF0730">
                  <w:pPr>
                    <w:adjustRightInd w:val="0"/>
                    <w:snapToGrid w:val="0"/>
                    <w:spacing w:line="276" w:lineRule="auto"/>
                    <w:jc w:val="center"/>
                    <w:rPr>
                      <w:color w:val="auto"/>
                      <w:szCs w:val="21"/>
                    </w:rPr>
                  </w:pPr>
                  <w:r>
                    <w:rPr>
                      <w:color w:val="auto"/>
                      <w:szCs w:val="21"/>
                    </w:rPr>
                    <w:t>办公楼1（平面图编号</w:t>
                  </w:r>
                  <w:r>
                    <w:rPr>
                      <w:rFonts w:hint="eastAsia"/>
                      <w:color w:val="auto"/>
                      <w:szCs w:val="21"/>
                    </w:rPr>
                    <w:t>13</w:t>
                  </w:r>
                  <w:r>
                    <w:rPr>
                      <w:color w:val="auto"/>
                      <w:szCs w:val="21"/>
                    </w:rPr>
                    <w:t>#）</w:t>
                  </w:r>
                </w:p>
              </w:tc>
              <w:tc>
                <w:tcPr>
                  <w:tcW w:w="1655" w:type="pct"/>
                  <w:vAlign w:val="center"/>
                </w:tcPr>
                <w:p w14:paraId="1F234B9A">
                  <w:pPr>
                    <w:adjustRightInd w:val="0"/>
                    <w:snapToGrid w:val="0"/>
                    <w:spacing w:line="276" w:lineRule="auto"/>
                    <w:jc w:val="center"/>
                    <w:rPr>
                      <w:color w:val="auto"/>
                      <w:szCs w:val="21"/>
                    </w:rPr>
                  </w:pPr>
                  <w:r>
                    <w:rPr>
                      <w:color w:val="auto"/>
                      <w:szCs w:val="21"/>
                    </w:rPr>
                    <w:t>位于西厂区南部，总计4层，主要用于企业员工日常办公，现占地面积764m</w:t>
                  </w:r>
                  <w:r>
                    <w:rPr>
                      <w:color w:val="auto"/>
                      <w:szCs w:val="21"/>
                      <w:vertAlign w:val="superscript"/>
                    </w:rPr>
                    <w:t>2</w:t>
                  </w:r>
                  <w:r>
                    <w:rPr>
                      <w:color w:val="auto"/>
                      <w:szCs w:val="21"/>
                    </w:rPr>
                    <w:t>（建筑面积3056m</w:t>
                  </w:r>
                  <w:r>
                    <w:rPr>
                      <w:color w:val="auto"/>
                      <w:szCs w:val="21"/>
                      <w:vertAlign w:val="superscript"/>
                    </w:rPr>
                    <w:t>2</w:t>
                  </w:r>
                  <w:r>
                    <w:rPr>
                      <w:color w:val="auto"/>
                      <w:szCs w:val="21"/>
                    </w:rPr>
                    <w:t>），拆除重建后占地面积</w:t>
                  </w:r>
                  <w:r>
                    <w:rPr>
                      <w:rFonts w:hint="eastAsia"/>
                      <w:color w:val="auto"/>
                      <w:szCs w:val="21"/>
                    </w:rPr>
                    <w:t>1260</w:t>
                  </w:r>
                  <w:r>
                    <w:rPr>
                      <w:color w:val="auto"/>
                      <w:szCs w:val="21"/>
                    </w:rPr>
                    <w:t>m</w:t>
                  </w:r>
                  <w:r>
                    <w:rPr>
                      <w:color w:val="auto"/>
                      <w:szCs w:val="21"/>
                      <w:vertAlign w:val="superscript"/>
                    </w:rPr>
                    <w:t>2</w:t>
                  </w:r>
                  <w:r>
                    <w:rPr>
                      <w:color w:val="auto"/>
                      <w:szCs w:val="21"/>
                    </w:rPr>
                    <w:t>（建筑面积</w:t>
                  </w:r>
                  <w:r>
                    <w:rPr>
                      <w:rFonts w:hint="eastAsia"/>
                      <w:color w:val="auto"/>
                      <w:szCs w:val="21"/>
                    </w:rPr>
                    <w:t>5072</w:t>
                  </w:r>
                  <w:r>
                    <w:rPr>
                      <w:color w:val="auto"/>
                      <w:szCs w:val="21"/>
                    </w:rPr>
                    <w:t>m</w:t>
                  </w:r>
                  <w:r>
                    <w:rPr>
                      <w:color w:val="auto"/>
                      <w:szCs w:val="21"/>
                      <w:vertAlign w:val="superscript"/>
                    </w:rPr>
                    <w:t>2</w:t>
                  </w:r>
                  <w:r>
                    <w:rPr>
                      <w:color w:val="auto"/>
                      <w:szCs w:val="21"/>
                    </w:rPr>
                    <w:t>）</w:t>
                  </w:r>
                </w:p>
              </w:tc>
              <w:tc>
                <w:tcPr>
                  <w:tcW w:w="1046" w:type="pct"/>
                  <w:vAlign w:val="center"/>
                </w:tcPr>
                <w:p w14:paraId="76844CFF">
                  <w:pPr>
                    <w:spacing w:line="276" w:lineRule="auto"/>
                    <w:contextualSpacing/>
                    <w:jc w:val="center"/>
                    <w:rPr>
                      <w:bCs/>
                      <w:color w:val="auto"/>
                      <w:szCs w:val="21"/>
                    </w:rPr>
                  </w:pPr>
                  <w:r>
                    <w:rPr>
                      <w:rFonts w:hint="eastAsia"/>
                      <w:bCs/>
                      <w:color w:val="auto"/>
                      <w:szCs w:val="21"/>
                    </w:rPr>
                    <w:t>/</w:t>
                  </w:r>
                </w:p>
              </w:tc>
              <w:tc>
                <w:tcPr>
                  <w:tcW w:w="921" w:type="pct"/>
                  <w:vAlign w:val="center"/>
                </w:tcPr>
                <w:p w14:paraId="6596080B">
                  <w:pPr>
                    <w:spacing w:line="276" w:lineRule="auto"/>
                    <w:contextualSpacing/>
                    <w:jc w:val="center"/>
                    <w:rPr>
                      <w:bCs/>
                      <w:color w:val="auto"/>
                      <w:szCs w:val="21"/>
                    </w:rPr>
                  </w:pPr>
                  <w:r>
                    <w:rPr>
                      <w:bCs/>
                      <w:color w:val="auto"/>
                      <w:szCs w:val="21"/>
                    </w:rPr>
                    <w:t>依托现有</w:t>
                  </w:r>
                </w:p>
              </w:tc>
            </w:tr>
            <w:tr w14:paraId="18960BF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3C41B223">
                  <w:pPr>
                    <w:spacing w:line="276" w:lineRule="auto"/>
                    <w:contextualSpacing/>
                    <w:jc w:val="center"/>
                    <w:rPr>
                      <w:bCs/>
                      <w:color w:val="auto"/>
                      <w:szCs w:val="21"/>
                    </w:rPr>
                  </w:pPr>
                </w:p>
              </w:tc>
              <w:tc>
                <w:tcPr>
                  <w:tcW w:w="847" w:type="pct"/>
                  <w:gridSpan w:val="2"/>
                  <w:vAlign w:val="center"/>
                </w:tcPr>
                <w:p w14:paraId="2E6BB414">
                  <w:pPr>
                    <w:adjustRightInd w:val="0"/>
                    <w:snapToGrid w:val="0"/>
                    <w:spacing w:line="276" w:lineRule="auto"/>
                    <w:jc w:val="center"/>
                    <w:rPr>
                      <w:color w:val="auto"/>
                      <w:szCs w:val="21"/>
                    </w:rPr>
                  </w:pPr>
                  <w:r>
                    <w:rPr>
                      <w:color w:val="auto"/>
                      <w:szCs w:val="21"/>
                    </w:rPr>
                    <w:t>办公楼2（平面图编号</w:t>
                  </w:r>
                  <w:r>
                    <w:rPr>
                      <w:rFonts w:hint="eastAsia"/>
                      <w:color w:val="auto"/>
                      <w:szCs w:val="21"/>
                    </w:rPr>
                    <w:t>15</w:t>
                  </w:r>
                  <w:r>
                    <w:rPr>
                      <w:color w:val="auto"/>
                      <w:szCs w:val="21"/>
                    </w:rPr>
                    <w:t>#）</w:t>
                  </w:r>
                </w:p>
              </w:tc>
              <w:tc>
                <w:tcPr>
                  <w:tcW w:w="1655" w:type="pct"/>
                  <w:vAlign w:val="center"/>
                </w:tcPr>
                <w:p w14:paraId="1F43CB7A">
                  <w:pPr>
                    <w:adjustRightInd w:val="0"/>
                    <w:snapToGrid w:val="0"/>
                    <w:spacing w:line="276" w:lineRule="auto"/>
                    <w:jc w:val="center"/>
                    <w:rPr>
                      <w:color w:val="auto"/>
                      <w:szCs w:val="21"/>
                    </w:rPr>
                  </w:pPr>
                  <w:r>
                    <w:rPr>
                      <w:color w:val="auto"/>
                      <w:szCs w:val="21"/>
                    </w:rPr>
                    <w:t>位于东厂区南部，总计4层，主要用于企业员工日常办公，现占地面积962m</w:t>
                  </w:r>
                  <w:r>
                    <w:rPr>
                      <w:color w:val="auto"/>
                      <w:szCs w:val="21"/>
                      <w:vertAlign w:val="superscript"/>
                    </w:rPr>
                    <w:t>2</w:t>
                  </w:r>
                  <w:r>
                    <w:rPr>
                      <w:color w:val="auto"/>
                      <w:szCs w:val="21"/>
                    </w:rPr>
                    <w:t>（建筑面积2886m</w:t>
                  </w:r>
                  <w:r>
                    <w:rPr>
                      <w:color w:val="auto"/>
                      <w:szCs w:val="21"/>
                      <w:vertAlign w:val="superscript"/>
                    </w:rPr>
                    <w:t>2</w:t>
                  </w:r>
                  <w:r>
                    <w:rPr>
                      <w:color w:val="auto"/>
                      <w:szCs w:val="21"/>
                    </w:rPr>
                    <w:t>），拆除重建后占地面积</w:t>
                  </w:r>
                  <w:r>
                    <w:rPr>
                      <w:rFonts w:hint="eastAsia"/>
                      <w:color w:val="auto"/>
                      <w:szCs w:val="21"/>
                    </w:rPr>
                    <w:t>1940</w:t>
                  </w:r>
                  <w:r>
                    <w:rPr>
                      <w:color w:val="auto"/>
                      <w:szCs w:val="21"/>
                    </w:rPr>
                    <w:t>m</w:t>
                  </w:r>
                  <w:r>
                    <w:rPr>
                      <w:color w:val="auto"/>
                      <w:szCs w:val="21"/>
                      <w:vertAlign w:val="superscript"/>
                    </w:rPr>
                    <w:t>2</w:t>
                  </w:r>
                  <w:r>
                    <w:rPr>
                      <w:color w:val="auto"/>
                      <w:szCs w:val="21"/>
                    </w:rPr>
                    <w:t>（建筑面积</w:t>
                  </w:r>
                  <w:r>
                    <w:rPr>
                      <w:rFonts w:hint="eastAsia"/>
                      <w:color w:val="auto"/>
                      <w:szCs w:val="21"/>
                    </w:rPr>
                    <w:t>6584</w:t>
                  </w:r>
                  <w:r>
                    <w:rPr>
                      <w:color w:val="auto"/>
                      <w:szCs w:val="21"/>
                    </w:rPr>
                    <w:t>m</w:t>
                  </w:r>
                  <w:r>
                    <w:rPr>
                      <w:color w:val="auto"/>
                      <w:szCs w:val="21"/>
                      <w:vertAlign w:val="superscript"/>
                    </w:rPr>
                    <w:t>2</w:t>
                  </w:r>
                  <w:r>
                    <w:rPr>
                      <w:color w:val="auto"/>
                      <w:szCs w:val="21"/>
                    </w:rPr>
                    <w:t>）</w:t>
                  </w:r>
                </w:p>
              </w:tc>
              <w:tc>
                <w:tcPr>
                  <w:tcW w:w="1046" w:type="pct"/>
                  <w:vAlign w:val="center"/>
                </w:tcPr>
                <w:p w14:paraId="2F28477A">
                  <w:pPr>
                    <w:spacing w:line="276" w:lineRule="auto"/>
                    <w:contextualSpacing/>
                    <w:jc w:val="center"/>
                    <w:rPr>
                      <w:bCs/>
                      <w:color w:val="auto"/>
                      <w:szCs w:val="21"/>
                    </w:rPr>
                  </w:pPr>
                  <w:r>
                    <w:rPr>
                      <w:rFonts w:hint="eastAsia"/>
                      <w:bCs/>
                      <w:color w:val="auto"/>
                      <w:szCs w:val="21"/>
                    </w:rPr>
                    <w:t>/</w:t>
                  </w:r>
                </w:p>
              </w:tc>
              <w:tc>
                <w:tcPr>
                  <w:tcW w:w="921" w:type="pct"/>
                  <w:vAlign w:val="center"/>
                </w:tcPr>
                <w:p w14:paraId="25B0275F">
                  <w:pPr>
                    <w:spacing w:line="276" w:lineRule="auto"/>
                    <w:contextualSpacing/>
                    <w:jc w:val="center"/>
                    <w:rPr>
                      <w:bCs/>
                      <w:color w:val="auto"/>
                      <w:szCs w:val="21"/>
                    </w:rPr>
                  </w:pPr>
                  <w:r>
                    <w:rPr>
                      <w:bCs/>
                      <w:color w:val="auto"/>
                      <w:szCs w:val="21"/>
                    </w:rPr>
                    <w:t>依托现有</w:t>
                  </w:r>
                </w:p>
              </w:tc>
            </w:tr>
            <w:tr w14:paraId="18BAEA9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11062C20">
                  <w:pPr>
                    <w:spacing w:line="276" w:lineRule="auto"/>
                    <w:contextualSpacing/>
                    <w:jc w:val="center"/>
                    <w:rPr>
                      <w:bCs/>
                      <w:color w:val="auto"/>
                      <w:szCs w:val="21"/>
                    </w:rPr>
                  </w:pPr>
                </w:p>
              </w:tc>
              <w:tc>
                <w:tcPr>
                  <w:tcW w:w="847" w:type="pct"/>
                  <w:gridSpan w:val="2"/>
                  <w:vAlign w:val="center"/>
                </w:tcPr>
                <w:p w14:paraId="4569EDF3">
                  <w:pPr>
                    <w:adjustRightInd w:val="0"/>
                    <w:snapToGrid w:val="0"/>
                    <w:spacing w:line="276" w:lineRule="auto"/>
                    <w:jc w:val="center"/>
                    <w:rPr>
                      <w:color w:val="auto"/>
                      <w:szCs w:val="21"/>
                    </w:rPr>
                  </w:pPr>
                  <w:r>
                    <w:rPr>
                      <w:color w:val="auto"/>
                      <w:szCs w:val="21"/>
                    </w:rPr>
                    <w:t>研发楼（平面图编号</w:t>
                  </w:r>
                  <w:r>
                    <w:rPr>
                      <w:rFonts w:hint="eastAsia"/>
                      <w:color w:val="auto"/>
                      <w:szCs w:val="21"/>
                    </w:rPr>
                    <w:t>14</w:t>
                  </w:r>
                  <w:r>
                    <w:rPr>
                      <w:color w:val="auto"/>
                      <w:szCs w:val="21"/>
                    </w:rPr>
                    <w:t>#）</w:t>
                  </w:r>
                </w:p>
              </w:tc>
              <w:tc>
                <w:tcPr>
                  <w:tcW w:w="1655" w:type="pct"/>
                  <w:vAlign w:val="center"/>
                </w:tcPr>
                <w:p w14:paraId="74EB1E3E">
                  <w:pPr>
                    <w:adjustRightInd w:val="0"/>
                    <w:snapToGrid w:val="0"/>
                    <w:spacing w:line="276" w:lineRule="auto"/>
                    <w:jc w:val="center"/>
                    <w:rPr>
                      <w:color w:val="auto"/>
                      <w:szCs w:val="21"/>
                    </w:rPr>
                  </w:pPr>
                  <w:r>
                    <w:rPr>
                      <w:color w:val="auto"/>
                      <w:szCs w:val="21"/>
                    </w:rPr>
                    <w:t>位于西厂区南部，靠近办公楼1，总计4层，主要用于技术开发，现占地面积531m</w:t>
                  </w:r>
                  <w:r>
                    <w:rPr>
                      <w:color w:val="auto"/>
                      <w:szCs w:val="21"/>
                      <w:vertAlign w:val="superscript"/>
                    </w:rPr>
                    <w:t>2</w:t>
                  </w:r>
                  <w:r>
                    <w:rPr>
                      <w:color w:val="auto"/>
                      <w:szCs w:val="21"/>
                    </w:rPr>
                    <w:t>（建筑面积2124m</w:t>
                  </w:r>
                  <w:r>
                    <w:rPr>
                      <w:color w:val="auto"/>
                      <w:szCs w:val="21"/>
                      <w:vertAlign w:val="superscript"/>
                    </w:rPr>
                    <w:t>2</w:t>
                  </w:r>
                  <w:r>
                    <w:rPr>
                      <w:color w:val="auto"/>
                      <w:szCs w:val="21"/>
                    </w:rPr>
                    <w:t>），拆除重建后占地面积</w:t>
                  </w:r>
                  <w:r>
                    <w:rPr>
                      <w:rFonts w:hint="eastAsia"/>
                      <w:color w:val="auto"/>
                      <w:szCs w:val="21"/>
                    </w:rPr>
                    <w:t>1134</w:t>
                  </w:r>
                  <w:r>
                    <w:rPr>
                      <w:color w:val="auto"/>
                      <w:szCs w:val="21"/>
                    </w:rPr>
                    <w:t>m</w:t>
                  </w:r>
                  <w:r>
                    <w:rPr>
                      <w:color w:val="auto"/>
                      <w:szCs w:val="21"/>
                      <w:vertAlign w:val="superscript"/>
                    </w:rPr>
                    <w:t>2</w:t>
                  </w:r>
                  <w:r>
                    <w:rPr>
                      <w:color w:val="auto"/>
                      <w:szCs w:val="21"/>
                    </w:rPr>
                    <w:t>（建筑面积</w:t>
                  </w:r>
                  <w:r>
                    <w:rPr>
                      <w:rFonts w:hint="eastAsia"/>
                      <w:color w:val="auto"/>
                      <w:szCs w:val="21"/>
                    </w:rPr>
                    <w:t>4536</w:t>
                  </w:r>
                  <w:r>
                    <w:rPr>
                      <w:color w:val="auto"/>
                      <w:szCs w:val="21"/>
                    </w:rPr>
                    <w:t>m</w:t>
                  </w:r>
                  <w:r>
                    <w:rPr>
                      <w:color w:val="auto"/>
                      <w:szCs w:val="21"/>
                      <w:vertAlign w:val="superscript"/>
                    </w:rPr>
                    <w:t>2</w:t>
                  </w:r>
                  <w:r>
                    <w:rPr>
                      <w:color w:val="auto"/>
                      <w:szCs w:val="21"/>
                    </w:rPr>
                    <w:t>）</w:t>
                  </w:r>
                </w:p>
              </w:tc>
              <w:tc>
                <w:tcPr>
                  <w:tcW w:w="1046" w:type="pct"/>
                  <w:vAlign w:val="center"/>
                </w:tcPr>
                <w:p w14:paraId="104A0DD4">
                  <w:pPr>
                    <w:spacing w:line="276" w:lineRule="auto"/>
                    <w:contextualSpacing/>
                    <w:jc w:val="center"/>
                    <w:rPr>
                      <w:bCs/>
                      <w:color w:val="auto"/>
                      <w:szCs w:val="21"/>
                    </w:rPr>
                  </w:pPr>
                  <w:r>
                    <w:rPr>
                      <w:rFonts w:hint="eastAsia"/>
                      <w:bCs/>
                      <w:color w:val="auto"/>
                      <w:szCs w:val="21"/>
                    </w:rPr>
                    <w:t>/</w:t>
                  </w:r>
                </w:p>
              </w:tc>
              <w:tc>
                <w:tcPr>
                  <w:tcW w:w="921" w:type="pct"/>
                  <w:vAlign w:val="center"/>
                </w:tcPr>
                <w:p w14:paraId="327C1B4D">
                  <w:pPr>
                    <w:spacing w:line="276" w:lineRule="auto"/>
                    <w:contextualSpacing/>
                    <w:jc w:val="center"/>
                    <w:rPr>
                      <w:bCs/>
                      <w:color w:val="auto"/>
                      <w:szCs w:val="21"/>
                    </w:rPr>
                  </w:pPr>
                  <w:r>
                    <w:rPr>
                      <w:bCs/>
                      <w:color w:val="auto"/>
                      <w:szCs w:val="21"/>
                    </w:rPr>
                    <w:t>依托现有</w:t>
                  </w:r>
                </w:p>
              </w:tc>
            </w:tr>
            <w:tr w14:paraId="6B41A18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0F950CF0">
                  <w:pPr>
                    <w:spacing w:line="276" w:lineRule="auto"/>
                    <w:contextualSpacing/>
                    <w:jc w:val="center"/>
                    <w:rPr>
                      <w:bCs/>
                      <w:color w:val="auto"/>
                      <w:szCs w:val="21"/>
                    </w:rPr>
                  </w:pPr>
                </w:p>
              </w:tc>
              <w:tc>
                <w:tcPr>
                  <w:tcW w:w="847" w:type="pct"/>
                  <w:gridSpan w:val="2"/>
                  <w:vAlign w:val="center"/>
                </w:tcPr>
                <w:p w14:paraId="419EE757">
                  <w:pPr>
                    <w:spacing w:line="276" w:lineRule="auto"/>
                    <w:contextualSpacing/>
                    <w:jc w:val="center"/>
                    <w:rPr>
                      <w:bCs/>
                      <w:color w:val="auto"/>
                      <w:szCs w:val="21"/>
                    </w:rPr>
                  </w:pPr>
                  <w:r>
                    <w:rPr>
                      <w:rFonts w:hint="eastAsia"/>
                      <w:bCs/>
                      <w:color w:val="auto"/>
                      <w:szCs w:val="21"/>
                    </w:rPr>
                    <w:t>食堂</w:t>
                  </w:r>
                </w:p>
              </w:tc>
              <w:tc>
                <w:tcPr>
                  <w:tcW w:w="1655" w:type="pct"/>
                  <w:vAlign w:val="center"/>
                </w:tcPr>
                <w:p w14:paraId="7A32B3B3">
                  <w:pPr>
                    <w:snapToGrid w:val="0"/>
                    <w:spacing w:line="276" w:lineRule="auto"/>
                    <w:jc w:val="center"/>
                    <w:rPr>
                      <w:bCs/>
                      <w:color w:val="auto"/>
                      <w:szCs w:val="21"/>
                    </w:rPr>
                  </w:pPr>
                  <w:r>
                    <w:rPr>
                      <w:color w:val="auto"/>
                      <w:szCs w:val="21"/>
                    </w:rPr>
                    <w:t>设置在办公楼1内，主要用于职工就餐</w:t>
                  </w:r>
                </w:p>
              </w:tc>
              <w:tc>
                <w:tcPr>
                  <w:tcW w:w="1046" w:type="pct"/>
                  <w:vAlign w:val="center"/>
                </w:tcPr>
                <w:p w14:paraId="24E5A2A1">
                  <w:pPr>
                    <w:spacing w:line="276" w:lineRule="auto"/>
                    <w:contextualSpacing/>
                    <w:jc w:val="center"/>
                    <w:rPr>
                      <w:bCs/>
                      <w:color w:val="auto"/>
                      <w:szCs w:val="21"/>
                    </w:rPr>
                  </w:pPr>
                  <w:r>
                    <w:rPr>
                      <w:rFonts w:hint="eastAsia"/>
                      <w:bCs/>
                      <w:color w:val="auto"/>
                      <w:szCs w:val="21"/>
                    </w:rPr>
                    <w:t>/</w:t>
                  </w:r>
                </w:p>
              </w:tc>
              <w:tc>
                <w:tcPr>
                  <w:tcW w:w="921" w:type="pct"/>
                  <w:vAlign w:val="center"/>
                </w:tcPr>
                <w:p w14:paraId="039AFACB">
                  <w:pPr>
                    <w:spacing w:line="276" w:lineRule="auto"/>
                    <w:contextualSpacing/>
                    <w:jc w:val="center"/>
                    <w:rPr>
                      <w:bCs/>
                      <w:color w:val="auto"/>
                      <w:szCs w:val="21"/>
                    </w:rPr>
                  </w:pPr>
                  <w:r>
                    <w:rPr>
                      <w:bCs/>
                      <w:color w:val="auto"/>
                      <w:szCs w:val="21"/>
                    </w:rPr>
                    <w:t>依托现有</w:t>
                  </w:r>
                </w:p>
              </w:tc>
            </w:tr>
            <w:tr w14:paraId="7BE050E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1C0CA9BB">
                  <w:pPr>
                    <w:spacing w:line="276" w:lineRule="auto"/>
                    <w:contextualSpacing/>
                    <w:jc w:val="center"/>
                    <w:rPr>
                      <w:bCs/>
                      <w:color w:val="auto"/>
                      <w:szCs w:val="21"/>
                    </w:rPr>
                  </w:pPr>
                </w:p>
              </w:tc>
              <w:tc>
                <w:tcPr>
                  <w:tcW w:w="847" w:type="pct"/>
                  <w:gridSpan w:val="2"/>
                  <w:vAlign w:val="center"/>
                </w:tcPr>
                <w:p w14:paraId="24D38B55">
                  <w:pPr>
                    <w:spacing w:line="276" w:lineRule="auto"/>
                    <w:contextualSpacing/>
                    <w:jc w:val="center"/>
                    <w:rPr>
                      <w:bCs/>
                      <w:color w:val="auto"/>
                      <w:szCs w:val="21"/>
                    </w:rPr>
                  </w:pPr>
                  <w:r>
                    <w:rPr>
                      <w:color w:val="auto"/>
                      <w:szCs w:val="21"/>
                    </w:rPr>
                    <w:t>浴室</w:t>
                  </w:r>
                </w:p>
              </w:tc>
              <w:tc>
                <w:tcPr>
                  <w:tcW w:w="1655" w:type="pct"/>
                  <w:vAlign w:val="center"/>
                </w:tcPr>
                <w:p w14:paraId="288670A8">
                  <w:pPr>
                    <w:snapToGrid w:val="0"/>
                    <w:spacing w:line="276" w:lineRule="auto"/>
                    <w:jc w:val="center"/>
                    <w:rPr>
                      <w:bCs/>
                      <w:color w:val="auto"/>
                      <w:szCs w:val="21"/>
                    </w:rPr>
                  </w:pPr>
                  <w:r>
                    <w:rPr>
                      <w:color w:val="auto"/>
                      <w:szCs w:val="21"/>
                    </w:rPr>
                    <w:t>设置在办公楼1内，用于职工洗浴</w:t>
                  </w:r>
                </w:p>
              </w:tc>
              <w:tc>
                <w:tcPr>
                  <w:tcW w:w="1046" w:type="pct"/>
                  <w:vAlign w:val="center"/>
                </w:tcPr>
                <w:p w14:paraId="1F230E29">
                  <w:pPr>
                    <w:spacing w:line="276" w:lineRule="auto"/>
                    <w:contextualSpacing/>
                    <w:jc w:val="center"/>
                    <w:rPr>
                      <w:bCs/>
                      <w:color w:val="auto"/>
                      <w:szCs w:val="21"/>
                    </w:rPr>
                  </w:pPr>
                  <w:r>
                    <w:rPr>
                      <w:rFonts w:hint="eastAsia"/>
                      <w:bCs/>
                      <w:color w:val="auto"/>
                      <w:szCs w:val="21"/>
                    </w:rPr>
                    <w:t>/</w:t>
                  </w:r>
                </w:p>
              </w:tc>
              <w:tc>
                <w:tcPr>
                  <w:tcW w:w="921" w:type="pct"/>
                  <w:vAlign w:val="center"/>
                </w:tcPr>
                <w:p w14:paraId="4A77EE11">
                  <w:pPr>
                    <w:spacing w:line="276" w:lineRule="auto"/>
                    <w:contextualSpacing/>
                    <w:jc w:val="center"/>
                    <w:rPr>
                      <w:bCs/>
                      <w:color w:val="auto"/>
                      <w:szCs w:val="21"/>
                    </w:rPr>
                  </w:pPr>
                  <w:r>
                    <w:rPr>
                      <w:rFonts w:hint="eastAsia"/>
                      <w:bCs/>
                      <w:color w:val="auto"/>
                      <w:szCs w:val="21"/>
                    </w:rPr>
                    <w:t>/</w:t>
                  </w:r>
                </w:p>
              </w:tc>
            </w:tr>
            <w:tr w14:paraId="3F0A300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21E7B0C6">
                  <w:pPr>
                    <w:spacing w:line="276" w:lineRule="auto"/>
                    <w:contextualSpacing/>
                    <w:jc w:val="center"/>
                    <w:rPr>
                      <w:bCs/>
                      <w:color w:val="auto"/>
                      <w:szCs w:val="21"/>
                    </w:rPr>
                  </w:pPr>
                </w:p>
              </w:tc>
              <w:tc>
                <w:tcPr>
                  <w:tcW w:w="847" w:type="pct"/>
                  <w:gridSpan w:val="2"/>
                  <w:vAlign w:val="center"/>
                </w:tcPr>
                <w:p w14:paraId="4CD02F46">
                  <w:pPr>
                    <w:spacing w:line="276" w:lineRule="auto"/>
                    <w:contextualSpacing/>
                    <w:jc w:val="center"/>
                    <w:rPr>
                      <w:bCs/>
                      <w:color w:val="auto"/>
                      <w:szCs w:val="21"/>
                    </w:rPr>
                  </w:pPr>
                  <w:r>
                    <w:rPr>
                      <w:color w:val="auto"/>
                      <w:szCs w:val="21"/>
                    </w:rPr>
                    <w:t>配电房（平面图编号</w:t>
                  </w:r>
                  <w:r>
                    <w:rPr>
                      <w:rFonts w:hint="eastAsia"/>
                      <w:color w:val="auto"/>
                      <w:szCs w:val="21"/>
                    </w:rPr>
                    <w:t>21</w:t>
                  </w:r>
                  <w:r>
                    <w:rPr>
                      <w:color w:val="auto"/>
                      <w:szCs w:val="21"/>
                    </w:rPr>
                    <w:t>#）</w:t>
                  </w:r>
                </w:p>
              </w:tc>
              <w:tc>
                <w:tcPr>
                  <w:tcW w:w="1655" w:type="pct"/>
                  <w:vAlign w:val="center"/>
                </w:tcPr>
                <w:p w14:paraId="10E24E13">
                  <w:pPr>
                    <w:snapToGrid w:val="0"/>
                    <w:spacing w:line="276" w:lineRule="auto"/>
                    <w:jc w:val="center"/>
                    <w:rPr>
                      <w:bCs/>
                      <w:color w:val="auto"/>
                      <w:szCs w:val="21"/>
                    </w:rPr>
                  </w:pPr>
                  <w:r>
                    <w:rPr>
                      <w:color w:val="auto"/>
                      <w:szCs w:val="21"/>
                    </w:rPr>
                    <w:t>设置在东厂区加工车间南边，作为厂区供电系统，总计2层，现建筑面积180m</w:t>
                  </w:r>
                  <w:r>
                    <w:rPr>
                      <w:color w:val="auto"/>
                      <w:szCs w:val="21"/>
                      <w:vertAlign w:val="superscript"/>
                    </w:rPr>
                    <w:t>2</w:t>
                  </w:r>
                  <w:r>
                    <w:rPr>
                      <w:color w:val="auto"/>
                      <w:szCs w:val="21"/>
                    </w:rPr>
                    <w:t>，拆除重建后占地面积</w:t>
                  </w:r>
                  <w:r>
                    <w:rPr>
                      <w:rFonts w:hint="eastAsia"/>
                      <w:color w:val="auto"/>
                      <w:szCs w:val="21"/>
                    </w:rPr>
                    <w:t>900m</w:t>
                  </w:r>
                  <w:r>
                    <w:rPr>
                      <w:rFonts w:hint="eastAsia"/>
                      <w:color w:val="auto"/>
                      <w:szCs w:val="21"/>
                      <w:vertAlign w:val="superscript"/>
                    </w:rPr>
                    <w:t>2</w:t>
                  </w:r>
                  <w:r>
                    <w:rPr>
                      <w:rFonts w:hint="eastAsia"/>
                      <w:color w:val="auto"/>
                      <w:szCs w:val="21"/>
                    </w:rPr>
                    <w:t>（建筑面积1992m</w:t>
                  </w:r>
                  <w:r>
                    <w:rPr>
                      <w:rFonts w:hint="eastAsia"/>
                      <w:color w:val="auto"/>
                      <w:szCs w:val="21"/>
                      <w:vertAlign w:val="superscript"/>
                    </w:rPr>
                    <w:t>2</w:t>
                  </w:r>
                  <w:r>
                    <w:rPr>
                      <w:rFonts w:hint="eastAsia"/>
                      <w:color w:val="auto"/>
                      <w:szCs w:val="21"/>
                    </w:rPr>
                    <w:t>）</w:t>
                  </w:r>
                </w:p>
              </w:tc>
              <w:tc>
                <w:tcPr>
                  <w:tcW w:w="1046" w:type="pct"/>
                  <w:vAlign w:val="center"/>
                </w:tcPr>
                <w:p w14:paraId="2904B4A0">
                  <w:pPr>
                    <w:spacing w:line="276" w:lineRule="auto"/>
                    <w:contextualSpacing/>
                    <w:jc w:val="center"/>
                    <w:rPr>
                      <w:bCs/>
                      <w:color w:val="auto"/>
                      <w:szCs w:val="21"/>
                    </w:rPr>
                  </w:pPr>
                  <w:r>
                    <w:rPr>
                      <w:rFonts w:hint="eastAsia"/>
                      <w:bCs/>
                      <w:color w:val="auto"/>
                      <w:szCs w:val="21"/>
                    </w:rPr>
                    <w:t>/</w:t>
                  </w:r>
                </w:p>
              </w:tc>
              <w:tc>
                <w:tcPr>
                  <w:tcW w:w="921" w:type="pct"/>
                  <w:vAlign w:val="center"/>
                </w:tcPr>
                <w:p w14:paraId="1FEED552">
                  <w:pPr>
                    <w:spacing w:line="276" w:lineRule="auto"/>
                    <w:contextualSpacing/>
                    <w:jc w:val="center"/>
                    <w:rPr>
                      <w:bCs/>
                      <w:color w:val="auto"/>
                      <w:szCs w:val="21"/>
                    </w:rPr>
                  </w:pPr>
                  <w:r>
                    <w:rPr>
                      <w:bCs/>
                      <w:color w:val="auto"/>
                      <w:szCs w:val="21"/>
                    </w:rPr>
                    <w:t>依托现有</w:t>
                  </w:r>
                </w:p>
              </w:tc>
            </w:tr>
            <w:tr w14:paraId="6263E1B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450290D3">
                  <w:pPr>
                    <w:spacing w:line="276" w:lineRule="auto"/>
                    <w:contextualSpacing/>
                    <w:jc w:val="center"/>
                    <w:rPr>
                      <w:bCs/>
                      <w:color w:val="auto"/>
                      <w:szCs w:val="21"/>
                    </w:rPr>
                  </w:pPr>
                </w:p>
              </w:tc>
              <w:tc>
                <w:tcPr>
                  <w:tcW w:w="847" w:type="pct"/>
                  <w:gridSpan w:val="2"/>
                  <w:vAlign w:val="center"/>
                </w:tcPr>
                <w:p w14:paraId="120129FD">
                  <w:pPr>
                    <w:spacing w:line="276" w:lineRule="auto"/>
                    <w:contextualSpacing/>
                    <w:jc w:val="center"/>
                    <w:rPr>
                      <w:color w:val="auto"/>
                      <w:szCs w:val="21"/>
                    </w:rPr>
                  </w:pPr>
                  <w:r>
                    <w:rPr>
                      <w:color w:val="auto"/>
                      <w:szCs w:val="21"/>
                    </w:rPr>
                    <w:t>门卫</w:t>
                  </w:r>
                  <w:r>
                    <w:rPr>
                      <w:rFonts w:hint="eastAsia"/>
                      <w:color w:val="auto"/>
                      <w:szCs w:val="21"/>
                    </w:rPr>
                    <w:t>1（平面图编号11#）</w:t>
                  </w:r>
                </w:p>
              </w:tc>
              <w:tc>
                <w:tcPr>
                  <w:tcW w:w="1655" w:type="pct"/>
                  <w:vAlign w:val="center"/>
                </w:tcPr>
                <w:p w14:paraId="1F2A5503">
                  <w:pPr>
                    <w:snapToGrid w:val="0"/>
                    <w:spacing w:line="276" w:lineRule="auto"/>
                    <w:jc w:val="center"/>
                    <w:rPr>
                      <w:color w:val="auto"/>
                      <w:szCs w:val="21"/>
                    </w:rPr>
                  </w:pPr>
                  <w:r>
                    <w:rPr>
                      <w:color w:val="auto"/>
                      <w:szCs w:val="21"/>
                    </w:rPr>
                    <w:t>建设一座门卫，用于保安工作</w:t>
                  </w:r>
                </w:p>
              </w:tc>
              <w:tc>
                <w:tcPr>
                  <w:tcW w:w="1046" w:type="pct"/>
                  <w:vAlign w:val="center"/>
                </w:tcPr>
                <w:p w14:paraId="19B4FD3D">
                  <w:pPr>
                    <w:spacing w:line="276" w:lineRule="auto"/>
                    <w:contextualSpacing/>
                    <w:jc w:val="center"/>
                    <w:rPr>
                      <w:bCs/>
                      <w:color w:val="auto"/>
                      <w:szCs w:val="21"/>
                    </w:rPr>
                  </w:pPr>
                  <w:r>
                    <w:rPr>
                      <w:rFonts w:hint="eastAsia"/>
                      <w:bCs/>
                      <w:color w:val="auto"/>
                      <w:szCs w:val="21"/>
                    </w:rPr>
                    <w:t>/</w:t>
                  </w:r>
                </w:p>
              </w:tc>
              <w:tc>
                <w:tcPr>
                  <w:tcW w:w="921" w:type="pct"/>
                  <w:vAlign w:val="center"/>
                </w:tcPr>
                <w:p w14:paraId="11D584E7">
                  <w:pPr>
                    <w:spacing w:line="276" w:lineRule="auto"/>
                    <w:contextualSpacing/>
                    <w:jc w:val="center"/>
                    <w:rPr>
                      <w:bCs/>
                      <w:color w:val="auto"/>
                      <w:szCs w:val="21"/>
                    </w:rPr>
                  </w:pPr>
                  <w:r>
                    <w:rPr>
                      <w:bCs/>
                      <w:color w:val="auto"/>
                      <w:szCs w:val="21"/>
                    </w:rPr>
                    <w:t>依托现有</w:t>
                  </w:r>
                </w:p>
              </w:tc>
            </w:tr>
            <w:tr w14:paraId="23364CA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11F1180D">
                  <w:pPr>
                    <w:spacing w:line="276" w:lineRule="auto"/>
                    <w:contextualSpacing/>
                    <w:jc w:val="center"/>
                    <w:rPr>
                      <w:bCs/>
                      <w:color w:val="auto"/>
                      <w:szCs w:val="21"/>
                    </w:rPr>
                  </w:pPr>
                </w:p>
              </w:tc>
              <w:tc>
                <w:tcPr>
                  <w:tcW w:w="847" w:type="pct"/>
                  <w:gridSpan w:val="2"/>
                  <w:vAlign w:val="center"/>
                </w:tcPr>
                <w:p w14:paraId="535532C8">
                  <w:pPr>
                    <w:spacing w:line="276" w:lineRule="auto"/>
                    <w:contextualSpacing/>
                    <w:jc w:val="center"/>
                    <w:rPr>
                      <w:color w:val="auto"/>
                      <w:szCs w:val="21"/>
                    </w:rPr>
                  </w:pPr>
                  <w:r>
                    <w:rPr>
                      <w:color w:val="auto"/>
                      <w:szCs w:val="21"/>
                    </w:rPr>
                    <w:t>门卫</w:t>
                  </w:r>
                  <w:r>
                    <w:rPr>
                      <w:rFonts w:hint="eastAsia"/>
                      <w:color w:val="auto"/>
                      <w:szCs w:val="21"/>
                    </w:rPr>
                    <w:t>2（平面图编号16#）</w:t>
                  </w:r>
                </w:p>
              </w:tc>
              <w:tc>
                <w:tcPr>
                  <w:tcW w:w="1655" w:type="pct"/>
                  <w:vAlign w:val="center"/>
                </w:tcPr>
                <w:p w14:paraId="49093253">
                  <w:pPr>
                    <w:snapToGrid w:val="0"/>
                    <w:spacing w:line="276" w:lineRule="auto"/>
                    <w:jc w:val="center"/>
                    <w:rPr>
                      <w:color w:val="auto"/>
                      <w:szCs w:val="21"/>
                    </w:rPr>
                  </w:pPr>
                  <w:r>
                    <w:rPr>
                      <w:color w:val="auto"/>
                      <w:szCs w:val="21"/>
                    </w:rPr>
                    <w:t>建设一座门卫，用于保安工作</w:t>
                  </w:r>
                </w:p>
              </w:tc>
              <w:tc>
                <w:tcPr>
                  <w:tcW w:w="1046" w:type="pct"/>
                  <w:vAlign w:val="center"/>
                </w:tcPr>
                <w:p w14:paraId="72E3CEA2">
                  <w:pPr>
                    <w:spacing w:line="276" w:lineRule="auto"/>
                    <w:contextualSpacing/>
                    <w:jc w:val="center"/>
                    <w:rPr>
                      <w:bCs/>
                      <w:color w:val="auto"/>
                      <w:szCs w:val="21"/>
                    </w:rPr>
                  </w:pPr>
                  <w:r>
                    <w:rPr>
                      <w:rFonts w:hint="eastAsia"/>
                      <w:bCs/>
                      <w:color w:val="auto"/>
                      <w:szCs w:val="21"/>
                    </w:rPr>
                    <w:t>/</w:t>
                  </w:r>
                </w:p>
              </w:tc>
              <w:tc>
                <w:tcPr>
                  <w:tcW w:w="921" w:type="pct"/>
                  <w:vAlign w:val="center"/>
                </w:tcPr>
                <w:p w14:paraId="133CE47D">
                  <w:pPr>
                    <w:spacing w:line="276" w:lineRule="auto"/>
                    <w:contextualSpacing/>
                    <w:jc w:val="center"/>
                    <w:rPr>
                      <w:bCs/>
                      <w:color w:val="auto"/>
                      <w:szCs w:val="21"/>
                    </w:rPr>
                  </w:pPr>
                  <w:r>
                    <w:rPr>
                      <w:bCs/>
                      <w:color w:val="auto"/>
                      <w:szCs w:val="21"/>
                    </w:rPr>
                    <w:t>依托现有</w:t>
                  </w:r>
                </w:p>
              </w:tc>
            </w:tr>
            <w:tr w14:paraId="51EEF81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74F2698E">
                  <w:pPr>
                    <w:spacing w:line="276" w:lineRule="auto"/>
                    <w:contextualSpacing/>
                    <w:jc w:val="center"/>
                    <w:rPr>
                      <w:bCs/>
                      <w:color w:val="auto"/>
                      <w:szCs w:val="21"/>
                    </w:rPr>
                  </w:pPr>
                </w:p>
              </w:tc>
              <w:tc>
                <w:tcPr>
                  <w:tcW w:w="847" w:type="pct"/>
                  <w:gridSpan w:val="2"/>
                  <w:vAlign w:val="center"/>
                </w:tcPr>
                <w:p w14:paraId="1F259E90">
                  <w:pPr>
                    <w:spacing w:line="276" w:lineRule="auto"/>
                    <w:contextualSpacing/>
                    <w:jc w:val="center"/>
                    <w:rPr>
                      <w:color w:val="auto"/>
                      <w:szCs w:val="21"/>
                    </w:rPr>
                  </w:pPr>
                  <w:r>
                    <w:rPr>
                      <w:color w:val="auto"/>
                      <w:szCs w:val="21"/>
                    </w:rPr>
                    <w:t>门卫</w:t>
                  </w:r>
                  <w:r>
                    <w:rPr>
                      <w:rFonts w:hint="eastAsia"/>
                      <w:color w:val="auto"/>
                      <w:szCs w:val="21"/>
                    </w:rPr>
                    <w:t>3（平面图编号27#）</w:t>
                  </w:r>
                </w:p>
              </w:tc>
              <w:tc>
                <w:tcPr>
                  <w:tcW w:w="1655" w:type="pct"/>
                  <w:vAlign w:val="center"/>
                </w:tcPr>
                <w:p w14:paraId="1943AF3B">
                  <w:pPr>
                    <w:snapToGrid w:val="0"/>
                    <w:spacing w:line="276" w:lineRule="auto"/>
                    <w:jc w:val="center"/>
                    <w:rPr>
                      <w:color w:val="auto"/>
                      <w:szCs w:val="21"/>
                    </w:rPr>
                  </w:pPr>
                  <w:r>
                    <w:rPr>
                      <w:color w:val="auto"/>
                      <w:szCs w:val="21"/>
                    </w:rPr>
                    <w:t>建设一座门卫，用于保安工作</w:t>
                  </w:r>
                </w:p>
              </w:tc>
              <w:tc>
                <w:tcPr>
                  <w:tcW w:w="1046" w:type="pct"/>
                  <w:vAlign w:val="center"/>
                </w:tcPr>
                <w:p w14:paraId="61844A97">
                  <w:pPr>
                    <w:spacing w:line="276" w:lineRule="auto"/>
                    <w:contextualSpacing/>
                    <w:jc w:val="center"/>
                    <w:rPr>
                      <w:bCs/>
                      <w:color w:val="auto"/>
                      <w:szCs w:val="21"/>
                    </w:rPr>
                  </w:pPr>
                  <w:r>
                    <w:rPr>
                      <w:rFonts w:hint="eastAsia"/>
                      <w:bCs/>
                      <w:color w:val="auto"/>
                      <w:szCs w:val="21"/>
                    </w:rPr>
                    <w:t>/</w:t>
                  </w:r>
                </w:p>
              </w:tc>
              <w:tc>
                <w:tcPr>
                  <w:tcW w:w="921" w:type="pct"/>
                  <w:vAlign w:val="center"/>
                </w:tcPr>
                <w:p w14:paraId="7D77954D">
                  <w:pPr>
                    <w:spacing w:line="276" w:lineRule="auto"/>
                    <w:contextualSpacing/>
                    <w:jc w:val="center"/>
                    <w:rPr>
                      <w:bCs/>
                      <w:color w:val="auto"/>
                      <w:szCs w:val="21"/>
                    </w:rPr>
                  </w:pPr>
                  <w:r>
                    <w:rPr>
                      <w:bCs/>
                      <w:color w:val="auto"/>
                      <w:szCs w:val="21"/>
                    </w:rPr>
                    <w:t>依托现有</w:t>
                  </w:r>
                </w:p>
              </w:tc>
            </w:tr>
            <w:tr w14:paraId="4E6F39F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633BCFE9">
                  <w:pPr>
                    <w:spacing w:line="276" w:lineRule="auto"/>
                    <w:contextualSpacing/>
                    <w:jc w:val="center"/>
                    <w:rPr>
                      <w:bCs/>
                      <w:color w:val="auto"/>
                      <w:szCs w:val="21"/>
                    </w:rPr>
                  </w:pPr>
                </w:p>
              </w:tc>
              <w:tc>
                <w:tcPr>
                  <w:tcW w:w="847" w:type="pct"/>
                  <w:gridSpan w:val="2"/>
                  <w:vAlign w:val="center"/>
                </w:tcPr>
                <w:p w14:paraId="1D14ADFF">
                  <w:pPr>
                    <w:spacing w:line="276" w:lineRule="auto"/>
                    <w:contextualSpacing/>
                    <w:jc w:val="center"/>
                    <w:rPr>
                      <w:color w:val="auto"/>
                      <w:szCs w:val="21"/>
                    </w:rPr>
                  </w:pPr>
                  <w:r>
                    <w:rPr>
                      <w:color w:val="auto"/>
                      <w:szCs w:val="21"/>
                    </w:rPr>
                    <w:t>消防水池</w:t>
                  </w:r>
                </w:p>
              </w:tc>
              <w:tc>
                <w:tcPr>
                  <w:tcW w:w="1655" w:type="pct"/>
                  <w:vAlign w:val="center"/>
                </w:tcPr>
                <w:p w14:paraId="3361FADF">
                  <w:pPr>
                    <w:snapToGrid w:val="0"/>
                    <w:spacing w:line="276" w:lineRule="auto"/>
                    <w:jc w:val="center"/>
                    <w:rPr>
                      <w:color w:val="auto"/>
                      <w:szCs w:val="21"/>
                    </w:rPr>
                  </w:pPr>
                  <w:r>
                    <w:rPr>
                      <w:color w:val="auto"/>
                      <w:szCs w:val="21"/>
                    </w:rPr>
                    <w:t>东厂区东北部设置2座消防水池，1座容积为1133.64m</w:t>
                  </w:r>
                  <w:r>
                    <w:rPr>
                      <w:color w:val="auto"/>
                      <w:szCs w:val="21"/>
                      <w:vertAlign w:val="superscript"/>
                    </w:rPr>
                    <w:t>3</w:t>
                  </w:r>
                  <w:r>
                    <w:rPr>
                      <w:color w:val="auto"/>
                      <w:szCs w:val="21"/>
                    </w:rPr>
                    <w:t>，1座容积1169.18m</w:t>
                  </w:r>
                  <w:r>
                    <w:rPr>
                      <w:color w:val="auto"/>
                      <w:szCs w:val="21"/>
                      <w:vertAlign w:val="superscript"/>
                    </w:rPr>
                    <w:t>3</w:t>
                  </w:r>
                  <w:r>
                    <w:rPr>
                      <w:color w:val="auto"/>
                      <w:szCs w:val="21"/>
                    </w:rPr>
                    <w:t>；西厂区产品库</w:t>
                  </w:r>
                  <w:r>
                    <w:rPr>
                      <w:rFonts w:hint="eastAsia"/>
                      <w:color w:val="auto"/>
                      <w:szCs w:val="21"/>
                    </w:rPr>
                    <w:t>1内设置1座地下消防水池</w:t>
                  </w:r>
                </w:p>
              </w:tc>
              <w:tc>
                <w:tcPr>
                  <w:tcW w:w="1046" w:type="pct"/>
                  <w:vAlign w:val="center"/>
                </w:tcPr>
                <w:p w14:paraId="7AF985FE">
                  <w:pPr>
                    <w:spacing w:line="276" w:lineRule="auto"/>
                    <w:contextualSpacing/>
                    <w:jc w:val="center"/>
                    <w:rPr>
                      <w:bCs/>
                      <w:color w:val="auto"/>
                      <w:szCs w:val="21"/>
                    </w:rPr>
                  </w:pPr>
                  <w:r>
                    <w:rPr>
                      <w:rFonts w:hint="eastAsia"/>
                      <w:bCs/>
                      <w:color w:val="auto"/>
                      <w:szCs w:val="21"/>
                    </w:rPr>
                    <w:t>/</w:t>
                  </w:r>
                </w:p>
              </w:tc>
              <w:tc>
                <w:tcPr>
                  <w:tcW w:w="921" w:type="pct"/>
                  <w:vAlign w:val="center"/>
                </w:tcPr>
                <w:p w14:paraId="1302B5D8">
                  <w:pPr>
                    <w:spacing w:line="276" w:lineRule="auto"/>
                    <w:contextualSpacing/>
                    <w:jc w:val="center"/>
                    <w:rPr>
                      <w:bCs/>
                      <w:color w:val="auto"/>
                      <w:szCs w:val="21"/>
                    </w:rPr>
                  </w:pPr>
                  <w:r>
                    <w:rPr>
                      <w:bCs/>
                      <w:color w:val="auto"/>
                      <w:szCs w:val="21"/>
                    </w:rPr>
                    <w:t>依托现有</w:t>
                  </w:r>
                </w:p>
              </w:tc>
            </w:tr>
            <w:tr w14:paraId="011BBAE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restart"/>
                  <w:vAlign w:val="center"/>
                </w:tcPr>
                <w:p w14:paraId="7852D0D9">
                  <w:pPr>
                    <w:spacing w:line="276" w:lineRule="auto"/>
                    <w:contextualSpacing/>
                    <w:jc w:val="center"/>
                    <w:rPr>
                      <w:bCs/>
                      <w:color w:val="auto"/>
                      <w:szCs w:val="21"/>
                    </w:rPr>
                  </w:pPr>
                  <w:r>
                    <w:rPr>
                      <w:bCs/>
                      <w:color w:val="auto"/>
                      <w:szCs w:val="21"/>
                    </w:rPr>
                    <w:t>储运工程</w:t>
                  </w:r>
                </w:p>
              </w:tc>
              <w:tc>
                <w:tcPr>
                  <w:tcW w:w="847" w:type="pct"/>
                  <w:gridSpan w:val="2"/>
                  <w:vAlign w:val="center"/>
                </w:tcPr>
                <w:p w14:paraId="4BEA9AAE">
                  <w:pPr>
                    <w:adjustRightInd w:val="0"/>
                    <w:snapToGrid w:val="0"/>
                    <w:spacing w:line="276" w:lineRule="auto"/>
                    <w:jc w:val="center"/>
                    <w:rPr>
                      <w:color w:val="auto"/>
                      <w:szCs w:val="21"/>
                    </w:rPr>
                  </w:pPr>
                  <w:r>
                    <w:rPr>
                      <w:color w:val="auto"/>
                      <w:szCs w:val="21"/>
                    </w:rPr>
                    <w:t>原料库</w:t>
                  </w:r>
                  <w:r>
                    <w:rPr>
                      <w:rFonts w:hint="eastAsia"/>
                      <w:color w:val="auto"/>
                      <w:szCs w:val="21"/>
                    </w:rPr>
                    <w:t>1（平面图编号9#）</w:t>
                  </w:r>
                </w:p>
              </w:tc>
              <w:tc>
                <w:tcPr>
                  <w:tcW w:w="1655" w:type="pct"/>
                  <w:vAlign w:val="center"/>
                </w:tcPr>
                <w:p w14:paraId="341F1102">
                  <w:pPr>
                    <w:adjustRightInd w:val="0"/>
                    <w:snapToGrid w:val="0"/>
                    <w:spacing w:line="276" w:lineRule="auto"/>
                    <w:jc w:val="center"/>
                    <w:rPr>
                      <w:color w:val="auto"/>
                      <w:szCs w:val="21"/>
                    </w:rPr>
                  </w:pPr>
                  <w:r>
                    <w:rPr>
                      <w:color w:val="auto"/>
                      <w:szCs w:val="21"/>
                    </w:rPr>
                    <w:t>位于西厂区东北部，</w:t>
                  </w:r>
                  <w:r>
                    <w:rPr>
                      <w:rFonts w:hint="eastAsia"/>
                      <w:color w:val="auto"/>
                      <w:szCs w:val="21"/>
                    </w:rPr>
                    <w:t>1</w:t>
                  </w:r>
                  <w:r>
                    <w:rPr>
                      <w:color w:val="auto"/>
                      <w:szCs w:val="21"/>
                    </w:rPr>
                    <w:t>层，主要用于储存碎玻璃，现占地面积约</w:t>
                  </w:r>
                  <w:r>
                    <w:rPr>
                      <w:rFonts w:hint="eastAsia"/>
                      <w:color w:val="auto"/>
                      <w:szCs w:val="21"/>
                    </w:rPr>
                    <w:t>478</w:t>
                  </w:r>
                  <w:r>
                    <w:rPr>
                      <w:color w:val="auto"/>
                      <w:szCs w:val="21"/>
                    </w:rPr>
                    <w:t>m</w:t>
                  </w:r>
                  <w:r>
                    <w:rPr>
                      <w:color w:val="auto"/>
                      <w:szCs w:val="21"/>
                      <w:vertAlign w:val="superscript"/>
                    </w:rPr>
                    <w:t>2</w:t>
                  </w:r>
                  <w:r>
                    <w:rPr>
                      <w:color w:val="auto"/>
                      <w:szCs w:val="21"/>
                    </w:rPr>
                    <w:t>（建筑面积约</w:t>
                  </w:r>
                  <w:r>
                    <w:rPr>
                      <w:rFonts w:hint="eastAsia"/>
                      <w:color w:val="auto"/>
                      <w:szCs w:val="21"/>
                    </w:rPr>
                    <w:t>478</w:t>
                  </w:r>
                  <w:r>
                    <w:rPr>
                      <w:color w:val="auto"/>
                      <w:szCs w:val="21"/>
                    </w:rPr>
                    <w:t>m</w:t>
                  </w:r>
                  <w:r>
                    <w:rPr>
                      <w:color w:val="auto"/>
                      <w:szCs w:val="21"/>
                      <w:vertAlign w:val="superscript"/>
                    </w:rPr>
                    <w:t>2</w:t>
                  </w:r>
                  <w:r>
                    <w:rPr>
                      <w:color w:val="auto"/>
                      <w:szCs w:val="21"/>
                    </w:rPr>
                    <w:t>）。拆除重建后改为</w:t>
                  </w:r>
                  <w:r>
                    <w:rPr>
                      <w:rFonts w:hint="eastAsia"/>
                      <w:color w:val="auto"/>
                      <w:szCs w:val="21"/>
                    </w:rPr>
                    <w:t>2层建筑，</w:t>
                  </w:r>
                  <w:r>
                    <w:rPr>
                      <w:color w:val="auto"/>
                      <w:szCs w:val="21"/>
                    </w:rPr>
                    <w:t>占地面积约</w:t>
                  </w:r>
                  <w:r>
                    <w:rPr>
                      <w:rFonts w:hint="eastAsia"/>
                      <w:color w:val="auto"/>
                      <w:szCs w:val="21"/>
                    </w:rPr>
                    <w:t>1134</w:t>
                  </w:r>
                  <w:r>
                    <w:rPr>
                      <w:color w:val="auto"/>
                      <w:szCs w:val="21"/>
                    </w:rPr>
                    <w:t>m</w:t>
                  </w:r>
                  <w:r>
                    <w:rPr>
                      <w:color w:val="auto"/>
                      <w:szCs w:val="21"/>
                      <w:vertAlign w:val="superscript"/>
                    </w:rPr>
                    <w:t>2</w:t>
                  </w:r>
                  <w:r>
                    <w:rPr>
                      <w:color w:val="auto"/>
                      <w:szCs w:val="21"/>
                    </w:rPr>
                    <w:t>（建筑面积约</w:t>
                  </w:r>
                  <w:r>
                    <w:rPr>
                      <w:rFonts w:hint="eastAsia"/>
                      <w:color w:val="auto"/>
                      <w:szCs w:val="21"/>
                    </w:rPr>
                    <w:t>2272</w:t>
                  </w:r>
                  <w:r>
                    <w:rPr>
                      <w:color w:val="auto"/>
                      <w:szCs w:val="21"/>
                    </w:rPr>
                    <w:t>m</w:t>
                  </w:r>
                  <w:r>
                    <w:rPr>
                      <w:color w:val="auto"/>
                      <w:szCs w:val="21"/>
                      <w:vertAlign w:val="superscript"/>
                    </w:rPr>
                    <w:t>2</w:t>
                  </w:r>
                  <w:r>
                    <w:rPr>
                      <w:color w:val="auto"/>
                      <w:szCs w:val="21"/>
                    </w:rPr>
                    <w:t>）</w:t>
                  </w:r>
                </w:p>
              </w:tc>
              <w:tc>
                <w:tcPr>
                  <w:tcW w:w="1046" w:type="pct"/>
                  <w:vAlign w:val="center"/>
                </w:tcPr>
                <w:p w14:paraId="076D805B">
                  <w:pPr>
                    <w:spacing w:line="276" w:lineRule="auto"/>
                    <w:contextualSpacing/>
                    <w:jc w:val="center"/>
                    <w:rPr>
                      <w:bCs/>
                      <w:color w:val="auto"/>
                      <w:szCs w:val="21"/>
                    </w:rPr>
                  </w:pPr>
                  <w:r>
                    <w:rPr>
                      <w:rFonts w:hint="eastAsia"/>
                      <w:bCs/>
                      <w:color w:val="auto"/>
                      <w:szCs w:val="21"/>
                    </w:rPr>
                    <w:t>/</w:t>
                  </w:r>
                </w:p>
              </w:tc>
              <w:tc>
                <w:tcPr>
                  <w:tcW w:w="921" w:type="pct"/>
                  <w:vAlign w:val="center"/>
                </w:tcPr>
                <w:p w14:paraId="5C1B1851">
                  <w:pPr>
                    <w:spacing w:line="276" w:lineRule="auto"/>
                    <w:contextualSpacing/>
                    <w:jc w:val="center"/>
                    <w:rPr>
                      <w:bCs/>
                      <w:color w:val="auto"/>
                      <w:szCs w:val="21"/>
                    </w:rPr>
                  </w:pPr>
                  <w:r>
                    <w:rPr>
                      <w:bCs/>
                      <w:color w:val="auto"/>
                      <w:szCs w:val="21"/>
                    </w:rPr>
                    <w:t>依托现有</w:t>
                  </w:r>
                </w:p>
              </w:tc>
            </w:tr>
            <w:tr w14:paraId="72ACAA1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4F26E52B">
                  <w:pPr>
                    <w:spacing w:line="276" w:lineRule="auto"/>
                    <w:contextualSpacing/>
                    <w:jc w:val="center"/>
                    <w:rPr>
                      <w:bCs/>
                      <w:color w:val="auto"/>
                      <w:szCs w:val="21"/>
                    </w:rPr>
                  </w:pPr>
                </w:p>
              </w:tc>
              <w:tc>
                <w:tcPr>
                  <w:tcW w:w="847" w:type="pct"/>
                  <w:gridSpan w:val="2"/>
                  <w:vAlign w:val="center"/>
                </w:tcPr>
                <w:p w14:paraId="6CDB05CE">
                  <w:pPr>
                    <w:adjustRightInd w:val="0"/>
                    <w:snapToGrid w:val="0"/>
                    <w:spacing w:line="276" w:lineRule="auto"/>
                    <w:jc w:val="center"/>
                    <w:rPr>
                      <w:color w:val="auto"/>
                      <w:szCs w:val="21"/>
                    </w:rPr>
                  </w:pPr>
                  <w:r>
                    <w:rPr>
                      <w:color w:val="auto"/>
                      <w:szCs w:val="21"/>
                    </w:rPr>
                    <w:t>原料库</w:t>
                  </w:r>
                  <w:r>
                    <w:rPr>
                      <w:rFonts w:hint="eastAsia"/>
                      <w:color w:val="auto"/>
                      <w:szCs w:val="21"/>
                    </w:rPr>
                    <w:t>2（平面图编号12#）</w:t>
                  </w:r>
                </w:p>
              </w:tc>
              <w:tc>
                <w:tcPr>
                  <w:tcW w:w="1655" w:type="pct"/>
                  <w:vAlign w:val="center"/>
                </w:tcPr>
                <w:p w14:paraId="35F64F6D">
                  <w:pPr>
                    <w:adjustRightInd w:val="0"/>
                    <w:snapToGrid w:val="0"/>
                    <w:spacing w:line="276" w:lineRule="auto"/>
                    <w:jc w:val="center"/>
                    <w:rPr>
                      <w:color w:val="auto"/>
                      <w:szCs w:val="21"/>
                    </w:rPr>
                  </w:pPr>
                  <w:r>
                    <w:rPr>
                      <w:color w:val="auto"/>
                      <w:szCs w:val="21"/>
                    </w:rPr>
                    <w:t>位于西厂区东部，</w:t>
                  </w:r>
                  <w:r>
                    <w:rPr>
                      <w:rFonts w:hint="eastAsia"/>
                      <w:color w:val="auto"/>
                      <w:szCs w:val="21"/>
                    </w:rPr>
                    <w:t>1</w:t>
                  </w:r>
                  <w:r>
                    <w:rPr>
                      <w:color w:val="auto"/>
                      <w:szCs w:val="21"/>
                    </w:rPr>
                    <w:t>层，主要用于储存石英砂、纯碱、长石、方解石、硝酸钠，现占地面积</w:t>
                  </w:r>
                  <w:r>
                    <w:rPr>
                      <w:rFonts w:hint="eastAsia"/>
                      <w:color w:val="auto"/>
                      <w:szCs w:val="21"/>
                    </w:rPr>
                    <w:t>3128</w:t>
                  </w:r>
                  <w:r>
                    <w:rPr>
                      <w:color w:val="auto"/>
                      <w:szCs w:val="21"/>
                    </w:rPr>
                    <w:t>m</w:t>
                  </w:r>
                  <w:r>
                    <w:rPr>
                      <w:color w:val="auto"/>
                      <w:szCs w:val="21"/>
                      <w:vertAlign w:val="superscript"/>
                    </w:rPr>
                    <w:t>2</w:t>
                  </w:r>
                  <w:r>
                    <w:rPr>
                      <w:color w:val="auto"/>
                      <w:szCs w:val="21"/>
                    </w:rPr>
                    <w:t>（建筑面积约</w:t>
                  </w:r>
                  <w:r>
                    <w:rPr>
                      <w:rFonts w:hint="eastAsia"/>
                      <w:color w:val="auto"/>
                      <w:szCs w:val="21"/>
                    </w:rPr>
                    <w:t>3128</w:t>
                  </w:r>
                  <w:r>
                    <w:rPr>
                      <w:color w:val="auto"/>
                      <w:szCs w:val="21"/>
                    </w:rPr>
                    <w:t>m</w:t>
                  </w:r>
                  <w:r>
                    <w:rPr>
                      <w:color w:val="auto"/>
                      <w:szCs w:val="21"/>
                      <w:vertAlign w:val="superscript"/>
                    </w:rPr>
                    <w:t>2</w:t>
                  </w:r>
                  <w:r>
                    <w:rPr>
                      <w:color w:val="auto"/>
                      <w:szCs w:val="21"/>
                    </w:rPr>
                    <w:t>）。拆除重建后改为</w:t>
                  </w:r>
                  <w:r>
                    <w:rPr>
                      <w:rFonts w:hint="eastAsia"/>
                      <w:color w:val="auto"/>
                      <w:szCs w:val="21"/>
                    </w:rPr>
                    <w:t>2层建筑，</w:t>
                  </w:r>
                  <w:r>
                    <w:rPr>
                      <w:color w:val="auto"/>
                      <w:szCs w:val="21"/>
                    </w:rPr>
                    <w:t>占地面积约</w:t>
                  </w:r>
                  <w:r>
                    <w:rPr>
                      <w:rFonts w:hint="eastAsia"/>
                      <w:color w:val="auto"/>
                      <w:szCs w:val="21"/>
                    </w:rPr>
                    <w:t>3364</w:t>
                  </w:r>
                  <w:r>
                    <w:rPr>
                      <w:color w:val="auto"/>
                      <w:szCs w:val="21"/>
                    </w:rPr>
                    <w:t>m</w:t>
                  </w:r>
                  <w:r>
                    <w:rPr>
                      <w:color w:val="auto"/>
                      <w:szCs w:val="21"/>
                      <w:vertAlign w:val="superscript"/>
                    </w:rPr>
                    <w:t>2</w:t>
                  </w:r>
                  <w:r>
                    <w:rPr>
                      <w:color w:val="auto"/>
                      <w:szCs w:val="21"/>
                    </w:rPr>
                    <w:t>（建筑面积约</w:t>
                  </w:r>
                  <w:r>
                    <w:rPr>
                      <w:rFonts w:hint="eastAsia"/>
                      <w:color w:val="auto"/>
                      <w:szCs w:val="21"/>
                    </w:rPr>
                    <w:t>5976</w:t>
                  </w:r>
                  <w:r>
                    <w:rPr>
                      <w:color w:val="auto"/>
                      <w:szCs w:val="21"/>
                    </w:rPr>
                    <w:t>m</w:t>
                  </w:r>
                  <w:r>
                    <w:rPr>
                      <w:color w:val="auto"/>
                      <w:szCs w:val="21"/>
                      <w:vertAlign w:val="superscript"/>
                    </w:rPr>
                    <w:t>2</w:t>
                  </w:r>
                  <w:r>
                    <w:rPr>
                      <w:color w:val="auto"/>
                      <w:szCs w:val="21"/>
                    </w:rPr>
                    <w:t>）</w:t>
                  </w:r>
                </w:p>
              </w:tc>
              <w:tc>
                <w:tcPr>
                  <w:tcW w:w="1046" w:type="pct"/>
                  <w:vAlign w:val="center"/>
                </w:tcPr>
                <w:p w14:paraId="4DA9089B">
                  <w:pPr>
                    <w:spacing w:line="276" w:lineRule="auto"/>
                    <w:contextualSpacing/>
                    <w:jc w:val="center"/>
                    <w:rPr>
                      <w:bCs/>
                      <w:color w:val="auto"/>
                      <w:szCs w:val="21"/>
                    </w:rPr>
                  </w:pPr>
                  <w:r>
                    <w:rPr>
                      <w:rFonts w:hint="eastAsia"/>
                      <w:bCs/>
                      <w:color w:val="auto"/>
                      <w:szCs w:val="21"/>
                    </w:rPr>
                    <w:t>本项目新增水性漆等原辅材料依托原料库2进行储存</w:t>
                  </w:r>
                </w:p>
              </w:tc>
              <w:tc>
                <w:tcPr>
                  <w:tcW w:w="921" w:type="pct"/>
                  <w:vAlign w:val="center"/>
                </w:tcPr>
                <w:p w14:paraId="1D302728">
                  <w:pPr>
                    <w:spacing w:line="276" w:lineRule="auto"/>
                    <w:contextualSpacing/>
                    <w:jc w:val="center"/>
                    <w:rPr>
                      <w:bCs/>
                      <w:color w:val="auto"/>
                      <w:szCs w:val="21"/>
                    </w:rPr>
                  </w:pPr>
                  <w:r>
                    <w:rPr>
                      <w:bCs/>
                      <w:color w:val="auto"/>
                      <w:szCs w:val="21"/>
                    </w:rPr>
                    <w:t>依托现有</w:t>
                  </w:r>
                </w:p>
              </w:tc>
            </w:tr>
            <w:tr w14:paraId="624E2A6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2C3C21AF">
                  <w:pPr>
                    <w:spacing w:line="276" w:lineRule="auto"/>
                    <w:contextualSpacing/>
                    <w:jc w:val="center"/>
                    <w:rPr>
                      <w:bCs/>
                      <w:color w:val="auto"/>
                      <w:szCs w:val="21"/>
                    </w:rPr>
                  </w:pPr>
                </w:p>
              </w:tc>
              <w:tc>
                <w:tcPr>
                  <w:tcW w:w="847" w:type="pct"/>
                  <w:gridSpan w:val="2"/>
                  <w:vAlign w:val="center"/>
                </w:tcPr>
                <w:p w14:paraId="02E3EEED">
                  <w:pPr>
                    <w:adjustRightInd w:val="0"/>
                    <w:snapToGrid w:val="0"/>
                    <w:spacing w:line="276" w:lineRule="auto"/>
                    <w:jc w:val="center"/>
                    <w:rPr>
                      <w:color w:val="auto"/>
                      <w:szCs w:val="21"/>
                    </w:rPr>
                  </w:pPr>
                  <w:r>
                    <w:rPr>
                      <w:color w:val="auto"/>
                      <w:szCs w:val="21"/>
                    </w:rPr>
                    <w:t>产品库</w:t>
                  </w:r>
                  <w:r>
                    <w:rPr>
                      <w:rFonts w:hint="eastAsia"/>
                      <w:color w:val="auto"/>
                      <w:szCs w:val="21"/>
                    </w:rPr>
                    <w:t>1（平面图编号</w:t>
                  </w:r>
                  <w:r>
                    <w:rPr>
                      <w:color w:val="auto"/>
                      <w:szCs w:val="21"/>
                    </w:rPr>
                    <w:t>3#</w:t>
                  </w:r>
                  <w:r>
                    <w:rPr>
                      <w:rFonts w:hint="eastAsia"/>
                      <w:color w:val="auto"/>
                      <w:szCs w:val="21"/>
                    </w:rPr>
                    <w:t>）</w:t>
                  </w:r>
                </w:p>
              </w:tc>
              <w:tc>
                <w:tcPr>
                  <w:tcW w:w="1655" w:type="pct"/>
                  <w:vAlign w:val="center"/>
                </w:tcPr>
                <w:p w14:paraId="63D6BE1D">
                  <w:pPr>
                    <w:adjustRightInd w:val="0"/>
                    <w:snapToGrid w:val="0"/>
                    <w:spacing w:line="276" w:lineRule="auto"/>
                    <w:jc w:val="center"/>
                    <w:rPr>
                      <w:color w:val="auto"/>
                      <w:szCs w:val="21"/>
                    </w:rPr>
                  </w:pPr>
                  <w:r>
                    <w:rPr>
                      <w:color w:val="auto"/>
                      <w:szCs w:val="21"/>
                    </w:rPr>
                    <w:t>位于西厂区西部，2层，主要用于储存玻璃产品，现占地面积约</w:t>
                  </w:r>
                  <w:r>
                    <w:rPr>
                      <w:rFonts w:hint="eastAsia"/>
                      <w:color w:val="auto"/>
                      <w:szCs w:val="21"/>
                    </w:rPr>
                    <w:t>5630</w:t>
                  </w:r>
                  <w:r>
                    <w:rPr>
                      <w:color w:val="auto"/>
                      <w:szCs w:val="21"/>
                    </w:rPr>
                    <w:t>m</w:t>
                  </w:r>
                  <w:r>
                    <w:rPr>
                      <w:color w:val="auto"/>
                      <w:szCs w:val="21"/>
                      <w:vertAlign w:val="superscript"/>
                    </w:rPr>
                    <w:t>2</w:t>
                  </w:r>
                  <w:r>
                    <w:rPr>
                      <w:color w:val="auto"/>
                      <w:szCs w:val="21"/>
                    </w:rPr>
                    <w:t>（建筑面积约</w:t>
                  </w:r>
                  <w:r>
                    <w:rPr>
                      <w:rFonts w:hint="eastAsia"/>
                      <w:color w:val="auto"/>
                      <w:szCs w:val="21"/>
                    </w:rPr>
                    <w:t>11260</w:t>
                  </w:r>
                  <w:r>
                    <w:rPr>
                      <w:color w:val="auto"/>
                      <w:szCs w:val="21"/>
                    </w:rPr>
                    <w:t>m</w:t>
                  </w:r>
                  <w:r>
                    <w:rPr>
                      <w:color w:val="auto"/>
                      <w:szCs w:val="21"/>
                      <w:vertAlign w:val="superscript"/>
                    </w:rPr>
                    <w:t>2</w:t>
                  </w:r>
                  <w:r>
                    <w:rPr>
                      <w:color w:val="auto"/>
                      <w:szCs w:val="21"/>
                    </w:rPr>
                    <w:t>）。拆除重建后占地面积约</w:t>
                  </w:r>
                  <w:r>
                    <w:rPr>
                      <w:rFonts w:hint="eastAsia"/>
                      <w:color w:val="auto"/>
                      <w:szCs w:val="21"/>
                    </w:rPr>
                    <w:t>6474</w:t>
                  </w:r>
                  <w:r>
                    <w:rPr>
                      <w:color w:val="auto"/>
                      <w:szCs w:val="21"/>
                    </w:rPr>
                    <w:t>m</w:t>
                  </w:r>
                  <w:r>
                    <w:rPr>
                      <w:color w:val="auto"/>
                      <w:szCs w:val="21"/>
                      <w:vertAlign w:val="superscript"/>
                    </w:rPr>
                    <w:t>2</w:t>
                  </w:r>
                  <w:r>
                    <w:rPr>
                      <w:color w:val="auto"/>
                      <w:szCs w:val="21"/>
                    </w:rPr>
                    <w:t>（建筑面积约</w:t>
                  </w:r>
                  <w:r>
                    <w:rPr>
                      <w:rFonts w:hint="eastAsia"/>
                      <w:color w:val="auto"/>
                      <w:szCs w:val="21"/>
                    </w:rPr>
                    <w:t>12930</w:t>
                  </w:r>
                  <w:r>
                    <w:rPr>
                      <w:color w:val="auto"/>
                      <w:szCs w:val="21"/>
                    </w:rPr>
                    <w:t>m</w:t>
                  </w:r>
                  <w:r>
                    <w:rPr>
                      <w:color w:val="auto"/>
                      <w:szCs w:val="21"/>
                      <w:vertAlign w:val="superscript"/>
                    </w:rPr>
                    <w:t>2</w:t>
                  </w:r>
                  <w:r>
                    <w:rPr>
                      <w:color w:val="auto"/>
                      <w:szCs w:val="21"/>
                    </w:rPr>
                    <w:t>）</w:t>
                  </w:r>
                </w:p>
              </w:tc>
              <w:tc>
                <w:tcPr>
                  <w:tcW w:w="1046" w:type="pct"/>
                  <w:vAlign w:val="center"/>
                </w:tcPr>
                <w:p w14:paraId="1309FE77">
                  <w:pPr>
                    <w:spacing w:line="276" w:lineRule="auto"/>
                    <w:contextualSpacing/>
                    <w:jc w:val="center"/>
                    <w:rPr>
                      <w:bCs/>
                      <w:color w:val="auto"/>
                      <w:szCs w:val="21"/>
                    </w:rPr>
                  </w:pPr>
                  <w:r>
                    <w:rPr>
                      <w:rFonts w:hint="eastAsia"/>
                      <w:bCs/>
                      <w:color w:val="auto"/>
                      <w:szCs w:val="21"/>
                    </w:rPr>
                    <w:t>/</w:t>
                  </w:r>
                </w:p>
              </w:tc>
              <w:tc>
                <w:tcPr>
                  <w:tcW w:w="921" w:type="pct"/>
                  <w:vAlign w:val="center"/>
                </w:tcPr>
                <w:p w14:paraId="575B122F">
                  <w:pPr>
                    <w:spacing w:line="276" w:lineRule="auto"/>
                    <w:contextualSpacing/>
                    <w:jc w:val="center"/>
                    <w:rPr>
                      <w:bCs/>
                      <w:color w:val="auto"/>
                      <w:szCs w:val="21"/>
                    </w:rPr>
                  </w:pPr>
                  <w:r>
                    <w:rPr>
                      <w:bCs/>
                      <w:color w:val="auto"/>
                      <w:szCs w:val="21"/>
                    </w:rPr>
                    <w:t>依托现有</w:t>
                  </w:r>
                </w:p>
              </w:tc>
            </w:tr>
            <w:tr w14:paraId="2F78EE0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6805C43A">
                  <w:pPr>
                    <w:spacing w:line="276" w:lineRule="auto"/>
                    <w:contextualSpacing/>
                    <w:jc w:val="center"/>
                    <w:rPr>
                      <w:bCs/>
                      <w:color w:val="auto"/>
                      <w:szCs w:val="21"/>
                    </w:rPr>
                  </w:pPr>
                </w:p>
              </w:tc>
              <w:tc>
                <w:tcPr>
                  <w:tcW w:w="847" w:type="pct"/>
                  <w:gridSpan w:val="2"/>
                  <w:vAlign w:val="center"/>
                </w:tcPr>
                <w:p w14:paraId="6920C23B">
                  <w:pPr>
                    <w:adjustRightInd w:val="0"/>
                    <w:snapToGrid w:val="0"/>
                    <w:spacing w:line="276" w:lineRule="auto"/>
                    <w:jc w:val="center"/>
                    <w:rPr>
                      <w:color w:val="auto"/>
                      <w:szCs w:val="21"/>
                    </w:rPr>
                  </w:pPr>
                  <w:r>
                    <w:rPr>
                      <w:color w:val="auto"/>
                      <w:szCs w:val="21"/>
                    </w:rPr>
                    <w:t>产品库2（平面图编号4#）</w:t>
                  </w:r>
                </w:p>
              </w:tc>
              <w:tc>
                <w:tcPr>
                  <w:tcW w:w="1655" w:type="pct"/>
                  <w:vAlign w:val="center"/>
                </w:tcPr>
                <w:p w14:paraId="37B067D6">
                  <w:pPr>
                    <w:adjustRightInd w:val="0"/>
                    <w:snapToGrid w:val="0"/>
                    <w:spacing w:line="276" w:lineRule="auto"/>
                    <w:jc w:val="center"/>
                    <w:rPr>
                      <w:color w:val="auto"/>
                      <w:szCs w:val="21"/>
                    </w:rPr>
                  </w:pPr>
                  <w:r>
                    <w:rPr>
                      <w:color w:val="auto"/>
                      <w:szCs w:val="21"/>
                    </w:rPr>
                    <w:t>位于西厂区西北部，</w:t>
                  </w:r>
                  <w:r>
                    <w:rPr>
                      <w:rFonts w:hint="eastAsia"/>
                      <w:color w:val="auto"/>
                      <w:szCs w:val="21"/>
                    </w:rPr>
                    <w:t>1</w:t>
                  </w:r>
                  <w:r>
                    <w:rPr>
                      <w:color w:val="auto"/>
                      <w:szCs w:val="21"/>
                    </w:rPr>
                    <w:t>层，用于储存玻璃产品，现占地面积约</w:t>
                  </w:r>
                  <w:r>
                    <w:rPr>
                      <w:rFonts w:hint="eastAsia"/>
                      <w:color w:val="auto"/>
                      <w:szCs w:val="21"/>
                    </w:rPr>
                    <w:t>2188</w:t>
                  </w:r>
                  <w:r>
                    <w:rPr>
                      <w:color w:val="auto"/>
                      <w:szCs w:val="21"/>
                    </w:rPr>
                    <w:t>m</w:t>
                  </w:r>
                  <w:r>
                    <w:rPr>
                      <w:color w:val="auto"/>
                      <w:szCs w:val="21"/>
                      <w:vertAlign w:val="superscript"/>
                    </w:rPr>
                    <w:t>2</w:t>
                  </w:r>
                  <w:r>
                    <w:rPr>
                      <w:color w:val="auto"/>
                      <w:szCs w:val="21"/>
                    </w:rPr>
                    <w:t>（建筑面积约</w:t>
                  </w:r>
                  <w:r>
                    <w:rPr>
                      <w:rFonts w:hint="eastAsia"/>
                      <w:color w:val="auto"/>
                      <w:szCs w:val="21"/>
                    </w:rPr>
                    <w:t>2188</w:t>
                  </w:r>
                  <w:r>
                    <w:rPr>
                      <w:color w:val="auto"/>
                      <w:szCs w:val="21"/>
                    </w:rPr>
                    <w:t>m</w:t>
                  </w:r>
                  <w:r>
                    <w:rPr>
                      <w:color w:val="auto"/>
                      <w:szCs w:val="21"/>
                      <w:vertAlign w:val="superscript"/>
                    </w:rPr>
                    <w:t>2</w:t>
                  </w:r>
                  <w:r>
                    <w:rPr>
                      <w:color w:val="auto"/>
                      <w:szCs w:val="21"/>
                    </w:rPr>
                    <w:t>）</w:t>
                  </w:r>
                  <w:r>
                    <w:rPr>
                      <w:rFonts w:hint="eastAsia"/>
                      <w:color w:val="auto"/>
                      <w:szCs w:val="21"/>
                    </w:rPr>
                    <w:t>。</w:t>
                  </w:r>
                  <w:r>
                    <w:rPr>
                      <w:color w:val="auto"/>
                      <w:szCs w:val="21"/>
                    </w:rPr>
                    <w:t>拆除重建后占地面积约</w:t>
                  </w:r>
                  <w:r>
                    <w:rPr>
                      <w:rFonts w:hint="eastAsia"/>
                      <w:color w:val="auto"/>
                      <w:szCs w:val="21"/>
                    </w:rPr>
                    <w:t>2214</w:t>
                  </w:r>
                  <w:r>
                    <w:rPr>
                      <w:color w:val="auto"/>
                      <w:szCs w:val="21"/>
                    </w:rPr>
                    <w:t>m</w:t>
                  </w:r>
                  <w:r>
                    <w:rPr>
                      <w:color w:val="auto"/>
                      <w:szCs w:val="21"/>
                      <w:vertAlign w:val="superscript"/>
                    </w:rPr>
                    <w:t>2</w:t>
                  </w:r>
                  <w:r>
                    <w:rPr>
                      <w:color w:val="auto"/>
                      <w:szCs w:val="21"/>
                    </w:rPr>
                    <w:t>，建筑面积约</w:t>
                  </w:r>
                  <w:r>
                    <w:rPr>
                      <w:rFonts w:hint="eastAsia"/>
                      <w:color w:val="auto"/>
                      <w:szCs w:val="21"/>
                    </w:rPr>
                    <w:t>7011</w:t>
                  </w:r>
                  <w:r>
                    <w:rPr>
                      <w:color w:val="auto"/>
                      <w:szCs w:val="21"/>
                    </w:rPr>
                    <w:t>m</w:t>
                  </w:r>
                  <w:r>
                    <w:rPr>
                      <w:color w:val="auto"/>
                      <w:szCs w:val="21"/>
                      <w:vertAlign w:val="superscript"/>
                    </w:rPr>
                    <w:t>2</w:t>
                  </w:r>
                </w:p>
              </w:tc>
              <w:tc>
                <w:tcPr>
                  <w:tcW w:w="1046" w:type="pct"/>
                  <w:vAlign w:val="center"/>
                </w:tcPr>
                <w:p w14:paraId="7BFEA227">
                  <w:pPr>
                    <w:spacing w:line="276" w:lineRule="auto"/>
                    <w:contextualSpacing/>
                    <w:jc w:val="center"/>
                    <w:rPr>
                      <w:bCs/>
                      <w:color w:val="auto"/>
                      <w:szCs w:val="21"/>
                    </w:rPr>
                  </w:pPr>
                  <w:r>
                    <w:rPr>
                      <w:rFonts w:hint="eastAsia"/>
                      <w:bCs/>
                      <w:color w:val="auto"/>
                      <w:szCs w:val="21"/>
                    </w:rPr>
                    <w:t>/</w:t>
                  </w:r>
                </w:p>
              </w:tc>
              <w:tc>
                <w:tcPr>
                  <w:tcW w:w="921" w:type="pct"/>
                  <w:vAlign w:val="center"/>
                </w:tcPr>
                <w:p w14:paraId="3FFA315E">
                  <w:pPr>
                    <w:spacing w:line="276" w:lineRule="auto"/>
                    <w:contextualSpacing/>
                    <w:jc w:val="center"/>
                    <w:rPr>
                      <w:bCs/>
                      <w:color w:val="auto"/>
                      <w:szCs w:val="21"/>
                    </w:rPr>
                  </w:pPr>
                  <w:r>
                    <w:rPr>
                      <w:bCs/>
                      <w:color w:val="auto"/>
                      <w:szCs w:val="21"/>
                    </w:rPr>
                    <w:t>依托现有</w:t>
                  </w:r>
                </w:p>
              </w:tc>
            </w:tr>
            <w:tr w14:paraId="6FFDA4C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72BB57E4">
                  <w:pPr>
                    <w:spacing w:line="276" w:lineRule="auto"/>
                    <w:contextualSpacing/>
                    <w:jc w:val="center"/>
                    <w:rPr>
                      <w:bCs/>
                      <w:color w:val="auto"/>
                      <w:szCs w:val="21"/>
                    </w:rPr>
                  </w:pPr>
                </w:p>
              </w:tc>
              <w:tc>
                <w:tcPr>
                  <w:tcW w:w="847" w:type="pct"/>
                  <w:gridSpan w:val="2"/>
                  <w:vAlign w:val="center"/>
                </w:tcPr>
                <w:p w14:paraId="1CAF9502">
                  <w:pPr>
                    <w:adjustRightInd w:val="0"/>
                    <w:snapToGrid w:val="0"/>
                    <w:spacing w:line="276" w:lineRule="auto"/>
                    <w:jc w:val="center"/>
                    <w:rPr>
                      <w:color w:val="auto"/>
                      <w:szCs w:val="21"/>
                    </w:rPr>
                  </w:pPr>
                  <w:r>
                    <w:rPr>
                      <w:color w:val="auto"/>
                      <w:szCs w:val="21"/>
                    </w:rPr>
                    <w:t>产品库3（平面图编号5#）</w:t>
                  </w:r>
                </w:p>
              </w:tc>
              <w:tc>
                <w:tcPr>
                  <w:tcW w:w="1655" w:type="pct"/>
                  <w:vAlign w:val="center"/>
                </w:tcPr>
                <w:p w14:paraId="6880A3BA">
                  <w:pPr>
                    <w:adjustRightInd w:val="0"/>
                    <w:snapToGrid w:val="0"/>
                    <w:spacing w:line="276" w:lineRule="auto"/>
                    <w:jc w:val="center"/>
                    <w:rPr>
                      <w:color w:val="auto"/>
                      <w:szCs w:val="21"/>
                    </w:rPr>
                  </w:pPr>
                  <w:r>
                    <w:rPr>
                      <w:color w:val="auto"/>
                      <w:szCs w:val="21"/>
                    </w:rPr>
                    <w:t>位于西厂区北部，</w:t>
                  </w:r>
                  <w:r>
                    <w:rPr>
                      <w:rFonts w:hint="eastAsia"/>
                      <w:color w:val="auto"/>
                      <w:szCs w:val="21"/>
                    </w:rPr>
                    <w:t>1</w:t>
                  </w:r>
                  <w:r>
                    <w:rPr>
                      <w:color w:val="auto"/>
                      <w:szCs w:val="21"/>
                    </w:rPr>
                    <w:t>层，用于储存玻璃产品，现占地面积约</w:t>
                  </w:r>
                  <w:r>
                    <w:rPr>
                      <w:rFonts w:hint="eastAsia"/>
                      <w:color w:val="auto"/>
                      <w:szCs w:val="21"/>
                    </w:rPr>
                    <w:t>2084</w:t>
                  </w:r>
                  <w:r>
                    <w:rPr>
                      <w:color w:val="auto"/>
                      <w:szCs w:val="21"/>
                    </w:rPr>
                    <w:t>m</w:t>
                  </w:r>
                  <w:r>
                    <w:rPr>
                      <w:color w:val="auto"/>
                      <w:szCs w:val="21"/>
                      <w:vertAlign w:val="superscript"/>
                    </w:rPr>
                    <w:t>2</w:t>
                  </w:r>
                  <w:r>
                    <w:rPr>
                      <w:color w:val="auto"/>
                      <w:szCs w:val="21"/>
                    </w:rPr>
                    <w:t>（建筑面积约</w:t>
                  </w:r>
                  <w:r>
                    <w:rPr>
                      <w:rFonts w:hint="eastAsia"/>
                      <w:color w:val="auto"/>
                      <w:szCs w:val="21"/>
                    </w:rPr>
                    <w:t>2084</w:t>
                  </w:r>
                  <w:r>
                    <w:rPr>
                      <w:color w:val="auto"/>
                      <w:szCs w:val="21"/>
                    </w:rPr>
                    <w:t>m</w:t>
                  </w:r>
                  <w:r>
                    <w:rPr>
                      <w:color w:val="auto"/>
                      <w:szCs w:val="21"/>
                      <w:vertAlign w:val="superscript"/>
                    </w:rPr>
                    <w:t>2</w:t>
                  </w:r>
                  <w:r>
                    <w:rPr>
                      <w:color w:val="auto"/>
                      <w:szCs w:val="21"/>
                    </w:rPr>
                    <w:t>）。拆除重建后改为</w:t>
                  </w:r>
                  <w:r>
                    <w:rPr>
                      <w:rFonts w:hint="eastAsia"/>
                      <w:color w:val="auto"/>
                      <w:szCs w:val="21"/>
                    </w:rPr>
                    <w:t>3层建筑，</w:t>
                  </w:r>
                  <w:r>
                    <w:rPr>
                      <w:color w:val="auto"/>
                      <w:szCs w:val="21"/>
                    </w:rPr>
                    <w:t>占地面积约</w:t>
                  </w:r>
                  <w:r>
                    <w:rPr>
                      <w:rFonts w:hint="eastAsia"/>
                      <w:color w:val="auto"/>
                      <w:szCs w:val="21"/>
                    </w:rPr>
                    <w:t>1848</w:t>
                  </w:r>
                  <w:r>
                    <w:rPr>
                      <w:color w:val="auto"/>
                      <w:szCs w:val="21"/>
                    </w:rPr>
                    <w:t>m</w:t>
                  </w:r>
                  <w:r>
                    <w:rPr>
                      <w:color w:val="auto"/>
                      <w:szCs w:val="21"/>
                      <w:vertAlign w:val="superscript"/>
                    </w:rPr>
                    <w:t>2</w:t>
                  </w:r>
                  <w:r>
                    <w:rPr>
                      <w:color w:val="auto"/>
                      <w:szCs w:val="21"/>
                    </w:rPr>
                    <w:t>（建筑面积约</w:t>
                  </w:r>
                  <w:r>
                    <w:rPr>
                      <w:rFonts w:hint="eastAsia"/>
                      <w:color w:val="auto"/>
                      <w:szCs w:val="21"/>
                    </w:rPr>
                    <w:t>5544</w:t>
                  </w:r>
                  <w:r>
                    <w:rPr>
                      <w:color w:val="auto"/>
                      <w:szCs w:val="21"/>
                    </w:rPr>
                    <w:t>m</w:t>
                  </w:r>
                  <w:r>
                    <w:rPr>
                      <w:color w:val="auto"/>
                      <w:szCs w:val="21"/>
                      <w:vertAlign w:val="superscript"/>
                    </w:rPr>
                    <w:t>2</w:t>
                  </w:r>
                  <w:r>
                    <w:rPr>
                      <w:color w:val="auto"/>
                      <w:szCs w:val="21"/>
                    </w:rPr>
                    <w:t>）</w:t>
                  </w:r>
                </w:p>
              </w:tc>
              <w:tc>
                <w:tcPr>
                  <w:tcW w:w="1046" w:type="pct"/>
                  <w:vAlign w:val="center"/>
                </w:tcPr>
                <w:p w14:paraId="017E2988">
                  <w:pPr>
                    <w:spacing w:line="276" w:lineRule="auto"/>
                    <w:contextualSpacing/>
                    <w:jc w:val="center"/>
                    <w:rPr>
                      <w:bCs/>
                      <w:color w:val="auto"/>
                      <w:szCs w:val="21"/>
                    </w:rPr>
                  </w:pPr>
                  <w:r>
                    <w:rPr>
                      <w:rFonts w:hint="eastAsia"/>
                      <w:bCs/>
                      <w:color w:val="auto"/>
                      <w:szCs w:val="21"/>
                    </w:rPr>
                    <w:t>/</w:t>
                  </w:r>
                </w:p>
              </w:tc>
              <w:tc>
                <w:tcPr>
                  <w:tcW w:w="921" w:type="pct"/>
                  <w:vAlign w:val="center"/>
                </w:tcPr>
                <w:p w14:paraId="4E91A46C">
                  <w:pPr>
                    <w:spacing w:line="276" w:lineRule="auto"/>
                    <w:contextualSpacing/>
                    <w:jc w:val="center"/>
                    <w:rPr>
                      <w:bCs/>
                      <w:color w:val="auto"/>
                      <w:szCs w:val="21"/>
                    </w:rPr>
                  </w:pPr>
                  <w:r>
                    <w:rPr>
                      <w:bCs/>
                      <w:color w:val="auto"/>
                      <w:szCs w:val="21"/>
                    </w:rPr>
                    <w:t>依托现有</w:t>
                  </w:r>
                </w:p>
              </w:tc>
            </w:tr>
            <w:tr w14:paraId="63EDA5C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7E6859D7">
                  <w:pPr>
                    <w:spacing w:line="276" w:lineRule="auto"/>
                    <w:contextualSpacing/>
                    <w:jc w:val="center"/>
                    <w:rPr>
                      <w:bCs/>
                      <w:color w:val="auto"/>
                      <w:szCs w:val="21"/>
                    </w:rPr>
                  </w:pPr>
                </w:p>
              </w:tc>
              <w:tc>
                <w:tcPr>
                  <w:tcW w:w="847" w:type="pct"/>
                  <w:gridSpan w:val="2"/>
                  <w:vAlign w:val="center"/>
                </w:tcPr>
                <w:p w14:paraId="640957F0">
                  <w:pPr>
                    <w:adjustRightInd w:val="0"/>
                    <w:snapToGrid w:val="0"/>
                    <w:spacing w:line="276" w:lineRule="auto"/>
                    <w:jc w:val="center"/>
                    <w:rPr>
                      <w:color w:val="auto"/>
                      <w:szCs w:val="21"/>
                    </w:rPr>
                  </w:pPr>
                  <w:r>
                    <w:rPr>
                      <w:color w:val="auto"/>
                      <w:szCs w:val="21"/>
                    </w:rPr>
                    <w:t>产品</w:t>
                  </w:r>
                  <w:r>
                    <w:rPr>
                      <w:rFonts w:hint="eastAsia"/>
                      <w:color w:val="auto"/>
                      <w:szCs w:val="21"/>
                    </w:rPr>
                    <w:t>库4（平面图编号6#）</w:t>
                  </w:r>
                </w:p>
              </w:tc>
              <w:tc>
                <w:tcPr>
                  <w:tcW w:w="1655" w:type="pct"/>
                  <w:vAlign w:val="center"/>
                </w:tcPr>
                <w:p w14:paraId="54C80721">
                  <w:pPr>
                    <w:adjustRightInd w:val="0"/>
                    <w:snapToGrid w:val="0"/>
                    <w:spacing w:line="276" w:lineRule="auto"/>
                    <w:jc w:val="center"/>
                    <w:rPr>
                      <w:color w:val="auto"/>
                      <w:szCs w:val="21"/>
                    </w:rPr>
                  </w:pPr>
                  <w:r>
                    <w:rPr>
                      <w:color w:val="auto"/>
                      <w:szCs w:val="21"/>
                    </w:rPr>
                    <w:t>位于西厂区北部，</w:t>
                  </w:r>
                  <w:r>
                    <w:rPr>
                      <w:rFonts w:hint="eastAsia"/>
                      <w:color w:val="auto"/>
                      <w:szCs w:val="21"/>
                    </w:rPr>
                    <w:t>1层，用于储存玻璃产品，现占地面积2614m</w:t>
                  </w:r>
                  <w:r>
                    <w:rPr>
                      <w:rFonts w:hint="eastAsia"/>
                      <w:color w:val="auto"/>
                      <w:szCs w:val="21"/>
                      <w:vertAlign w:val="superscript"/>
                    </w:rPr>
                    <w:t>2</w:t>
                  </w:r>
                  <w:r>
                    <w:rPr>
                      <w:rFonts w:hint="eastAsia"/>
                      <w:color w:val="auto"/>
                      <w:szCs w:val="21"/>
                    </w:rPr>
                    <w:t>（建筑面积2614m</w:t>
                  </w:r>
                  <w:r>
                    <w:rPr>
                      <w:rFonts w:hint="eastAsia"/>
                      <w:color w:val="auto"/>
                      <w:szCs w:val="21"/>
                      <w:vertAlign w:val="superscript"/>
                    </w:rPr>
                    <w:t>2</w:t>
                  </w:r>
                  <w:r>
                    <w:rPr>
                      <w:rFonts w:hint="eastAsia"/>
                      <w:color w:val="auto"/>
                      <w:szCs w:val="21"/>
                    </w:rPr>
                    <w:t>）。拆除重建后改为3层建筑，占地面积2640m</w:t>
                  </w:r>
                  <w:r>
                    <w:rPr>
                      <w:rFonts w:hint="eastAsia"/>
                      <w:color w:val="auto"/>
                      <w:szCs w:val="21"/>
                      <w:vertAlign w:val="superscript"/>
                    </w:rPr>
                    <w:t>2</w:t>
                  </w:r>
                  <w:r>
                    <w:rPr>
                      <w:rFonts w:hint="eastAsia"/>
                      <w:color w:val="auto"/>
                      <w:szCs w:val="21"/>
                    </w:rPr>
                    <w:t>（建筑面积7920m</w:t>
                  </w:r>
                  <w:r>
                    <w:rPr>
                      <w:rFonts w:hint="eastAsia"/>
                      <w:color w:val="auto"/>
                      <w:szCs w:val="21"/>
                      <w:vertAlign w:val="superscript"/>
                    </w:rPr>
                    <w:t>2</w:t>
                  </w:r>
                  <w:r>
                    <w:rPr>
                      <w:rFonts w:hint="eastAsia"/>
                      <w:color w:val="auto"/>
                      <w:szCs w:val="21"/>
                    </w:rPr>
                    <w:t>）</w:t>
                  </w:r>
                </w:p>
              </w:tc>
              <w:tc>
                <w:tcPr>
                  <w:tcW w:w="1046" w:type="pct"/>
                  <w:vAlign w:val="center"/>
                </w:tcPr>
                <w:p w14:paraId="26D93B33">
                  <w:pPr>
                    <w:spacing w:line="276" w:lineRule="auto"/>
                    <w:contextualSpacing/>
                    <w:jc w:val="center"/>
                    <w:rPr>
                      <w:bCs/>
                      <w:color w:val="auto"/>
                      <w:szCs w:val="21"/>
                    </w:rPr>
                  </w:pPr>
                  <w:r>
                    <w:rPr>
                      <w:rFonts w:hint="eastAsia"/>
                      <w:bCs/>
                      <w:color w:val="auto"/>
                      <w:szCs w:val="21"/>
                    </w:rPr>
                    <w:t>/</w:t>
                  </w:r>
                </w:p>
              </w:tc>
              <w:tc>
                <w:tcPr>
                  <w:tcW w:w="921" w:type="pct"/>
                  <w:vAlign w:val="center"/>
                </w:tcPr>
                <w:p w14:paraId="77904C0C">
                  <w:pPr>
                    <w:spacing w:line="276" w:lineRule="auto"/>
                    <w:contextualSpacing/>
                    <w:jc w:val="center"/>
                    <w:rPr>
                      <w:bCs/>
                      <w:color w:val="auto"/>
                      <w:szCs w:val="21"/>
                    </w:rPr>
                  </w:pPr>
                  <w:r>
                    <w:rPr>
                      <w:bCs/>
                      <w:color w:val="auto"/>
                      <w:szCs w:val="21"/>
                    </w:rPr>
                    <w:t>依托现有</w:t>
                  </w:r>
                </w:p>
              </w:tc>
            </w:tr>
            <w:tr w14:paraId="295581E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7366A31A">
                  <w:pPr>
                    <w:spacing w:line="276" w:lineRule="auto"/>
                    <w:contextualSpacing/>
                    <w:jc w:val="center"/>
                    <w:rPr>
                      <w:bCs/>
                      <w:color w:val="auto"/>
                      <w:szCs w:val="21"/>
                    </w:rPr>
                  </w:pPr>
                </w:p>
              </w:tc>
              <w:tc>
                <w:tcPr>
                  <w:tcW w:w="847" w:type="pct"/>
                  <w:gridSpan w:val="2"/>
                  <w:vAlign w:val="center"/>
                </w:tcPr>
                <w:p w14:paraId="05AD347D">
                  <w:pPr>
                    <w:adjustRightInd w:val="0"/>
                    <w:snapToGrid w:val="0"/>
                    <w:spacing w:line="276" w:lineRule="auto"/>
                    <w:jc w:val="center"/>
                    <w:rPr>
                      <w:color w:val="auto"/>
                      <w:szCs w:val="21"/>
                    </w:rPr>
                  </w:pPr>
                  <w:r>
                    <w:rPr>
                      <w:color w:val="auto"/>
                      <w:szCs w:val="21"/>
                    </w:rPr>
                    <w:t>产品</w:t>
                  </w:r>
                  <w:r>
                    <w:rPr>
                      <w:rFonts w:hint="eastAsia"/>
                      <w:color w:val="auto"/>
                      <w:szCs w:val="21"/>
                    </w:rPr>
                    <w:t>库5（平面图编号7#）</w:t>
                  </w:r>
                </w:p>
              </w:tc>
              <w:tc>
                <w:tcPr>
                  <w:tcW w:w="1655" w:type="pct"/>
                  <w:vAlign w:val="center"/>
                </w:tcPr>
                <w:p w14:paraId="22FF1293">
                  <w:pPr>
                    <w:adjustRightInd w:val="0"/>
                    <w:snapToGrid w:val="0"/>
                    <w:spacing w:line="276" w:lineRule="auto"/>
                    <w:jc w:val="center"/>
                    <w:rPr>
                      <w:color w:val="auto"/>
                      <w:szCs w:val="21"/>
                    </w:rPr>
                  </w:pPr>
                  <w:r>
                    <w:rPr>
                      <w:color w:val="auto"/>
                      <w:szCs w:val="21"/>
                    </w:rPr>
                    <w:t>位于西厂区北部，</w:t>
                  </w:r>
                  <w:r>
                    <w:rPr>
                      <w:rFonts w:hint="eastAsia"/>
                      <w:color w:val="auto"/>
                      <w:szCs w:val="21"/>
                    </w:rPr>
                    <w:t>1层，用于储存玻璃产品，现占地面积966m</w:t>
                  </w:r>
                  <w:r>
                    <w:rPr>
                      <w:rFonts w:hint="eastAsia"/>
                      <w:color w:val="auto"/>
                      <w:szCs w:val="21"/>
                      <w:vertAlign w:val="superscript"/>
                    </w:rPr>
                    <w:t>2</w:t>
                  </w:r>
                  <w:r>
                    <w:rPr>
                      <w:rFonts w:hint="eastAsia"/>
                      <w:color w:val="auto"/>
                      <w:szCs w:val="21"/>
                    </w:rPr>
                    <w:t>（建筑面积966m</w:t>
                  </w:r>
                  <w:r>
                    <w:rPr>
                      <w:rFonts w:hint="eastAsia"/>
                      <w:color w:val="auto"/>
                      <w:szCs w:val="21"/>
                      <w:vertAlign w:val="superscript"/>
                    </w:rPr>
                    <w:t>2</w:t>
                  </w:r>
                  <w:r>
                    <w:rPr>
                      <w:rFonts w:hint="eastAsia"/>
                      <w:color w:val="auto"/>
                      <w:szCs w:val="21"/>
                    </w:rPr>
                    <w:t>）。拆除重建后改为2层建筑，占地面积2484m</w:t>
                  </w:r>
                  <w:r>
                    <w:rPr>
                      <w:rFonts w:hint="eastAsia"/>
                      <w:color w:val="auto"/>
                      <w:szCs w:val="21"/>
                      <w:vertAlign w:val="superscript"/>
                    </w:rPr>
                    <w:t>2</w:t>
                  </w:r>
                  <w:r>
                    <w:rPr>
                      <w:rFonts w:hint="eastAsia"/>
                      <w:color w:val="auto"/>
                      <w:szCs w:val="21"/>
                    </w:rPr>
                    <w:t>（建筑面积4968m</w:t>
                  </w:r>
                  <w:r>
                    <w:rPr>
                      <w:rFonts w:hint="eastAsia"/>
                      <w:color w:val="auto"/>
                      <w:szCs w:val="21"/>
                      <w:vertAlign w:val="superscript"/>
                    </w:rPr>
                    <w:t>2</w:t>
                  </w:r>
                  <w:r>
                    <w:rPr>
                      <w:rFonts w:hint="eastAsia"/>
                      <w:color w:val="auto"/>
                      <w:szCs w:val="21"/>
                    </w:rPr>
                    <w:t>）</w:t>
                  </w:r>
                </w:p>
              </w:tc>
              <w:tc>
                <w:tcPr>
                  <w:tcW w:w="1046" w:type="pct"/>
                  <w:vAlign w:val="center"/>
                </w:tcPr>
                <w:p w14:paraId="190DDF4F">
                  <w:pPr>
                    <w:spacing w:line="276" w:lineRule="auto"/>
                    <w:contextualSpacing/>
                    <w:jc w:val="center"/>
                    <w:rPr>
                      <w:bCs/>
                      <w:color w:val="auto"/>
                      <w:szCs w:val="21"/>
                    </w:rPr>
                  </w:pPr>
                  <w:r>
                    <w:rPr>
                      <w:rFonts w:hint="eastAsia"/>
                      <w:bCs/>
                      <w:color w:val="auto"/>
                      <w:szCs w:val="21"/>
                    </w:rPr>
                    <w:t>/</w:t>
                  </w:r>
                </w:p>
              </w:tc>
              <w:tc>
                <w:tcPr>
                  <w:tcW w:w="921" w:type="pct"/>
                  <w:vAlign w:val="center"/>
                </w:tcPr>
                <w:p w14:paraId="75928883">
                  <w:pPr>
                    <w:spacing w:line="276" w:lineRule="auto"/>
                    <w:contextualSpacing/>
                    <w:jc w:val="center"/>
                    <w:rPr>
                      <w:bCs/>
                      <w:color w:val="auto"/>
                      <w:szCs w:val="21"/>
                    </w:rPr>
                  </w:pPr>
                  <w:r>
                    <w:rPr>
                      <w:bCs/>
                      <w:color w:val="auto"/>
                      <w:szCs w:val="21"/>
                    </w:rPr>
                    <w:t>依托现有</w:t>
                  </w:r>
                </w:p>
              </w:tc>
            </w:tr>
            <w:tr w14:paraId="7BCD42A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7B67179F">
                  <w:pPr>
                    <w:spacing w:line="276" w:lineRule="auto"/>
                    <w:contextualSpacing/>
                    <w:jc w:val="center"/>
                    <w:rPr>
                      <w:bCs/>
                      <w:color w:val="auto"/>
                      <w:szCs w:val="21"/>
                    </w:rPr>
                  </w:pPr>
                </w:p>
              </w:tc>
              <w:tc>
                <w:tcPr>
                  <w:tcW w:w="847" w:type="pct"/>
                  <w:gridSpan w:val="2"/>
                  <w:vAlign w:val="center"/>
                </w:tcPr>
                <w:p w14:paraId="4EC41668">
                  <w:pPr>
                    <w:adjustRightInd w:val="0"/>
                    <w:snapToGrid w:val="0"/>
                    <w:spacing w:line="276" w:lineRule="auto"/>
                    <w:jc w:val="center"/>
                    <w:rPr>
                      <w:color w:val="auto"/>
                      <w:szCs w:val="21"/>
                    </w:rPr>
                  </w:pPr>
                  <w:r>
                    <w:rPr>
                      <w:color w:val="auto"/>
                      <w:szCs w:val="21"/>
                    </w:rPr>
                    <w:t>产品库</w:t>
                  </w:r>
                  <w:r>
                    <w:rPr>
                      <w:rFonts w:hint="eastAsia"/>
                      <w:color w:val="auto"/>
                      <w:szCs w:val="21"/>
                    </w:rPr>
                    <w:t>6</w:t>
                  </w:r>
                  <w:r>
                    <w:rPr>
                      <w:color w:val="auto"/>
                      <w:szCs w:val="21"/>
                    </w:rPr>
                    <w:t>（平面图编号</w:t>
                  </w:r>
                  <w:r>
                    <w:rPr>
                      <w:rFonts w:hint="eastAsia"/>
                      <w:color w:val="auto"/>
                      <w:szCs w:val="21"/>
                    </w:rPr>
                    <w:t>18</w:t>
                  </w:r>
                  <w:r>
                    <w:rPr>
                      <w:color w:val="auto"/>
                      <w:szCs w:val="21"/>
                    </w:rPr>
                    <w:t>#）</w:t>
                  </w:r>
                </w:p>
              </w:tc>
              <w:tc>
                <w:tcPr>
                  <w:tcW w:w="1655" w:type="pct"/>
                  <w:vAlign w:val="center"/>
                </w:tcPr>
                <w:p w14:paraId="7B37D88C">
                  <w:pPr>
                    <w:adjustRightInd w:val="0"/>
                    <w:snapToGrid w:val="0"/>
                    <w:spacing w:line="276" w:lineRule="auto"/>
                    <w:jc w:val="center"/>
                    <w:rPr>
                      <w:color w:val="auto"/>
                      <w:szCs w:val="21"/>
                    </w:rPr>
                  </w:pPr>
                  <w:r>
                    <w:rPr>
                      <w:color w:val="auto"/>
                      <w:szCs w:val="21"/>
                    </w:rPr>
                    <w:t>正在建设，位于东厂区南部，</w:t>
                  </w:r>
                  <w:r>
                    <w:rPr>
                      <w:rFonts w:hint="eastAsia"/>
                      <w:color w:val="auto"/>
                      <w:szCs w:val="21"/>
                    </w:rPr>
                    <w:t>2层，</w:t>
                  </w:r>
                  <w:r>
                    <w:rPr>
                      <w:color w:val="auto"/>
                      <w:szCs w:val="21"/>
                    </w:rPr>
                    <w:t>用于储存玻璃产品，占地面积约</w:t>
                  </w:r>
                  <w:r>
                    <w:rPr>
                      <w:rFonts w:hint="eastAsia"/>
                      <w:color w:val="auto"/>
                      <w:szCs w:val="21"/>
                    </w:rPr>
                    <w:t>2146</w:t>
                  </w:r>
                  <w:r>
                    <w:rPr>
                      <w:color w:val="auto"/>
                      <w:szCs w:val="21"/>
                    </w:rPr>
                    <w:t>m</w:t>
                  </w:r>
                  <w:r>
                    <w:rPr>
                      <w:color w:val="auto"/>
                      <w:szCs w:val="21"/>
                      <w:vertAlign w:val="superscript"/>
                    </w:rPr>
                    <w:t>2</w:t>
                  </w:r>
                  <w:r>
                    <w:rPr>
                      <w:color w:val="auto"/>
                      <w:szCs w:val="21"/>
                    </w:rPr>
                    <w:t>（建筑面积约</w:t>
                  </w:r>
                  <w:r>
                    <w:rPr>
                      <w:rFonts w:hint="eastAsia"/>
                      <w:color w:val="auto"/>
                      <w:szCs w:val="21"/>
                    </w:rPr>
                    <w:t>5044</w:t>
                  </w:r>
                  <w:r>
                    <w:rPr>
                      <w:color w:val="auto"/>
                      <w:szCs w:val="21"/>
                    </w:rPr>
                    <w:t>m</w:t>
                  </w:r>
                  <w:r>
                    <w:rPr>
                      <w:color w:val="auto"/>
                      <w:szCs w:val="21"/>
                      <w:vertAlign w:val="superscript"/>
                    </w:rPr>
                    <w:t>2</w:t>
                  </w:r>
                  <w:r>
                    <w:rPr>
                      <w:color w:val="auto"/>
                      <w:szCs w:val="21"/>
                    </w:rPr>
                    <w:t>）</w:t>
                  </w:r>
                </w:p>
              </w:tc>
              <w:tc>
                <w:tcPr>
                  <w:tcW w:w="1046" w:type="pct"/>
                  <w:vAlign w:val="center"/>
                </w:tcPr>
                <w:p w14:paraId="49D95742">
                  <w:pPr>
                    <w:spacing w:line="276" w:lineRule="auto"/>
                    <w:contextualSpacing/>
                    <w:jc w:val="center"/>
                    <w:rPr>
                      <w:bCs/>
                      <w:color w:val="auto"/>
                      <w:szCs w:val="21"/>
                    </w:rPr>
                  </w:pPr>
                  <w:r>
                    <w:rPr>
                      <w:rFonts w:hint="eastAsia"/>
                      <w:bCs/>
                      <w:color w:val="auto"/>
                      <w:szCs w:val="21"/>
                    </w:rPr>
                    <w:t>/</w:t>
                  </w:r>
                </w:p>
              </w:tc>
              <w:tc>
                <w:tcPr>
                  <w:tcW w:w="921" w:type="pct"/>
                  <w:vAlign w:val="center"/>
                </w:tcPr>
                <w:p w14:paraId="63CFA808">
                  <w:pPr>
                    <w:spacing w:line="276" w:lineRule="auto"/>
                    <w:contextualSpacing/>
                    <w:jc w:val="center"/>
                    <w:rPr>
                      <w:bCs/>
                      <w:color w:val="auto"/>
                      <w:szCs w:val="21"/>
                    </w:rPr>
                  </w:pPr>
                  <w:r>
                    <w:rPr>
                      <w:bCs/>
                      <w:color w:val="auto"/>
                      <w:szCs w:val="21"/>
                    </w:rPr>
                    <w:t>建成后依托</w:t>
                  </w:r>
                </w:p>
              </w:tc>
            </w:tr>
            <w:tr w14:paraId="520BB46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5E5D056A">
                  <w:pPr>
                    <w:spacing w:line="276" w:lineRule="auto"/>
                    <w:contextualSpacing/>
                    <w:jc w:val="center"/>
                    <w:rPr>
                      <w:bCs/>
                      <w:color w:val="auto"/>
                      <w:szCs w:val="21"/>
                    </w:rPr>
                  </w:pPr>
                </w:p>
              </w:tc>
              <w:tc>
                <w:tcPr>
                  <w:tcW w:w="847" w:type="pct"/>
                  <w:gridSpan w:val="2"/>
                  <w:vAlign w:val="center"/>
                </w:tcPr>
                <w:p w14:paraId="40D3DA3B">
                  <w:pPr>
                    <w:adjustRightInd w:val="0"/>
                    <w:snapToGrid w:val="0"/>
                    <w:spacing w:line="276" w:lineRule="auto"/>
                    <w:jc w:val="center"/>
                    <w:rPr>
                      <w:color w:val="auto"/>
                      <w:szCs w:val="21"/>
                    </w:rPr>
                  </w:pPr>
                  <w:r>
                    <w:rPr>
                      <w:color w:val="auto"/>
                      <w:szCs w:val="21"/>
                    </w:rPr>
                    <w:t>产品库</w:t>
                  </w:r>
                  <w:r>
                    <w:rPr>
                      <w:rFonts w:hint="eastAsia"/>
                      <w:color w:val="auto"/>
                      <w:szCs w:val="21"/>
                    </w:rPr>
                    <w:t>7</w:t>
                  </w:r>
                  <w:r>
                    <w:rPr>
                      <w:color w:val="auto"/>
                      <w:szCs w:val="21"/>
                    </w:rPr>
                    <w:t>（平面图编号</w:t>
                  </w:r>
                  <w:r>
                    <w:rPr>
                      <w:rFonts w:hint="eastAsia"/>
                      <w:color w:val="auto"/>
                      <w:szCs w:val="21"/>
                    </w:rPr>
                    <w:t>19</w:t>
                  </w:r>
                  <w:r>
                    <w:rPr>
                      <w:color w:val="auto"/>
                      <w:szCs w:val="21"/>
                    </w:rPr>
                    <w:t>#）</w:t>
                  </w:r>
                </w:p>
              </w:tc>
              <w:tc>
                <w:tcPr>
                  <w:tcW w:w="1655" w:type="pct"/>
                  <w:vAlign w:val="center"/>
                </w:tcPr>
                <w:p w14:paraId="1787B0EF">
                  <w:pPr>
                    <w:adjustRightInd w:val="0"/>
                    <w:snapToGrid w:val="0"/>
                    <w:spacing w:line="276" w:lineRule="auto"/>
                    <w:jc w:val="center"/>
                    <w:rPr>
                      <w:color w:val="auto"/>
                      <w:szCs w:val="21"/>
                    </w:rPr>
                  </w:pPr>
                  <w:r>
                    <w:rPr>
                      <w:color w:val="auto"/>
                      <w:szCs w:val="21"/>
                    </w:rPr>
                    <w:t>位于东厂区西部，</w:t>
                  </w:r>
                  <w:r>
                    <w:rPr>
                      <w:rFonts w:hint="eastAsia"/>
                      <w:color w:val="auto"/>
                      <w:szCs w:val="21"/>
                    </w:rPr>
                    <w:t>1</w:t>
                  </w:r>
                  <w:r>
                    <w:rPr>
                      <w:color w:val="auto"/>
                      <w:szCs w:val="21"/>
                    </w:rPr>
                    <w:t>层，用于储存玻璃产品，现占地面积</w:t>
                  </w:r>
                  <w:r>
                    <w:rPr>
                      <w:rFonts w:hint="eastAsia"/>
                      <w:color w:val="auto"/>
                      <w:szCs w:val="21"/>
                    </w:rPr>
                    <w:t>5988</w:t>
                  </w:r>
                  <w:r>
                    <w:rPr>
                      <w:color w:val="auto"/>
                      <w:szCs w:val="21"/>
                    </w:rPr>
                    <w:t>m</w:t>
                  </w:r>
                  <w:r>
                    <w:rPr>
                      <w:color w:val="auto"/>
                      <w:szCs w:val="21"/>
                      <w:vertAlign w:val="superscript"/>
                    </w:rPr>
                    <w:t>2</w:t>
                  </w:r>
                  <w:r>
                    <w:rPr>
                      <w:color w:val="auto"/>
                      <w:szCs w:val="21"/>
                    </w:rPr>
                    <w:t>（建筑面积</w:t>
                  </w:r>
                  <w:r>
                    <w:rPr>
                      <w:rFonts w:hint="eastAsia"/>
                      <w:color w:val="auto"/>
                      <w:szCs w:val="21"/>
                    </w:rPr>
                    <w:t>5988</w:t>
                  </w:r>
                  <w:r>
                    <w:rPr>
                      <w:color w:val="auto"/>
                      <w:szCs w:val="21"/>
                    </w:rPr>
                    <w:t>m</w:t>
                  </w:r>
                  <w:r>
                    <w:rPr>
                      <w:color w:val="auto"/>
                      <w:szCs w:val="21"/>
                      <w:vertAlign w:val="superscript"/>
                    </w:rPr>
                    <w:t>2</w:t>
                  </w:r>
                  <w:r>
                    <w:rPr>
                      <w:color w:val="auto"/>
                      <w:szCs w:val="21"/>
                    </w:rPr>
                    <w:t>）。拆除重建后改为</w:t>
                  </w:r>
                  <w:r>
                    <w:rPr>
                      <w:rFonts w:hint="eastAsia"/>
                      <w:color w:val="auto"/>
                      <w:szCs w:val="21"/>
                    </w:rPr>
                    <w:t>3层建筑，</w:t>
                  </w:r>
                  <w:r>
                    <w:rPr>
                      <w:color w:val="auto"/>
                      <w:szCs w:val="21"/>
                    </w:rPr>
                    <w:t>占地面积</w:t>
                  </w:r>
                  <w:r>
                    <w:rPr>
                      <w:rFonts w:hint="eastAsia"/>
                      <w:color w:val="auto"/>
                      <w:szCs w:val="21"/>
                    </w:rPr>
                    <w:t>6105</w:t>
                  </w:r>
                  <w:r>
                    <w:rPr>
                      <w:color w:val="auto"/>
                      <w:szCs w:val="21"/>
                    </w:rPr>
                    <w:t>m</w:t>
                  </w:r>
                  <w:r>
                    <w:rPr>
                      <w:color w:val="auto"/>
                      <w:szCs w:val="21"/>
                      <w:vertAlign w:val="superscript"/>
                    </w:rPr>
                    <w:t>2</w:t>
                  </w:r>
                  <w:r>
                    <w:rPr>
                      <w:color w:val="auto"/>
                      <w:szCs w:val="21"/>
                    </w:rPr>
                    <w:t>（建筑面积</w:t>
                  </w:r>
                  <w:r>
                    <w:rPr>
                      <w:rFonts w:hint="eastAsia"/>
                      <w:color w:val="auto"/>
                      <w:szCs w:val="21"/>
                    </w:rPr>
                    <w:t>18548</w:t>
                  </w:r>
                  <w:r>
                    <w:rPr>
                      <w:color w:val="auto"/>
                      <w:szCs w:val="21"/>
                    </w:rPr>
                    <w:t>m</w:t>
                  </w:r>
                  <w:r>
                    <w:rPr>
                      <w:color w:val="auto"/>
                      <w:szCs w:val="21"/>
                      <w:vertAlign w:val="superscript"/>
                    </w:rPr>
                    <w:t>2</w:t>
                  </w:r>
                  <w:r>
                    <w:rPr>
                      <w:color w:val="auto"/>
                      <w:szCs w:val="21"/>
                    </w:rPr>
                    <w:t>）</w:t>
                  </w:r>
                </w:p>
              </w:tc>
              <w:tc>
                <w:tcPr>
                  <w:tcW w:w="1046" w:type="pct"/>
                  <w:vAlign w:val="center"/>
                </w:tcPr>
                <w:p w14:paraId="46615AF8">
                  <w:pPr>
                    <w:spacing w:line="276" w:lineRule="auto"/>
                    <w:contextualSpacing/>
                    <w:jc w:val="center"/>
                    <w:rPr>
                      <w:bCs/>
                      <w:color w:val="auto"/>
                      <w:szCs w:val="21"/>
                    </w:rPr>
                  </w:pPr>
                  <w:r>
                    <w:rPr>
                      <w:rFonts w:hint="eastAsia"/>
                      <w:bCs/>
                      <w:color w:val="auto"/>
                      <w:szCs w:val="21"/>
                    </w:rPr>
                    <w:t>/</w:t>
                  </w:r>
                </w:p>
              </w:tc>
              <w:tc>
                <w:tcPr>
                  <w:tcW w:w="921" w:type="pct"/>
                  <w:vAlign w:val="center"/>
                </w:tcPr>
                <w:p w14:paraId="13233709">
                  <w:pPr>
                    <w:spacing w:line="276" w:lineRule="auto"/>
                    <w:contextualSpacing/>
                    <w:jc w:val="center"/>
                    <w:rPr>
                      <w:bCs/>
                      <w:color w:val="auto"/>
                      <w:szCs w:val="21"/>
                    </w:rPr>
                  </w:pPr>
                  <w:r>
                    <w:rPr>
                      <w:bCs/>
                      <w:color w:val="auto"/>
                      <w:szCs w:val="21"/>
                    </w:rPr>
                    <w:t>依托现有</w:t>
                  </w:r>
                </w:p>
              </w:tc>
            </w:tr>
            <w:tr w14:paraId="3537CD5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16CD9775">
                  <w:pPr>
                    <w:spacing w:line="276" w:lineRule="auto"/>
                    <w:contextualSpacing/>
                    <w:jc w:val="center"/>
                    <w:rPr>
                      <w:bCs/>
                      <w:color w:val="auto"/>
                      <w:szCs w:val="21"/>
                    </w:rPr>
                  </w:pPr>
                </w:p>
              </w:tc>
              <w:tc>
                <w:tcPr>
                  <w:tcW w:w="847" w:type="pct"/>
                  <w:gridSpan w:val="2"/>
                  <w:vAlign w:val="center"/>
                </w:tcPr>
                <w:p w14:paraId="23AFC0C0">
                  <w:pPr>
                    <w:adjustRightInd w:val="0"/>
                    <w:snapToGrid w:val="0"/>
                    <w:spacing w:line="276" w:lineRule="auto"/>
                    <w:jc w:val="center"/>
                    <w:rPr>
                      <w:color w:val="auto"/>
                      <w:szCs w:val="21"/>
                    </w:rPr>
                  </w:pPr>
                  <w:r>
                    <w:rPr>
                      <w:color w:val="auto"/>
                      <w:szCs w:val="21"/>
                    </w:rPr>
                    <w:t>产品库</w:t>
                  </w:r>
                  <w:r>
                    <w:rPr>
                      <w:rFonts w:hint="eastAsia"/>
                      <w:color w:val="auto"/>
                      <w:szCs w:val="21"/>
                    </w:rPr>
                    <w:t>8</w:t>
                  </w:r>
                  <w:r>
                    <w:rPr>
                      <w:color w:val="auto"/>
                      <w:szCs w:val="21"/>
                    </w:rPr>
                    <w:t>（平面图编号</w:t>
                  </w:r>
                  <w:r>
                    <w:rPr>
                      <w:rFonts w:hint="eastAsia"/>
                      <w:color w:val="auto"/>
                      <w:szCs w:val="21"/>
                    </w:rPr>
                    <w:t>23</w:t>
                  </w:r>
                  <w:r>
                    <w:rPr>
                      <w:color w:val="auto"/>
                      <w:szCs w:val="21"/>
                    </w:rPr>
                    <w:t>#）</w:t>
                  </w:r>
                </w:p>
              </w:tc>
              <w:tc>
                <w:tcPr>
                  <w:tcW w:w="1655" w:type="pct"/>
                  <w:vAlign w:val="center"/>
                </w:tcPr>
                <w:p w14:paraId="59C8C201">
                  <w:pPr>
                    <w:adjustRightInd w:val="0"/>
                    <w:snapToGrid w:val="0"/>
                    <w:spacing w:line="276" w:lineRule="auto"/>
                    <w:jc w:val="center"/>
                    <w:rPr>
                      <w:color w:val="auto"/>
                      <w:szCs w:val="21"/>
                    </w:rPr>
                  </w:pPr>
                  <w:r>
                    <w:rPr>
                      <w:color w:val="auto"/>
                      <w:szCs w:val="21"/>
                    </w:rPr>
                    <w:t>位于东厂区北部，</w:t>
                  </w:r>
                  <w:r>
                    <w:rPr>
                      <w:rFonts w:hint="eastAsia"/>
                      <w:color w:val="auto"/>
                      <w:szCs w:val="21"/>
                    </w:rPr>
                    <w:t>1层，用于储存玻璃产品，</w:t>
                  </w:r>
                  <w:r>
                    <w:rPr>
                      <w:color w:val="auto"/>
                      <w:szCs w:val="21"/>
                    </w:rPr>
                    <w:t>现占地面积</w:t>
                  </w:r>
                  <w:r>
                    <w:rPr>
                      <w:rFonts w:hint="eastAsia"/>
                      <w:color w:val="auto"/>
                      <w:szCs w:val="21"/>
                    </w:rPr>
                    <w:t>3944</w:t>
                  </w:r>
                  <w:r>
                    <w:rPr>
                      <w:color w:val="auto"/>
                      <w:szCs w:val="21"/>
                    </w:rPr>
                    <w:t>m</w:t>
                  </w:r>
                  <w:r>
                    <w:rPr>
                      <w:color w:val="auto"/>
                      <w:szCs w:val="21"/>
                      <w:vertAlign w:val="superscript"/>
                    </w:rPr>
                    <w:t>2</w:t>
                  </w:r>
                  <w:r>
                    <w:rPr>
                      <w:color w:val="auto"/>
                      <w:szCs w:val="21"/>
                    </w:rPr>
                    <w:t>（建筑面积</w:t>
                  </w:r>
                  <w:r>
                    <w:rPr>
                      <w:rFonts w:hint="eastAsia"/>
                      <w:color w:val="auto"/>
                      <w:szCs w:val="21"/>
                    </w:rPr>
                    <w:t>3944</w:t>
                  </w:r>
                  <w:r>
                    <w:rPr>
                      <w:color w:val="auto"/>
                      <w:szCs w:val="21"/>
                    </w:rPr>
                    <w:t>m</w:t>
                  </w:r>
                  <w:r>
                    <w:rPr>
                      <w:color w:val="auto"/>
                      <w:szCs w:val="21"/>
                      <w:vertAlign w:val="superscript"/>
                    </w:rPr>
                    <w:t>2</w:t>
                  </w:r>
                  <w:r>
                    <w:rPr>
                      <w:color w:val="auto"/>
                      <w:szCs w:val="21"/>
                    </w:rPr>
                    <w:t>）。拆除重建后改为</w:t>
                  </w:r>
                  <w:r>
                    <w:rPr>
                      <w:rFonts w:hint="eastAsia"/>
                      <w:color w:val="auto"/>
                      <w:szCs w:val="21"/>
                    </w:rPr>
                    <w:t>3层建筑，高度为14.4m，</w:t>
                  </w:r>
                  <w:r>
                    <w:rPr>
                      <w:color w:val="auto"/>
                      <w:szCs w:val="21"/>
                    </w:rPr>
                    <w:t>占地面积</w:t>
                  </w:r>
                  <w:r>
                    <w:rPr>
                      <w:rFonts w:hint="eastAsia"/>
                      <w:color w:val="auto"/>
                      <w:szCs w:val="21"/>
                    </w:rPr>
                    <w:t>4032</w:t>
                  </w:r>
                  <w:r>
                    <w:rPr>
                      <w:color w:val="auto"/>
                      <w:szCs w:val="21"/>
                    </w:rPr>
                    <w:t>m</w:t>
                  </w:r>
                  <w:r>
                    <w:rPr>
                      <w:color w:val="auto"/>
                      <w:szCs w:val="21"/>
                      <w:vertAlign w:val="superscript"/>
                    </w:rPr>
                    <w:t>2</w:t>
                  </w:r>
                  <w:r>
                    <w:rPr>
                      <w:color w:val="auto"/>
                      <w:szCs w:val="21"/>
                    </w:rPr>
                    <w:t>（建筑面积</w:t>
                  </w:r>
                  <w:r>
                    <w:rPr>
                      <w:rFonts w:hint="eastAsia"/>
                      <w:color w:val="auto"/>
                      <w:szCs w:val="21"/>
                    </w:rPr>
                    <w:t>11675</w:t>
                  </w:r>
                  <w:r>
                    <w:rPr>
                      <w:color w:val="auto"/>
                      <w:szCs w:val="21"/>
                    </w:rPr>
                    <w:t>m</w:t>
                  </w:r>
                  <w:r>
                    <w:rPr>
                      <w:color w:val="auto"/>
                      <w:szCs w:val="21"/>
                      <w:vertAlign w:val="superscript"/>
                    </w:rPr>
                    <w:t>2</w:t>
                  </w:r>
                  <w:r>
                    <w:rPr>
                      <w:color w:val="auto"/>
                      <w:szCs w:val="21"/>
                    </w:rPr>
                    <w:t>）</w:t>
                  </w:r>
                </w:p>
              </w:tc>
              <w:tc>
                <w:tcPr>
                  <w:tcW w:w="1046" w:type="pct"/>
                  <w:vAlign w:val="center"/>
                </w:tcPr>
                <w:p w14:paraId="762FF8F9">
                  <w:pPr>
                    <w:spacing w:line="276" w:lineRule="auto"/>
                    <w:contextualSpacing/>
                    <w:jc w:val="center"/>
                    <w:rPr>
                      <w:bCs/>
                      <w:color w:val="auto"/>
                      <w:szCs w:val="21"/>
                    </w:rPr>
                  </w:pPr>
                  <w:r>
                    <w:rPr>
                      <w:rFonts w:hint="eastAsia"/>
                      <w:bCs/>
                      <w:color w:val="auto"/>
                      <w:szCs w:val="21"/>
                    </w:rPr>
                    <w:t>/</w:t>
                  </w:r>
                </w:p>
              </w:tc>
              <w:tc>
                <w:tcPr>
                  <w:tcW w:w="921" w:type="pct"/>
                  <w:vAlign w:val="center"/>
                </w:tcPr>
                <w:p w14:paraId="20009983">
                  <w:pPr>
                    <w:spacing w:line="276" w:lineRule="auto"/>
                    <w:contextualSpacing/>
                    <w:jc w:val="center"/>
                    <w:rPr>
                      <w:bCs/>
                      <w:color w:val="auto"/>
                      <w:szCs w:val="21"/>
                    </w:rPr>
                  </w:pPr>
                  <w:r>
                    <w:rPr>
                      <w:bCs/>
                      <w:color w:val="auto"/>
                      <w:szCs w:val="21"/>
                    </w:rPr>
                    <w:t>依托现有</w:t>
                  </w:r>
                </w:p>
              </w:tc>
            </w:tr>
            <w:tr w14:paraId="0FDCCE9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27061D19">
                  <w:pPr>
                    <w:spacing w:line="276" w:lineRule="auto"/>
                    <w:contextualSpacing/>
                    <w:jc w:val="center"/>
                    <w:rPr>
                      <w:bCs/>
                      <w:color w:val="auto"/>
                      <w:szCs w:val="21"/>
                    </w:rPr>
                  </w:pPr>
                </w:p>
              </w:tc>
              <w:tc>
                <w:tcPr>
                  <w:tcW w:w="847" w:type="pct"/>
                  <w:gridSpan w:val="2"/>
                  <w:vAlign w:val="center"/>
                </w:tcPr>
                <w:p w14:paraId="07D88155">
                  <w:pPr>
                    <w:adjustRightInd w:val="0"/>
                    <w:snapToGrid w:val="0"/>
                    <w:spacing w:line="276" w:lineRule="auto"/>
                    <w:jc w:val="center"/>
                    <w:rPr>
                      <w:color w:val="auto"/>
                      <w:szCs w:val="21"/>
                    </w:rPr>
                  </w:pPr>
                  <w:r>
                    <w:rPr>
                      <w:color w:val="auto"/>
                      <w:szCs w:val="21"/>
                    </w:rPr>
                    <w:t>产品库</w:t>
                  </w:r>
                  <w:r>
                    <w:rPr>
                      <w:rFonts w:hint="eastAsia"/>
                      <w:color w:val="auto"/>
                      <w:szCs w:val="21"/>
                    </w:rPr>
                    <w:t>9</w:t>
                  </w:r>
                  <w:r>
                    <w:rPr>
                      <w:color w:val="auto"/>
                      <w:szCs w:val="21"/>
                    </w:rPr>
                    <w:t>（平面图编号</w:t>
                  </w:r>
                  <w:r>
                    <w:rPr>
                      <w:rFonts w:hint="eastAsia"/>
                      <w:color w:val="auto"/>
                      <w:szCs w:val="21"/>
                    </w:rPr>
                    <w:t>24</w:t>
                  </w:r>
                  <w:r>
                    <w:rPr>
                      <w:color w:val="auto"/>
                      <w:szCs w:val="21"/>
                    </w:rPr>
                    <w:t>#）</w:t>
                  </w:r>
                </w:p>
              </w:tc>
              <w:tc>
                <w:tcPr>
                  <w:tcW w:w="1655" w:type="pct"/>
                  <w:vAlign w:val="center"/>
                </w:tcPr>
                <w:p w14:paraId="61DF97AC">
                  <w:pPr>
                    <w:adjustRightInd w:val="0"/>
                    <w:snapToGrid w:val="0"/>
                    <w:spacing w:line="276" w:lineRule="auto"/>
                    <w:jc w:val="center"/>
                    <w:rPr>
                      <w:color w:val="auto"/>
                      <w:szCs w:val="21"/>
                    </w:rPr>
                  </w:pPr>
                  <w:r>
                    <w:rPr>
                      <w:color w:val="auto"/>
                      <w:szCs w:val="21"/>
                    </w:rPr>
                    <w:t>位于东厂区北部，</w:t>
                  </w:r>
                  <w:r>
                    <w:rPr>
                      <w:rFonts w:hint="eastAsia"/>
                      <w:color w:val="auto"/>
                      <w:szCs w:val="21"/>
                    </w:rPr>
                    <w:t>1层，用于储存玻璃产品，</w:t>
                  </w:r>
                  <w:r>
                    <w:rPr>
                      <w:color w:val="auto"/>
                      <w:szCs w:val="21"/>
                    </w:rPr>
                    <w:t>现占地面积</w:t>
                  </w:r>
                  <w:r>
                    <w:rPr>
                      <w:rFonts w:hint="eastAsia"/>
                      <w:color w:val="auto"/>
                      <w:szCs w:val="21"/>
                    </w:rPr>
                    <w:t>3792</w:t>
                  </w:r>
                  <w:r>
                    <w:rPr>
                      <w:color w:val="auto"/>
                      <w:szCs w:val="21"/>
                    </w:rPr>
                    <w:t>m</w:t>
                  </w:r>
                  <w:r>
                    <w:rPr>
                      <w:color w:val="auto"/>
                      <w:szCs w:val="21"/>
                      <w:vertAlign w:val="superscript"/>
                    </w:rPr>
                    <w:t>2</w:t>
                  </w:r>
                  <w:r>
                    <w:rPr>
                      <w:color w:val="auto"/>
                      <w:szCs w:val="21"/>
                    </w:rPr>
                    <w:t>（建筑面积</w:t>
                  </w:r>
                  <w:r>
                    <w:rPr>
                      <w:rFonts w:hint="eastAsia"/>
                      <w:color w:val="auto"/>
                      <w:szCs w:val="21"/>
                    </w:rPr>
                    <w:t>3792</w:t>
                  </w:r>
                  <w:r>
                    <w:rPr>
                      <w:color w:val="auto"/>
                      <w:szCs w:val="21"/>
                    </w:rPr>
                    <w:t>m</w:t>
                  </w:r>
                  <w:r>
                    <w:rPr>
                      <w:color w:val="auto"/>
                      <w:szCs w:val="21"/>
                      <w:vertAlign w:val="superscript"/>
                    </w:rPr>
                    <w:t>2</w:t>
                  </w:r>
                  <w:r>
                    <w:rPr>
                      <w:color w:val="auto"/>
                      <w:szCs w:val="21"/>
                    </w:rPr>
                    <w:t>）。拆除重建后改为</w:t>
                  </w:r>
                  <w:r>
                    <w:rPr>
                      <w:rFonts w:hint="eastAsia"/>
                      <w:color w:val="auto"/>
                      <w:szCs w:val="21"/>
                    </w:rPr>
                    <w:t>3层建筑，高度为14.4m，</w:t>
                  </w:r>
                  <w:r>
                    <w:rPr>
                      <w:color w:val="auto"/>
                      <w:szCs w:val="21"/>
                    </w:rPr>
                    <w:t>占地面积</w:t>
                  </w:r>
                  <w:r>
                    <w:rPr>
                      <w:rFonts w:hint="eastAsia"/>
                      <w:color w:val="auto"/>
                      <w:szCs w:val="21"/>
                    </w:rPr>
                    <w:t>4680</w:t>
                  </w:r>
                  <w:r>
                    <w:rPr>
                      <w:color w:val="auto"/>
                      <w:szCs w:val="21"/>
                    </w:rPr>
                    <w:t>m</w:t>
                  </w:r>
                  <w:r>
                    <w:rPr>
                      <w:color w:val="auto"/>
                      <w:szCs w:val="21"/>
                      <w:vertAlign w:val="superscript"/>
                    </w:rPr>
                    <w:t>2</w:t>
                  </w:r>
                  <w:r>
                    <w:rPr>
                      <w:color w:val="auto"/>
                      <w:szCs w:val="21"/>
                    </w:rPr>
                    <w:t>（建筑面积</w:t>
                  </w:r>
                  <w:r>
                    <w:rPr>
                      <w:rFonts w:hint="eastAsia"/>
                      <w:color w:val="auto"/>
                      <w:szCs w:val="21"/>
                    </w:rPr>
                    <w:t>14140</w:t>
                  </w:r>
                  <w:r>
                    <w:rPr>
                      <w:color w:val="auto"/>
                      <w:szCs w:val="21"/>
                    </w:rPr>
                    <w:t>m</w:t>
                  </w:r>
                  <w:r>
                    <w:rPr>
                      <w:color w:val="auto"/>
                      <w:szCs w:val="21"/>
                      <w:vertAlign w:val="superscript"/>
                    </w:rPr>
                    <w:t>2</w:t>
                  </w:r>
                  <w:r>
                    <w:rPr>
                      <w:color w:val="auto"/>
                      <w:szCs w:val="21"/>
                    </w:rPr>
                    <w:t>）</w:t>
                  </w:r>
                </w:p>
              </w:tc>
              <w:tc>
                <w:tcPr>
                  <w:tcW w:w="1046" w:type="pct"/>
                  <w:vAlign w:val="center"/>
                </w:tcPr>
                <w:p w14:paraId="4C9B9E81">
                  <w:pPr>
                    <w:spacing w:line="276" w:lineRule="auto"/>
                    <w:contextualSpacing/>
                    <w:jc w:val="center"/>
                    <w:rPr>
                      <w:bCs/>
                      <w:color w:val="auto"/>
                      <w:szCs w:val="21"/>
                    </w:rPr>
                  </w:pPr>
                  <w:r>
                    <w:rPr>
                      <w:rFonts w:hint="eastAsia"/>
                      <w:bCs/>
                      <w:color w:val="auto"/>
                      <w:szCs w:val="21"/>
                    </w:rPr>
                    <w:t>/</w:t>
                  </w:r>
                </w:p>
              </w:tc>
              <w:tc>
                <w:tcPr>
                  <w:tcW w:w="921" w:type="pct"/>
                  <w:vAlign w:val="center"/>
                </w:tcPr>
                <w:p w14:paraId="7528A970">
                  <w:pPr>
                    <w:spacing w:line="276" w:lineRule="auto"/>
                    <w:contextualSpacing/>
                    <w:jc w:val="center"/>
                    <w:rPr>
                      <w:bCs/>
                      <w:color w:val="auto"/>
                      <w:szCs w:val="21"/>
                    </w:rPr>
                  </w:pPr>
                  <w:r>
                    <w:rPr>
                      <w:bCs/>
                      <w:color w:val="auto"/>
                      <w:szCs w:val="21"/>
                    </w:rPr>
                    <w:t>依托现有</w:t>
                  </w:r>
                </w:p>
              </w:tc>
            </w:tr>
            <w:tr w14:paraId="1928487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1EBE6FC4">
                  <w:pPr>
                    <w:spacing w:line="276" w:lineRule="auto"/>
                    <w:contextualSpacing/>
                    <w:jc w:val="center"/>
                    <w:rPr>
                      <w:bCs/>
                      <w:color w:val="auto"/>
                      <w:szCs w:val="21"/>
                    </w:rPr>
                  </w:pPr>
                </w:p>
              </w:tc>
              <w:tc>
                <w:tcPr>
                  <w:tcW w:w="847" w:type="pct"/>
                  <w:gridSpan w:val="2"/>
                  <w:vAlign w:val="center"/>
                </w:tcPr>
                <w:p w14:paraId="31A35369">
                  <w:pPr>
                    <w:adjustRightInd w:val="0"/>
                    <w:snapToGrid w:val="0"/>
                    <w:spacing w:line="276" w:lineRule="auto"/>
                    <w:jc w:val="center"/>
                    <w:rPr>
                      <w:color w:val="auto"/>
                      <w:szCs w:val="21"/>
                    </w:rPr>
                  </w:pPr>
                  <w:r>
                    <w:rPr>
                      <w:color w:val="auto"/>
                      <w:szCs w:val="21"/>
                    </w:rPr>
                    <w:t>产品库</w:t>
                  </w:r>
                  <w:r>
                    <w:rPr>
                      <w:rFonts w:hint="eastAsia"/>
                      <w:color w:val="auto"/>
                      <w:szCs w:val="21"/>
                    </w:rPr>
                    <w:t>10</w:t>
                  </w:r>
                  <w:r>
                    <w:rPr>
                      <w:color w:val="auto"/>
                      <w:szCs w:val="21"/>
                    </w:rPr>
                    <w:t>（平面图编号</w:t>
                  </w:r>
                  <w:r>
                    <w:rPr>
                      <w:rFonts w:hint="eastAsia"/>
                      <w:color w:val="auto"/>
                      <w:szCs w:val="21"/>
                    </w:rPr>
                    <w:t>25</w:t>
                  </w:r>
                  <w:r>
                    <w:rPr>
                      <w:color w:val="auto"/>
                      <w:szCs w:val="21"/>
                    </w:rPr>
                    <w:t>#）</w:t>
                  </w:r>
                </w:p>
              </w:tc>
              <w:tc>
                <w:tcPr>
                  <w:tcW w:w="1655" w:type="pct"/>
                  <w:vAlign w:val="center"/>
                </w:tcPr>
                <w:p w14:paraId="13470C39">
                  <w:pPr>
                    <w:adjustRightInd w:val="0"/>
                    <w:snapToGrid w:val="0"/>
                    <w:spacing w:line="276" w:lineRule="auto"/>
                    <w:jc w:val="center"/>
                    <w:rPr>
                      <w:color w:val="auto"/>
                      <w:szCs w:val="21"/>
                    </w:rPr>
                  </w:pPr>
                  <w:r>
                    <w:rPr>
                      <w:color w:val="auto"/>
                      <w:szCs w:val="21"/>
                    </w:rPr>
                    <w:t>位于东厂区东部，</w:t>
                  </w:r>
                  <w:r>
                    <w:rPr>
                      <w:rFonts w:hint="eastAsia"/>
                      <w:color w:val="auto"/>
                      <w:szCs w:val="21"/>
                    </w:rPr>
                    <w:t>1层</w:t>
                  </w:r>
                  <w:r>
                    <w:rPr>
                      <w:color w:val="auto"/>
                      <w:szCs w:val="21"/>
                    </w:rPr>
                    <w:t>，用于储存玻璃产品，现占地面积约3466m</w:t>
                  </w:r>
                  <w:r>
                    <w:rPr>
                      <w:color w:val="auto"/>
                      <w:szCs w:val="21"/>
                      <w:vertAlign w:val="superscript"/>
                    </w:rPr>
                    <w:t>2</w:t>
                  </w:r>
                  <w:r>
                    <w:rPr>
                      <w:color w:val="auto"/>
                      <w:szCs w:val="21"/>
                    </w:rPr>
                    <w:t>（建筑面积约</w:t>
                  </w:r>
                  <w:r>
                    <w:rPr>
                      <w:rFonts w:hint="eastAsia"/>
                      <w:color w:val="auto"/>
                      <w:szCs w:val="21"/>
                    </w:rPr>
                    <w:t>3466</w:t>
                  </w:r>
                  <w:r>
                    <w:rPr>
                      <w:color w:val="auto"/>
                      <w:szCs w:val="21"/>
                    </w:rPr>
                    <w:t>m</w:t>
                  </w:r>
                  <w:r>
                    <w:rPr>
                      <w:color w:val="auto"/>
                      <w:szCs w:val="21"/>
                      <w:vertAlign w:val="superscript"/>
                    </w:rPr>
                    <w:t>2</w:t>
                  </w:r>
                  <w:r>
                    <w:rPr>
                      <w:color w:val="auto"/>
                      <w:szCs w:val="21"/>
                    </w:rPr>
                    <w:t>）。拆除重建后改为</w:t>
                  </w:r>
                  <w:r>
                    <w:rPr>
                      <w:rFonts w:hint="eastAsia"/>
                      <w:color w:val="auto"/>
                      <w:szCs w:val="21"/>
                    </w:rPr>
                    <w:t>3层建筑，高度为14.4m，</w:t>
                  </w:r>
                  <w:r>
                    <w:rPr>
                      <w:color w:val="auto"/>
                      <w:szCs w:val="21"/>
                    </w:rPr>
                    <w:t>占地面积约</w:t>
                  </w:r>
                  <w:r>
                    <w:rPr>
                      <w:rFonts w:hint="eastAsia"/>
                      <w:color w:val="auto"/>
                      <w:szCs w:val="21"/>
                    </w:rPr>
                    <w:t>3480</w:t>
                  </w:r>
                  <w:r>
                    <w:rPr>
                      <w:color w:val="auto"/>
                      <w:szCs w:val="21"/>
                    </w:rPr>
                    <w:t>m</w:t>
                  </w:r>
                  <w:r>
                    <w:rPr>
                      <w:color w:val="auto"/>
                      <w:szCs w:val="21"/>
                      <w:vertAlign w:val="superscript"/>
                    </w:rPr>
                    <w:t>2</w:t>
                  </w:r>
                  <w:r>
                    <w:rPr>
                      <w:color w:val="auto"/>
                      <w:szCs w:val="21"/>
                    </w:rPr>
                    <w:t>（建筑面积约</w:t>
                  </w:r>
                  <w:r>
                    <w:rPr>
                      <w:rFonts w:hint="eastAsia"/>
                      <w:color w:val="auto"/>
                      <w:szCs w:val="21"/>
                    </w:rPr>
                    <w:t>10566</w:t>
                  </w:r>
                  <w:r>
                    <w:rPr>
                      <w:color w:val="auto"/>
                      <w:szCs w:val="21"/>
                    </w:rPr>
                    <w:t>m</w:t>
                  </w:r>
                  <w:r>
                    <w:rPr>
                      <w:color w:val="auto"/>
                      <w:szCs w:val="21"/>
                      <w:vertAlign w:val="superscript"/>
                    </w:rPr>
                    <w:t>2</w:t>
                  </w:r>
                  <w:r>
                    <w:rPr>
                      <w:color w:val="auto"/>
                      <w:szCs w:val="21"/>
                    </w:rPr>
                    <w:t>）</w:t>
                  </w:r>
                </w:p>
              </w:tc>
              <w:tc>
                <w:tcPr>
                  <w:tcW w:w="1046" w:type="pct"/>
                  <w:vAlign w:val="center"/>
                </w:tcPr>
                <w:p w14:paraId="1863BCF5">
                  <w:pPr>
                    <w:spacing w:line="276" w:lineRule="auto"/>
                    <w:contextualSpacing/>
                    <w:jc w:val="center"/>
                    <w:rPr>
                      <w:bCs/>
                      <w:color w:val="auto"/>
                      <w:szCs w:val="21"/>
                    </w:rPr>
                  </w:pPr>
                  <w:r>
                    <w:rPr>
                      <w:rFonts w:hint="eastAsia"/>
                      <w:bCs/>
                      <w:color w:val="auto"/>
                      <w:szCs w:val="21"/>
                    </w:rPr>
                    <w:t>/</w:t>
                  </w:r>
                </w:p>
              </w:tc>
              <w:tc>
                <w:tcPr>
                  <w:tcW w:w="921" w:type="pct"/>
                  <w:vAlign w:val="center"/>
                </w:tcPr>
                <w:p w14:paraId="309172C9">
                  <w:pPr>
                    <w:spacing w:line="276" w:lineRule="auto"/>
                    <w:contextualSpacing/>
                    <w:jc w:val="center"/>
                    <w:rPr>
                      <w:bCs/>
                      <w:color w:val="auto"/>
                      <w:szCs w:val="21"/>
                    </w:rPr>
                  </w:pPr>
                  <w:r>
                    <w:rPr>
                      <w:bCs/>
                      <w:color w:val="auto"/>
                      <w:szCs w:val="21"/>
                    </w:rPr>
                    <w:t>依托现有</w:t>
                  </w:r>
                </w:p>
              </w:tc>
            </w:tr>
            <w:tr w14:paraId="3C47CC1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4CBDDE5F">
                  <w:pPr>
                    <w:spacing w:line="276" w:lineRule="auto"/>
                    <w:contextualSpacing/>
                    <w:jc w:val="center"/>
                    <w:rPr>
                      <w:bCs/>
                      <w:color w:val="auto"/>
                      <w:szCs w:val="21"/>
                    </w:rPr>
                  </w:pPr>
                </w:p>
              </w:tc>
              <w:tc>
                <w:tcPr>
                  <w:tcW w:w="847" w:type="pct"/>
                  <w:gridSpan w:val="2"/>
                  <w:vAlign w:val="center"/>
                </w:tcPr>
                <w:p w14:paraId="621F7051">
                  <w:pPr>
                    <w:adjustRightInd w:val="0"/>
                    <w:snapToGrid w:val="0"/>
                    <w:spacing w:line="276" w:lineRule="auto"/>
                    <w:jc w:val="center"/>
                    <w:rPr>
                      <w:color w:val="auto"/>
                      <w:szCs w:val="21"/>
                    </w:rPr>
                  </w:pPr>
                  <w:r>
                    <w:rPr>
                      <w:color w:val="auto"/>
                      <w:szCs w:val="21"/>
                    </w:rPr>
                    <w:t>产品库</w:t>
                  </w:r>
                  <w:r>
                    <w:rPr>
                      <w:rFonts w:hint="eastAsia"/>
                      <w:color w:val="auto"/>
                      <w:szCs w:val="21"/>
                    </w:rPr>
                    <w:t>11</w:t>
                  </w:r>
                  <w:r>
                    <w:rPr>
                      <w:color w:val="auto"/>
                      <w:szCs w:val="21"/>
                    </w:rPr>
                    <w:t>（平面图编号</w:t>
                  </w:r>
                  <w:r>
                    <w:rPr>
                      <w:rFonts w:hint="eastAsia"/>
                      <w:color w:val="auto"/>
                      <w:szCs w:val="21"/>
                    </w:rPr>
                    <w:t>26</w:t>
                  </w:r>
                  <w:r>
                    <w:rPr>
                      <w:color w:val="auto"/>
                      <w:szCs w:val="21"/>
                    </w:rPr>
                    <w:t>#）</w:t>
                  </w:r>
                </w:p>
              </w:tc>
              <w:tc>
                <w:tcPr>
                  <w:tcW w:w="1655" w:type="pct"/>
                  <w:vAlign w:val="center"/>
                </w:tcPr>
                <w:p w14:paraId="5CFDBFD9">
                  <w:pPr>
                    <w:adjustRightInd w:val="0"/>
                    <w:snapToGrid w:val="0"/>
                    <w:spacing w:line="276" w:lineRule="auto"/>
                    <w:jc w:val="center"/>
                    <w:rPr>
                      <w:color w:val="auto"/>
                      <w:szCs w:val="21"/>
                    </w:rPr>
                  </w:pPr>
                  <w:r>
                    <w:rPr>
                      <w:color w:val="auto"/>
                      <w:szCs w:val="21"/>
                    </w:rPr>
                    <w:t>位于东厂区东部，</w:t>
                  </w:r>
                  <w:r>
                    <w:rPr>
                      <w:rFonts w:hint="eastAsia"/>
                      <w:color w:val="auto"/>
                      <w:szCs w:val="21"/>
                    </w:rPr>
                    <w:t>1</w:t>
                  </w:r>
                  <w:r>
                    <w:rPr>
                      <w:color w:val="auto"/>
                      <w:szCs w:val="21"/>
                    </w:rPr>
                    <w:t>层，用于储存玻璃产品，现占地面积2190m</w:t>
                  </w:r>
                  <w:r>
                    <w:rPr>
                      <w:color w:val="auto"/>
                      <w:szCs w:val="21"/>
                      <w:vertAlign w:val="superscript"/>
                    </w:rPr>
                    <w:t>2</w:t>
                  </w:r>
                  <w:r>
                    <w:rPr>
                      <w:color w:val="auto"/>
                      <w:szCs w:val="21"/>
                    </w:rPr>
                    <w:t>（建筑面积约</w:t>
                  </w:r>
                  <w:r>
                    <w:rPr>
                      <w:rFonts w:hint="eastAsia"/>
                      <w:color w:val="auto"/>
                      <w:szCs w:val="21"/>
                    </w:rPr>
                    <w:t>2190</w:t>
                  </w:r>
                  <w:r>
                    <w:rPr>
                      <w:color w:val="auto"/>
                      <w:szCs w:val="21"/>
                    </w:rPr>
                    <w:t>m</w:t>
                  </w:r>
                  <w:r>
                    <w:rPr>
                      <w:color w:val="auto"/>
                      <w:szCs w:val="21"/>
                      <w:vertAlign w:val="superscript"/>
                    </w:rPr>
                    <w:t>2</w:t>
                  </w:r>
                  <w:r>
                    <w:rPr>
                      <w:color w:val="auto"/>
                      <w:szCs w:val="21"/>
                    </w:rPr>
                    <w:t>）。拆除重建后改为</w:t>
                  </w:r>
                  <w:r>
                    <w:rPr>
                      <w:rFonts w:hint="eastAsia"/>
                      <w:color w:val="auto"/>
                      <w:szCs w:val="21"/>
                    </w:rPr>
                    <w:t>3层建筑，高度为14.4m，</w:t>
                  </w:r>
                  <w:r>
                    <w:rPr>
                      <w:color w:val="auto"/>
                      <w:szCs w:val="21"/>
                    </w:rPr>
                    <w:t>占地面积</w:t>
                  </w:r>
                  <w:r>
                    <w:rPr>
                      <w:rFonts w:hint="eastAsia"/>
                      <w:color w:val="auto"/>
                      <w:szCs w:val="21"/>
                    </w:rPr>
                    <w:t>2280</w:t>
                  </w:r>
                  <w:r>
                    <w:rPr>
                      <w:color w:val="auto"/>
                      <w:szCs w:val="21"/>
                    </w:rPr>
                    <w:t>m</w:t>
                  </w:r>
                  <w:r>
                    <w:rPr>
                      <w:color w:val="auto"/>
                      <w:szCs w:val="21"/>
                      <w:vertAlign w:val="superscript"/>
                    </w:rPr>
                    <w:t>2</w:t>
                  </w:r>
                  <w:r>
                    <w:rPr>
                      <w:color w:val="auto"/>
                      <w:szCs w:val="21"/>
                    </w:rPr>
                    <w:t>（建筑面积约</w:t>
                  </w:r>
                  <w:r>
                    <w:rPr>
                      <w:rFonts w:hint="eastAsia"/>
                      <w:color w:val="auto"/>
                      <w:szCs w:val="21"/>
                    </w:rPr>
                    <w:t>7353</w:t>
                  </w:r>
                  <w:r>
                    <w:rPr>
                      <w:color w:val="auto"/>
                      <w:szCs w:val="21"/>
                    </w:rPr>
                    <w:t>m</w:t>
                  </w:r>
                  <w:r>
                    <w:rPr>
                      <w:color w:val="auto"/>
                      <w:szCs w:val="21"/>
                      <w:vertAlign w:val="superscript"/>
                    </w:rPr>
                    <w:t>2</w:t>
                  </w:r>
                  <w:r>
                    <w:rPr>
                      <w:color w:val="auto"/>
                      <w:szCs w:val="21"/>
                    </w:rPr>
                    <w:t>）</w:t>
                  </w:r>
                </w:p>
              </w:tc>
              <w:tc>
                <w:tcPr>
                  <w:tcW w:w="1046" w:type="pct"/>
                  <w:vAlign w:val="center"/>
                </w:tcPr>
                <w:p w14:paraId="2893A6B8">
                  <w:pPr>
                    <w:spacing w:line="276" w:lineRule="auto"/>
                    <w:contextualSpacing/>
                    <w:jc w:val="center"/>
                    <w:rPr>
                      <w:bCs/>
                      <w:color w:val="auto"/>
                      <w:szCs w:val="21"/>
                    </w:rPr>
                  </w:pPr>
                  <w:r>
                    <w:rPr>
                      <w:rFonts w:hint="eastAsia"/>
                      <w:bCs/>
                      <w:color w:val="auto"/>
                      <w:szCs w:val="21"/>
                    </w:rPr>
                    <w:t>/</w:t>
                  </w:r>
                </w:p>
              </w:tc>
              <w:tc>
                <w:tcPr>
                  <w:tcW w:w="921" w:type="pct"/>
                  <w:vAlign w:val="center"/>
                </w:tcPr>
                <w:p w14:paraId="0D04198D">
                  <w:pPr>
                    <w:spacing w:line="276" w:lineRule="auto"/>
                    <w:contextualSpacing/>
                    <w:jc w:val="center"/>
                    <w:rPr>
                      <w:bCs/>
                      <w:color w:val="auto"/>
                      <w:szCs w:val="21"/>
                    </w:rPr>
                  </w:pPr>
                  <w:r>
                    <w:rPr>
                      <w:bCs/>
                      <w:color w:val="auto"/>
                      <w:szCs w:val="21"/>
                    </w:rPr>
                    <w:t>依托现有</w:t>
                  </w:r>
                </w:p>
              </w:tc>
            </w:tr>
            <w:tr w14:paraId="531EA1F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44697D05">
                  <w:pPr>
                    <w:spacing w:line="276" w:lineRule="auto"/>
                    <w:contextualSpacing/>
                    <w:jc w:val="center"/>
                    <w:rPr>
                      <w:bCs/>
                      <w:color w:val="auto"/>
                      <w:szCs w:val="21"/>
                    </w:rPr>
                  </w:pPr>
                </w:p>
              </w:tc>
              <w:tc>
                <w:tcPr>
                  <w:tcW w:w="847" w:type="pct"/>
                  <w:gridSpan w:val="2"/>
                  <w:vAlign w:val="center"/>
                </w:tcPr>
                <w:p w14:paraId="5B57B279">
                  <w:pPr>
                    <w:adjustRightInd w:val="0"/>
                    <w:snapToGrid w:val="0"/>
                    <w:spacing w:line="276" w:lineRule="auto"/>
                    <w:jc w:val="center"/>
                    <w:rPr>
                      <w:color w:val="auto"/>
                      <w:szCs w:val="21"/>
                    </w:rPr>
                  </w:pPr>
                  <w:r>
                    <w:rPr>
                      <w:color w:val="auto"/>
                      <w:szCs w:val="21"/>
                    </w:rPr>
                    <w:t>运输系统</w:t>
                  </w:r>
                </w:p>
              </w:tc>
              <w:tc>
                <w:tcPr>
                  <w:tcW w:w="1655" w:type="pct"/>
                  <w:vAlign w:val="center"/>
                </w:tcPr>
                <w:p w14:paraId="1628A17C">
                  <w:pPr>
                    <w:adjustRightInd w:val="0"/>
                    <w:snapToGrid w:val="0"/>
                    <w:spacing w:line="276" w:lineRule="auto"/>
                    <w:jc w:val="center"/>
                    <w:rPr>
                      <w:color w:val="auto"/>
                      <w:szCs w:val="21"/>
                    </w:rPr>
                  </w:pPr>
                  <w:r>
                    <w:rPr>
                      <w:color w:val="auto"/>
                      <w:szCs w:val="21"/>
                    </w:rPr>
                    <w:t>原材料采用汽车运输</w:t>
                  </w:r>
                </w:p>
              </w:tc>
              <w:tc>
                <w:tcPr>
                  <w:tcW w:w="1046" w:type="pct"/>
                  <w:vAlign w:val="center"/>
                </w:tcPr>
                <w:p w14:paraId="6AF074C6">
                  <w:pPr>
                    <w:spacing w:line="276" w:lineRule="auto"/>
                    <w:contextualSpacing/>
                    <w:jc w:val="center"/>
                    <w:rPr>
                      <w:bCs/>
                      <w:color w:val="auto"/>
                      <w:szCs w:val="21"/>
                    </w:rPr>
                  </w:pPr>
                  <w:r>
                    <w:rPr>
                      <w:rFonts w:hint="eastAsia"/>
                      <w:bCs/>
                      <w:color w:val="auto"/>
                      <w:szCs w:val="21"/>
                    </w:rPr>
                    <w:t>/</w:t>
                  </w:r>
                </w:p>
              </w:tc>
              <w:tc>
                <w:tcPr>
                  <w:tcW w:w="921" w:type="pct"/>
                  <w:vAlign w:val="center"/>
                </w:tcPr>
                <w:p w14:paraId="6245FB5F">
                  <w:pPr>
                    <w:spacing w:line="276" w:lineRule="auto"/>
                    <w:contextualSpacing/>
                    <w:jc w:val="center"/>
                    <w:rPr>
                      <w:bCs/>
                      <w:color w:val="auto"/>
                      <w:szCs w:val="21"/>
                    </w:rPr>
                  </w:pPr>
                  <w:r>
                    <w:rPr>
                      <w:bCs/>
                      <w:color w:val="auto"/>
                      <w:szCs w:val="21"/>
                    </w:rPr>
                    <w:t>依托现有</w:t>
                  </w:r>
                </w:p>
              </w:tc>
            </w:tr>
            <w:tr w14:paraId="7C08A85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restart"/>
                  <w:vAlign w:val="center"/>
                </w:tcPr>
                <w:p w14:paraId="01E241A4">
                  <w:pPr>
                    <w:spacing w:line="276" w:lineRule="auto"/>
                    <w:contextualSpacing/>
                    <w:jc w:val="center"/>
                    <w:rPr>
                      <w:bCs/>
                      <w:color w:val="auto"/>
                      <w:szCs w:val="21"/>
                    </w:rPr>
                  </w:pPr>
                  <w:r>
                    <w:rPr>
                      <w:bCs/>
                      <w:color w:val="auto"/>
                      <w:szCs w:val="21"/>
                    </w:rPr>
                    <w:t>公用工程</w:t>
                  </w:r>
                </w:p>
              </w:tc>
              <w:tc>
                <w:tcPr>
                  <w:tcW w:w="847" w:type="pct"/>
                  <w:gridSpan w:val="2"/>
                  <w:vAlign w:val="center"/>
                </w:tcPr>
                <w:p w14:paraId="23339E28">
                  <w:pPr>
                    <w:adjustRightInd w:val="0"/>
                    <w:snapToGrid w:val="0"/>
                    <w:spacing w:line="276" w:lineRule="auto"/>
                    <w:jc w:val="center"/>
                    <w:rPr>
                      <w:color w:val="auto"/>
                      <w:szCs w:val="21"/>
                    </w:rPr>
                  </w:pPr>
                  <w:r>
                    <w:rPr>
                      <w:color w:val="auto"/>
                      <w:szCs w:val="21"/>
                    </w:rPr>
                    <w:t>供水</w:t>
                  </w:r>
                </w:p>
              </w:tc>
              <w:tc>
                <w:tcPr>
                  <w:tcW w:w="1655" w:type="pct"/>
                  <w:vAlign w:val="center"/>
                </w:tcPr>
                <w:p w14:paraId="35300570">
                  <w:pPr>
                    <w:adjustRightInd w:val="0"/>
                    <w:snapToGrid w:val="0"/>
                    <w:spacing w:line="276" w:lineRule="auto"/>
                    <w:jc w:val="center"/>
                    <w:rPr>
                      <w:color w:val="auto"/>
                      <w:szCs w:val="21"/>
                    </w:rPr>
                  </w:pPr>
                  <w:r>
                    <w:rPr>
                      <w:color w:val="auto"/>
                      <w:szCs w:val="21"/>
                    </w:rPr>
                    <w:t>市政供水管网</w:t>
                  </w:r>
                </w:p>
              </w:tc>
              <w:tc>
                <w:tcPr>
                  <w:tcW w:w="1046" w:type="pct"/>
                  <w:vAlign w:val="center"/>
                </w:tcPr>
                <w:p w14:paraId="16DCC807">
                  <w:pPr>
                    <w:spacing w:line="276" w:lineRule="auto"/>
                    <w:contextualSpacing/>
                    <w:jc w:val="center"/>
                    <w:rPr>
                      <w:bCs/>
                      <w:color w:val="auto"/>
                      <w:szCs w:val="21"/>
                    </w:rPr>
                  </w:pPr>
                  <w:r>
                    <w:rPr>
                      <w:rFonts w:hint="eastAsia"/>
                      <w:bCs/>
                      <w:color w:val="auto"/>
                      <w:szCs w:val="21"/>
                    </w:rPr>
                    <w:t>/</w:t>
                  </w:r>
                </w:p>
              </w:tc>
              <w:tc>
                <w:tcPr>
                  <w:tcW w:w="921" w:type="pct"/>
                  <w:vAlign w:val="center"/>
                </w:tcPr>
                <w:p w14:paraId="665B549F">
                  <w:pPr>
                    <w:spacing w:line="276" w:lineRule="auto"/>
                    <w:contextualSpacing/>
                    <w:jc w:val="center"/>
                    <w:rPr>
                      <w:bCs/>
                      <w:color w:val="auto"/>
                      <w:szCs w:val="21"/>
                    </w:rPr>
                  </w:pPr>
                  <w:r>
                    <w:rPr>
                      <w:bCs/>
                      <w:color w:val="auto"/>
                      <w:szCs w:val="21"/>
                    </w:rPr>
                    <w:t>依托现有</w:t>
                  </w:r>
                </w:p>
              </w:tc>
            </w:tr>
            <w:tr w14:paraId="16E4D70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5111DE00">
                  <w:pPr>
                    <w:spacing w:line="276" w:lineRule="auto"/>
                    <w:contextualSpacing/>
                    <w:jc w:val="center"/>
                    <w:rPr>
                      <w:bCs/>
                      <w:color w:val="auto"/>
                      <w:szCs w:val="21"/>
                    </w:rPr>
                  </w:pPr>
                </w:p>
              </w:tc>
              <w:tc>
                <w:tcPr>
                  <w:tcW w:w="847" w:type="pct"/>
                  <w:gridSpan w:val="2"/>
                  <w:vAlign w:val="center"/>
                </w:tcPr>
                <w:p w14:paraId="0B81DB8D">
                  <w:pPr>
                    <w:adjustRightInd w:val="0"/>
                    <w:snapToGrid w:val="0"/>
                    <w:spacing w:line="276" w:lineRule="auto"/>
                    <w:jc w:val="center"/>
                    <w:rPr>
                      <w:color w:val="auto"/>
                      <w:szCs w:val="21"/>
                    </w:rPr>
                  </w:pPr>
                  <w:r>
                    <w:rPr>
                      <w:color w:val="auto"/>
                      <w:szCs w:val="21"/>
                    </w:rPr>
                    <w:t>排水</w:t>
                  </w:r>
                </w:p>
              </w:tc>
              <w:tc>
                <w:tcPr>
                  <w:tcW w:w="1655" w:type="pct"/>
                  <w:vAlign w:val="center"/>
                </w:tcPr>
                <w:p w14:paraId="3D7F3AEF">
                  <w:pPr>
                    <w:adjustRightInd w:val="0"/>
                    <w:snapToGrid w:val="0"/>
                    <w:spacing w:line="276" w:lineRule="auto"/>
                    <w:jc w:val="center"/>
                    <w:rPr>
                      <w:color w:val="auto"/>
                      <w:kern w:val="0"/>
                      <w:szCs w:val="21"/>
                    </w:rPr>
                  </w:pPr>
                  <w:r>
                    <w:rPr>
                      <w:color w:val="auto"/>
                      <w:kern w:val="0"/>
                      <w:szCs w:val="21"/>
                    </w:rPr>
                    <w:t>实行雨污分流制度，雨水通过雨水管网收集，经雨水总排口汇入园区雨水管网；厂区现有生产线冷却用水、生活用水、循环水池置换水产生后经厂区自建污水处理站处理后回用于玻璃生产线，不外排。</w:t>
                  </w:r>
                </w:p>
              </w:tc>
              <w:tc>
                <w:tcPr>
                  <w:tcW w:w="1046" w:type="pct"/>
                  <w:vAlign w:val="center"/>
                </w:tcPr>
                <w:p w14:paraId="563811B8">
                  <w:pPr>
                    <w:spacing w:line="276" w:lineRule="auto"/>
                    <w:contextualSpacing/>
                    <w:jc w:val="center"/>
                    <w:rPr>
                      <w:bCs/>
                      <w:color w:val="auto"/>
                      <w:szCs w:val="21"/>
                    </w:rPr>
                  </w:pPr>
                  <w:r>
                    <w:rPr>
                      <w:rFonts w:hint="eastAsia"/>
                      <w:bCs/>
                      <w:color w:val="auto"/>
                      <w:szCs w:val="21"/>
                    </w:rPr>
                    <w:t>/</w:t>
                  </w:r>
                </w:p>
              </w:tc>
              <w:tc>
                <w:tcPr>
                  <w:tcW w:w="921" w:type="pct"/>
                  <w:vAlign w:val="center"/>
                </w:tcPr>
                <w:p w14:paraId="7068B642">
                  <w:pPr>
                    <w:spacing w:line="276" w:lineRule="auto"/>
                    <w:contextualSpacing/>
                    <w:jc w:val="center"/>
                    <w:rPr>
                      <w:bCs/>
                      <w:color w:val="auto"/>
                      <w:szCs w:val="21"/>
                    </w:rPr>
                  </w:pPr>
                  <w:r>
                    <w:rPr>
                      <w:bCs/>
                      <w:color w:val="auto"/>
                      <w:szCs w:val="21"/>
                    </w:rPr>
                    <w:t>依托现有</w:t>
                  </w:r>
                </w:p>
              </w:tc>
            </w:tr>
            <w:tr w14:paraId="4BFA6D2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067A705D">
                  <w:pPr>
                    <w:spacing w:line="276" w:lineRule="auto"/>
                    <w:contextualSpacing/>
                    <w:jc w:val="center"/>
                    <w:rPr>
                      <w:bCs/>
                      <w:color w:val="auto"/>
                      <w:szCs w:val="21"/>
                    </w:rPr>
                  </w:pPr>
                </w:p>
              </w:tc>
              <w:tc>
                <w:tcPr>
                  <w:tcW w:w="847" w:type="pct"/>
                  <w:gridSpan w:val="2"/>
                  <w:vAlign w:val="center"/>
                </w:tcPr>
                <w:p w14:paraId="14791079">
                  <w:pPr>
                    <w:adjustRightInd w:val="0"/>
                    <w:snapToGrid w:val="0"/>
                    <w:spacing w:line="276" w:lineRule="auto"/>
                    <w:jc w:val="center"/>
                    <w:rPr>
                      <w:color w:val="auto"/>
                      <w:szCs w:val="21"/>
                    </w:rPr>
                  </w:pPr>
                  <w:r>
                    <w:rPr>
                      <w:color w:val="auto"/>
                      <w:szCs w:val="21"/>
                    </w:rPr>
                    <w:t>供电</w:t>
                  </w:r>
                </w:p>
              </w:tc>
              <w:tc>
                <w:tcPr>
                  <w:tcW w:w="1655" w:type="pct"/>
                  <w:vAlign w:val="center"/>
                </w:tcPr>
                <w:p w14:paraId="031CF8E7">
                  <w:pPr>
                    <w:adjustRightInd w:val="0"/>
                    <w:snapToGrid w:val="0"/>
                    <w:spacing w:line="276" w:lineRule="auto"/>
                    <w:jc w:val="center"/>
                    <w:rPr>
                      <w:color w:val="auto"/>
                      <w:szCs w:val="21"/>
                    </w:rPr>
                  </w:pPr>
                  <w:r>
                    <w:rPr>
                      <w:color w:val="auto"/>
                      <w:szCs w:val="21"/>
                    </w:rPr>
                    <w:t>市政电网，厂区现有配电房等设施提供</w:t>
                  </w:r>
                </w:p>
              </w:tc>
              <w:tc>
                <w:tcPr>
                  <w:tcW w:w="1046" w:type="pct"/>
                  <w:vAlign w:val="center"/>
                </w:tcPr>
                <w:p w14:paraId="660C8888">
                  <w:pPr>
                    <w:spacing w:line="276" w:lineRule="auto"/>
                    <w:contextualSpacing/>
                    <w:jc w:val="center"/>
                    <w:rPr>
                      <w:bCs/>
                      <w:color w:val="auto"/>
                      <w:szCs w:val="21"/>
                    </w:rPr>
                  </w:pPr>
                  <w:r>
                    <w:rPr>
                      <w:rFonts w:hint="eastAsia"/>
                      <w:bCs/>
                      <w:color w:val="auto"/>
                      <w:szCs w:val="21"/>
                    </w:rPr>
                    <w:t>/</w:t>
                  </w:r>
                </w:p>
              </w:tc>
              <w:tc>
                <w:tcPr>
                  <w:tcW w:w="921" w:type="pct"/>
                  <w:vAlign w:val="center"/>
                </w:tcPr>
                <w:p w14:paraId="0D1226AA">
                  <w:pPr>
                    <w:spacing w:line="276" w:lineRule="auto"/>
                    <w:contextualSpacing/>
                    <w:jc w:val="center"/>
                    <w:rPr>
                      <w:bCs/>
                      <w:color w:val="auto"/>
                      <w:szCs w:val="21"/>
                    </w:rPr>
                  </w:pPr>
                  <w:r>
                    <w:rPr>
                      <w:bCs/>
                      <w:color w:val="auto"/>
                      <w:szCs w:val="21"/>
                    </w:rPr>
                    <w:t>依托现有</w:t>
                  </w:r>
                </w:p>
              </w:tc>
            </w:tr>
            <w:tr w14:paraId="1E48467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20CED9E0">
                  <w:pPr>
                    <w:spacing w:line="276" w:lineRule="auto"/>
                    <w:contextualSpacing/>
                    <w:jc w:val="center"/>
                    <w:rPr>
                      <w:bCs/>
                      <w:color w:val="auto"/>
                      <w:szCs w:val="21"/>
                    </w:rPr>
                  </w:pPr>
                </w:p>
              </w:tc>
              <w:tc>
                <w:tcPr>
                  <w:tcW w:w="847" w:type="pct"/>
                  <w:gridSpan w:val="2"/>
                  <w:vAlign w:val="center"/>
                </w:tcPr>
                <w:p w14:paraId="3D1A8F0C">
                  <w:pPr>
                    <w:adjustRightInd w:val="0"/>
                    <w:snapToGrid w:val="0"/>
                    <w:spacing w:line="276" w:lineRule="auto"/>
                    <w:jc w:val="center"/>
                    <w:rPr>
                      <w:color w:val="auto"/>
                      <w:szCs w:val="21"/>
                    </w:rPr>
                  </w:pPr>
                  <w:r>
                    <w:rPr>
                      <w:color w:val="auto"/>
                      <w:szCs w:val="21"/>
                    </w:rPr>
                    <w:t>制氧车间（平面图编号</w:t>
                  </w:r>
                  <w:r>
                    <w:rPr>
                      <w:rFonts w:hint="eastAsia"/>
                      <w:color w:val="auto"/>
                      <w:szCs w:val="21"/>
                    </w:rPr>
                    <w:t>17</w:t>
                  </w:r>
                  <w:r>
                    <w:rPr>
                      <w:color w:val="auto"/>
                      <w:szCs w:val="21"/>
                    </w:rPr>
                    <w:t>#）</w:t>
                  </w:r>
                </w:p>
              </w:tc>
              <w:tc>
                <w:tcPr>
                  <w:tcW w:w="1655" w:type="pct"/>
                  <w:vAlign w:val="center"/>
                </w:tcPr>
                <w:p w14:paraId="3575981C">
                  <w:pPr>
                    <w:adjustRightInd w:val="0"/>
                    <w:snapToGrid w:val="0"/>
                    <w:spacing w:line="276" w:lineRule="auto"/>
                    <w:jc w:val="center"/>
                    <w:rPr>
                      <w:color w:val="auto"/>
                      <w:szCs w:val="21"/>
                    </w:rPr>
                  </w:pPr>
                  <w:r>
                    <w:rPr>
                      <w:color w:val="auto"/>
                      <w:szCs w:val="21"/>
                    </w:rPr>
                    <w:t>位于东厂区东南部，</w:t>
                  </w:r>
                  <w:r>
                    <w:rPr>
                      <w:rFonts w:hint="eastAsia"/>
                      <w:color w:val="auto"/>
                      <w:szCs w:val="21"/>
                    </w:rPr>
                    <w:t>2</w:t>
                  </w:r>
                  <w:r>
                    <w:rPr>
                      <w:color w:val="auto"/>
                      <w:szCs w:val="21"/>
                    </w:rPr>
                    <w:t>层，现状车间厂房占地面积约895m</w:t>
                  </w:r>
                  <w:r>
                    <w:rPr>
                      <w:color w:val="auto"/>
                      <w:szCs w:val="21"/>
                      <w:vertAlign w:val="superscript"/>
                    </w:rPr>
                    <w:t>2</w:t>
                  </w:r>
                  <w:r>
                    <w:rPr>
                      <w:color w:val="auto"/>
                      <w:szCs w:val="21"/>
                    </w:rPr>
                    <w:t>，设置1套变压吸附制氧装置，主要由</w:t>
                  </w:r>
                  <w:r>
                    <w:rPr>
                      <w:bCs/>
                      <w:color w:val="auto"/>
                      <w:szCs w:val="21"/>
                    </w:rPr>
                    <w:t>鼓风机系统、真空泵系统、吸附系统、仪表控制系统、电气系统、仪表空气系统、水系统、压氧系统八个部分组成。制出的氧气仅供建设单位厂区玻璃窑炉使用，不外售</w:t>
                  </w:r>
                </w:p>
              </w:tc>
              <w:tc>
                <w:tcPr>
                  <w:tcW w:w="1046" w:type="pct"/>
                  <w:vAlign w:val="center"/>
                </w:tcPr>
                <w:p w14:paraId="5BD938E5">
                  <w:pPr>
                    <w:spacing w:line="276" w:lineRule="auto"/>
                    <w:contextualSpacing/>
                    <w:jc w:val="center"/>
                    <w:rPr>
                      <w:bCs/>
                      <w:color w:val="auto"/>
                      <w:szCs w:val="21"/>
                    </w:rPr>
                  </w:pPr>
                  <w:r>
                    <w:rPr>
                      <w:rFonts w:hint="eastAsia"/>
                      <w:bCs/>
                      <w:color w:val="auto"/>
                      <w:szCs w:val="21"/>
                    </w:rPr>
                    <w:t>/</w:t>
                  </w:r>
                </w:p>
              </w:tc>
              <w:tc>
                <w:tcPr>
                  <w:tcW w:w="921" w:type="pct"/>
                  <w:vAlign w:val="center"/>
                </w:tcPr>
                <w:p w14:paraId="6D6A2D0A">
                  <w:pPr>
                    <w:spacing w:line="276" w:lineRule="auto"/>
                    <w:contextualSpacing/>
                    <w:jc w:val="center"/>
                    <w:rPr>
                      <w:bCs/>
                      <w:color w:val="auto"/>
                      <w:szCs w:val="21"/>
                    </w:rPr>
                  </w:pPr>
                  <w:r>
                    <w:rPr>
                      <w:rFonts w:hint="eastAsia"/>
                      <w:bCs/>
                      <w:color w:val="auto"/>
                      <w:szCs w:val="21"/>
                    </w:rPr>
                    <w:t>/</w:t>
                  </w:r>
                </w:p>
              </w:tc>
            </w:tr>
            <w:tr w14:paraId="33FFD3A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45844354">
                  <w:pPr>
                    <w:spacing w:line="276" w:lineRule="auto"/>
                    <w:contextualSpacing/>
                    <w:jc w:val="center"/>
                    <w:rPr>
                      <w:bCs/>
                      <w:color w:val="auto"/>
                      <w:szCs w:val="21"/>
                    </w:rPr>
                  </w:pPr>
                </w:p>
              </w:tc>
              <w:tc>
                <w:tcPr>
                  <w:tcW w:w="847" w:type="pct"/>
                  <w:gridSpan w:val="2"/>
                  <w:vAlign w:val="center"/>
                </w:tcPr>
                <w:p w14:paraId="6088CD2A">
                  <w:pPr>
                    <w:adjustRightInd w:val="0"/>
                    <w:snapToGrid w:val="0"/>
                    <w:spacing w:line="276" w:lineRule="auto"/>
                    <w:rPr>
                      <w:color w:val="auto"/>
                      <w:szCs w:val="21"/>
                    </w:rPr>
                  </w:pPr>
                  <w:r>
                    <w:rPr>
                      <w:color w:val="auto"/>
                      <w:szCs w:val="21"/>
                    </w:rPr>
                    <w:t>液氧气化站（平面图编号</w:t>
                  </w:r>
                  <w:r>
                    <w:rPr>
                      <w:rFonts w:hint="eastAsia"/>
                      <w:color w:val="auto"/>
                      <w:szCs w:val="21"/>
                    </w:rPr>
                    <w:t>8</w:t>
                  </w:r>
                  <w:r>
                    <w:rPr>
                      <w:color w:val="auto"/>
                      <w:szCs w:val="21"/>
                    </w:rPr>
                    <w:t>#）</w:t>
                  </w:r>
                </w:p>
              </w:tc>
              <w:tc>
                <w:tcPr>
                  <w:tcW w:w="1655" w:type="pct"/>
                  <w:vAlign w:val="center"/>
                </w:tcPr>
                <w:p w14:paraId="3DEC0876">
                  <w:pPr>
                    <w:adjustRightInd w:val="0"/>
                    <w:snapToGrid w:val="0"/>
                    <w:spacing w:line="276" w:lineRule="auto"/>
                    <w:jc w:val="center"/>
                    <w:rPr>
                      <w:color w:val="auto"/>
                      <w:szCs w:val="21"/>
                    </w:rPr>
                  </w:pPr>
                  <w:r>
                    <w:rPr>
                      <w:color w:val="auto"/>
                      <w:szCs w:val="21"/>
                    </w:rPr>
                    <w:t>位于西厂区西北部，1层，占地面积约784m</w:t>
                  </w:r>
                  <w:r>
                    <w:rPr>
                      <w:color w:val="auto"/>
                      <w:szCs w:val="21"/>
                      <w:vertAlign w:val="superscript"/>
                    </w:rPr>
                    <w:t>2</w:t>
                  </w:r>
                  <w:r>
                    <w:rPr>
                      <w:color w:val="auto"/>
                      <w:szCs w:val="21"/>
                    </w:rPr>
                    <w:t>，配套建设液氧储罐、汽化器、液氧泵等设备，液氧储罐储存的液氧气化产生氧气仅供建设单位厂区生产使用，不外售</w:t>
                  </w:r>
                </w:p>
              </w:tc>
              <w:tc>
                <w:tcPr>
                  <w:tcW w:w="1046" w:type="pct"/>
                  <w:vAlign w:val="center"/>
                </w:tcPr>
                <w:p w14:paraId="79BFC7A2">
                  <w:pPr>
                    <w:spacing w:line="276" w:lineRule="auto"/>
                    <w:contextualSpacing/>
                    <w:jc w:val="center"/>
                    <w:rPr>
                      <w:bCs/>
                      <w:color w:val="auto"/>
                      <w:szCs w:val="21"/>
                    </w:rPr>
                  </w:pPr>
                  <w:r>
                    <w:rPr>
                      <w:rFonts w:hint="eastAsia"/>
                      <w:bCs/>
                      <w:color w:val="auto"/>
                      <w:szCs w:val="21"/>
                    </w:rPr>
                    <w:t>/</w:t>
                  </w:r>
                </w:p>
              </w:tc>
              <w:tc>
                <w:tcPr>
                  <w:tcW w:w="921" w:type="pct"/>
                  <w:vAlign w:val="center"/>
                </w:tcPr>
                <w:p w14:paraId="539BC219">
                  <w:pPr>
                    <w:spacing w:line="276" w:lineRule="auto"/>
                    <w:contextualSpacing/>
                    <w:jc w:val="center"/>
                    <w:rPr>
                      <w:bCs/>
                      <w:color w:val="auto"/>
                      <w:szCs w:val="21"/>
                    </w:rPr>
                  </w:pPr>
                  <w:r>
                    <w:rPr>
                      <w:rFonts w:hint="eastAsia"/>
                      <w:bCs/>
                      <w:color w:val="auto"/>
                      <w:szCs w:val="21"/>
                    </w:rPr>
                    <w:t>/</w:t>
                  </w:r>
                </w:p>
              </w:tc>
            </w:tr>
            <w:tr w14:paraId="16F1D19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10384D67">
                  <w:pPr>
                    <w:spacing w:line="276" w:lineRule="auto"/>
                    <w:contextualSpacing/>
                    <w:jc w:val="center"/>
                    <w:rPr>
                      <w:bCs/>
                      <w:color w:val="auto"/>
                      <w:szCs w:val="21"/>
                    </w:rPr>
                  </w:pPr>
                </w:p>
              </w:tc>
              <w:tc>
                <w:tcPr>
                  <w:tcW w:w="847" w:type="pct"/>
                  <w:gridSpan w:val="2"/>
                  <w:vAlign w:val="center"/>
                </w:tcPr>
                <w:p w14:paraId="3B9D2F28">
                  <w:pPr>
                    <w:snapToGrid w:val="0"/>
                    <w:spacing w:line="276" w:lineRule="auto"/>
                    <w:jc w:val="center"/>
                    <w:rPr>
                      <w:color w:val="auto"/>
                      <w:szCs w:val="21"/>
                    </w:rPr>
                  </w:pPr>
                  <w:r>
                    <w:rPr>
                      <w:color w:val="auto"/>
                      <w:szCs w:val="21"/>
                    </w:rPr>
                    <w:t>消防系统</w:t>
                  </w:r>
                </w:p>
              </w:tc>
              <w:tc>
                <w:tcPr>
                  <w:tcW w:w="1655" w:type="pct"/>
                  <w:vAlign w:val="center"/>
                </w:tcPr>
                <w:p w14:paraId="46717E74">
                  <w:pPr>
                    <w:snapToGrid w:val="0"/>
                    <w:spacing w:line="276" w:lineRule="auto"/>
                    <w:jc w:val="center"/>
                    <w:rPr>
                      <w:color w:val="auto"/>
                      <w:szCs w:val="21"/>
                    </w:rPr>
                  </w:pPr>
                  <w:r>
                    <w:rPr>
                      <w:color w:val="auto"/>
                      <w:szCs w:val="21"/>
                    </w:rPr>
                    <w:t>符合《建筑物防火规范》（GB50016-2014）要求</w:t>
                  </w:r>
                </w:p>
              </w:tc>
              <w:tc>
                <w:tcPr>
                  <w:tcW w:w="1046" w:type="pct"/>
                  <w:vAlign w:val="center"/>
                </w:tcPr>
                <w:p w14:paraId="164F331A">
                  <w:pPr>
                    <w:spacing w:line="276" w:lineRule="auto"/>
                    <w:contextualSpacing/>
                    <w:jc w:val="center"/>
                    <w:rPr>
                      <w:bCs/>
                      <w:color w:val="auto"/>
                      <w:szCs w:val="21"/>
                    </w:rPr>
                  </w:pPr>
                  <w:r>
                    <w:rPr>
                      <w:rFonts w:hint="eastAsia"/>
                      <w:bCs/>
                      <w:color w:val="auto"/>
                      <w:szCs w:val="21"/>
                    </w:rPr>
                    <w:t>/</w:t>
                  </w:r>
                </w:p>
              </w:tc>
              <w:tc>
                <w:tcPr>
                  <w:tcW w:w="921" w:type="pct"/>
                  <w:vAlign w:val="center"/>
                </w:tcPr>
                <w:p w14:paraId="43EA7BAB">
                  <w:pPr>
                    <w:spacing w:line="276" w:lineRule="auto"/>
                    <w:contextualSpacing/>
                    <w:jc w:val="center"/>
                    <w:rPr>
                      <w:bCs/>
                      <w:color w:val="auto"/>
                      <w:szCs w:val="21"/>
                    </w:rPr>
                  </w:pPr>
                  <w:r>
                    <w:rPr>
                      <w:bCs/>
                      <w:color w:val="auto"/>
                      <w:szCs w:val="21"/>
                    </w:rPr>
                    <w:t>依托现有</w:t>
                  </w:r>
                </w:p>
              </w:tc>
            </w:tr>
            <w:tr w14:paraId="0C9E4C9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restart"/>
                  <w:vAlign w:val="center"/>
                </w:tcPr>
                <w:p w14:paraId="4515C164">
                  <w:pPr>
                    <w:spacing w:line="276" w:lineRule="auto"/>
                    <w:contextualSpacing/>
                    <w:jc w:val="center"/>
                    <w:rPr>
                      <w:bCs/>
                      <w:color w:val="auto"/>
                      <w:szCs w:val="21"/>
                    </w:rPr>
                  </w:pPr>
                  <w:r>
                    <w:rPr>
                      <w:bCs/>
                      <w:color w:val="auto"/>
                      <w:szCs w:val="21"/>
                    </w:rPr>
                    <w:t>环保工程</w:t>
                  </w:r>
                </w:p>
              </w:tc>
              <w:tc>
                <w:tcPr>
                  <w:tcW w:w="847" w:type="pct"/>
                  <w:gridSpan w:val="2"/>
                  <w:vAlign w:val="center"/>
                </w:tcPr>
                <w:p w14:paraId="10162778">
                  <w:pPr>
                    <w:spacing w:line="276" w:lineRule="auto"/>
                    <w:jc w:val="center"/>
                    <w:rPr>
                      <w:color w:val="auto"/>
                      <w:szCs w:val="21"/>
                    </w:rPr>
                  </w:pPr>
                  <w:r>
                    <w:rPr>
                      <w:color w:val="auto"/>
                      <w:szCs w:val="21"/>
                    </w:rPr>
                    <w:t>废气治理</w:t>
                  </w:r>
                </w:p>
              </w:tc>
              <w:tc>
                <w:tcPr>
                  <w:tcW w:w="1655" w:type="pct"/>
                  <w:vAlign w:val="center"/>
                </w:tcPr>
                <w:p w14:paraId="77A742EA">
                  <w:pPr>
                    <w:snapToGrid w:val="0"/>
                    <w:spacing w:line="276" w:lineRule="auto"/>
                    <w:rPr>
                      <w:color w:val="auto"/>
                      <w:szCs w:val="21"/>
                    </w:rPr>
                  </w:pPr>
                  <w:r>
                    <w:rPr>
                      <w:rFonts w:hint="eastAsia"/>
                      <w:b/>
                      <w:bCs/>
                      <w:color w:val="auto"/>
                      <w:szCs w:val="21"/>
                    </w:rPr>
                    <w:t>有组织废气：</w:t>
                  </w:r>
                  <w:r>
                    <w:rPr>
                      <w:rFonts w:hint="eastAsia"/>
                      <w:bCs/>
                      <w:color w:val="auto"/>
                      <w:szCs w:val="21"/>
                    </w:rPr>
                    <w:t>①一车间</w:t>
                  </w:r>
                  <w:r>
                    <w:rPr>
                      <w:color w:val="auto"/>
                      <w:szCs w:val="21"/>
                    </w:rPr>
                    <w:t>1#玻璃窑炉废气</w:t>
                  </w:r>
                  <w:r>
                    <w:rPr>
                      <w:rFonts w:ascii="宋体" w:hAnsi="宋体"/>
                      <w:color w:val="auto"/>
                      <w:szCs w:val="21"/>
                    </w:rPr>
                    <w:t>经“布袋除尘器+</w:t>
                  </w:r>
                  <w:r>
                    <w:rPr>
                      <w:color w:val="auto"/>
                      <w:szCs w:val="21"/>
                    </w:rPr>
                    <w:t>SCR</w:t>
                  </w:r>
                  <w:r>
                    <w:rPr>
                      <w:rFonts w:ascii="宋体" w:hAnsi="宋体"/>
                      <w:color w:val="auto"/>
                      <w:szCs w:val="21"/>
                    </w:rPr>
                    <w:t>”处理达标</w:t>
                  </w:r>
                  <w:r>
                    <w:rPr>
                      <w:color w:val="auto"/>
                      <w:szCs w:val="21"/>
                    </w:rPr>
                    <w:t>后由60m高排气筒（</w:t>
                  </w:r>
                  <w:r>
                    <w:rPr>
                      <w:rFonts w:hint="eastAsia"/>
                      <w:color w:val="auto"/>
                      <w:szCs w:val="21"/>
                    </w:rPr>
                    <w:t>DA006</w:t>
                  </w:r>
                  <w:r>
                    <w:rPr>
                      <w:color w:val="auto"/>
                      <w:szCs w:val="21"/>
                    </w:rPr>
                    <w:t>）排放；</w:t>
                  </w:r>
                  <w:r>
                    <w:rPr>
                      <w:rFonts w:hint="eastAsia"/>
                      <w:color w:val="auto"/>
                      <w:szCs w:val="21"/>
                    </w:rPr>
                    <w:t>②二车间</w:t>
                  </w:r>
                  <w:r>
                    <w:rPr>
                      <w:color w:val="auto"/>
                      <w:szCs w:val="21"/>
                    </w:rPr>
                    <w:t>2#玻璃窑炉废气</w:t>
                  </w:r>
                  <w:r>
                    <w:rPr>
                      <w:rFonts w:ascii="宋体" w:hAnsi="宋体"/>
                      <w:color w:val="auto"/>
                      <w:szCs w:val="21"/>
                    </w:rPr>
                    <w:t>经“</w:t>
                  </w:r>
                  <w:r>
                    <w:rPr>
                      <w:rFonts w:hint="eastAsia" w:ascii="宋体" w:hAnsi="宋体"/>
                      <w:color w:val="auto"/>
                      <w:szCs w:val="21"/>
                    </w:rPr>
                    <w:t>脱硫脱硝除尘复合陶瓷滤管一体化处理设施</w:t>
                  </w:r>
                  <w:r>
                    <w:rPr>
                      <w:rFonts w:ascii="宋体" w:hAnsi="宋体"/>
                      <w:color w:val="auto"/>
                      <w:szCs w:val="21"/>
                    </w:rPr>
                    <w:t>”</w:t>
                  </w:r>
                  <w:r>
                    <w:rPr>
                      <w:color w:val="auto"/>
                      <w:szCs w:val="21"/>
                    </w:rPr>
                    <w:t>处理达标后由60m高排气筒（</w:t>
                  </w:r>
                  <w:r>
                    <w:rPr>
                      <w:rFonts w:hint="eastAsia"/>
                      <w:color w:val="auto"/>
                      <w:szCs w:val="21"/>
                    </w:rPr>
                    <w:t>DA007</w:t>
                  </w:r>
                  <w:r>
                    <w:rPr>
                      <w:color w:val="auto"/>
                      <w:szCs w:val="21"/>
                    </w:rPr>
                    <w:t>）排放；</w:t>
                  </w:r>
                  <w:r>
                    <w:rPr>
                      <w:rFonts w:hint="eastAsia"/>
                      <w:color w:val="auto"/>
                      <w:szCs w:val="21"/>
                    </w:rPr>
                    <w:t>③三车间</w:t>
                  </w:r>
                  <w:r>
                    <w:rPr>
                      <w:color w:val="auto"/>
                      <w:szCs w:val="21"/>
                    </w:rPr>
                    <w:t>3#玻璃窑炉废气经</w:t>
                  </w:r>
                  <w:r>
                    <w:rPr>
                      <w:rFonts w:ascii="宋体" w:hAnsi="宋体"/>
                      <w:color w:val="auto"/>
                      <w:szCs w:val="21"/>
                    </w:rPr>
                    <w:t>“</w:t>
                  </w:r>
                  <w:r>
                    <w:rPr>
                      <w:rFonts w:hint="eastAsia" w:ascii="宋体" w:hAnsi="宋体"/>
                      <w:color w:val="auto"/>
                      <w:szCs w:val="21"/>
                    </w:rPr>
                    <w:t>脱硫脱硝除尘复合陶瓷滤管一体化处理设施</w:t>
                  </w:r>
                  <w:r>
                    <w:rPr>
                      <w:rFonts w:ascii="宋体" w:hAnsi="宋体"/>
                      <w:color w:val="auto"/>
                      <w:szCs w:val="21"/>
                    </w:rPr>
                    <w:t>”</w:t>
                  </w:r>
                  <w:r>
                    <w:rPr>
                      <w:color w:val="auto"/>
                      <w:szCs w:val="21"/>
                    </w:rPr>
                    <w:t>处理达标后由60m高排气筒（</w:t>
                  </w:r>
                  <w:r>
                    <w:rPr>
                      <w:rFonts w:hint="eastAsia"/>
                      <w:color w:val="auto"/>
                      <w:szCs w:val="21"/>
                    </w:rPr>
                    <w:t>DA008</w:t>
                  </w:r>
                  <w:r>
                    <w:rPr>
                      <w:color w:val="auto"/>
                      <w:szCs w:val="21"/>
                    </w:rPr>
                    <w:t>）排放；</w:t>
                  </w:r>
                  <w:r>
                    <w:rPr>
                      <w:rFonts w:hint="eastAsia"/>
                      <w:color w:val="auto"/>
                      <w:szCs w:val="21"/>
                    </w:rPr>
                    <w:t>④加工车间4#全电窑炉废气经布袋除尘器处理达标后</w:t>
                  </w:r>
                  <w:r>
                    <w:rPr>
                      <w:color w:val="auto"/>
                      <w:szCs w:val="21"/>
                    </w:rPr>
                    <w:t>由</w:t>
                  </w:r>
                  <w:r>
                    <w:rPr>
                      <w:rFonts w:hint="eastAsia"/>
                      <w:color w:val="auto"/>
                      <w:szCs w:val="21"/>
                    </w:rPr>
                    <w:t>45</w:t>
                  </w:r>
                  <w:r>
                    <w:rPr>
                      <w:color w:val="auto"/>
                      <w:szCs w:val="21"/>
                    </w:rPr>
                    <w:t>m高排气筒（</w:t>
                  </w:r>
                  <w:r>
                    <w:rPr>
                      <w:rFonts w:hint="eastAsia"/>
                      <w:color w:val="auto"/>
                      <w:szCs w:val="21"/>
                    </w:rPr>
                    <w:t>DA009</w:t>
                  </w:r>
                  <w:r>
                    <w:rPr>
                      <w:color w:val="auto"/>
                      <w:szCs w:val="21"/>
                    </w:rPr>
                    <w:t>）排放</w:t>
                  </w:r>
                  <w:r>
                    <w:rPr>
                      <w:rFonts w:hint="eastAsia"/>
                      <w:color w:val="auto"/>
                      <w:szCs w:val="21"/>
                    </w:rPr>
                    <w:t>；⑤加工车间</w:t>
                  </w:r>
                  <w:r>
                    <w:rPr>
                      <w:color w:val="auto"/>
                      <w:szCs w:val="21"/>
                    </w:rPr>
                    <w:t>喷水性玻璃陶瓷低温釉及烘烤过程成中产生的废气、贴花烘烤过程中产生的废气、印花及印花烘烤过程中产生的废气、天然气燃烧废气经集气罩或集气管道收集后，汇入总管，通过1套</w:t>
                  </w:r>
                  <w:r>
                    <w:rPr>
                      <w:rFonts w:ascii="宋体" w:hAnsi="宋体"/>
                      <w:color w:val="auto"/>
                      <w:szCs w:val="21"/>
                    </w:rPr>
                    <w:t>“</w:t>
                  </w:r>
                  <w:r>
                    <w:rPr>
                      <w:color w:val="auto"/>
                      <w:szCs w:val="21"/>
                    </w:rPr>
                    <w:t>过滤棉+干式过滤+活性炭吸附脱附催化燃烧设施处理</w:t>
                  </w:r>
                  <w:r>
                    <w:rPr>
                      <w:rFonts w:ascii="宋体" w:hAnsi="宋体"/>
                      <w:color w:val="auto"/>
                      <w:szCs w:val="21"/>
                    </w:rPr>
                    <w:t>”</w:t>
                  </w:r>
                  <w:r>
                    <w:rPr>
                      <w:color w:val="auto"/>
                      <w:szCs w:val="21"/>
                    </w:rPr>
                    <w:t>后由1根</w:t>
                  </w:r>
                  <w:r>
                    <w:rPr>
                      <w:rFonts w:hint="eastAsia"/>
                      <w:color w:val="auto"/>
                      <w:szCs w:val="21"/>
                    </w:rPr>
                    <w:t>45</w:t>
                  </w:r>
                  <w:r>
                    <w:rPr>
                      <w:color w:val="auto"/>
                      <w:szCs w:val="21"/>
                    </w:rPr>
                    <w:t>m高排气筒（</w:t>
                  </w:r>
                  <w:r>
                    <w:rPr>
                      <w:rFonts w:hint="eastAsia"/>
                      <w:color w:val="auto"/>
                      <w:szCs w:val="21"/>
                    </w:rPr>
                    <w:t>DA009</w:t>
                  </w:r>
                  <w:r>
                    <w:rPr>
                      <w:color w:val="auto"/>
                      <w:szCs w:val="21"/>
                    </w:rPr>
                    <w:t>）排放</w:t>
                  </w:r>
                  <w:r>
                    <w:rPr>
                      <w:rFonts w:hint="eastAsia"/>
                      <w:color w:val="auto"/>
                      <w:szCs w:val="21"/>
                    </w:rPr>
                    <w:t>。</w:t>
                  </w:r>
                </w:p>
                <w:p w14:paraId="5569B99D">
                  <w:pPr>
                    <w:snapToGrid w:val="0"/>
                    <w:spacing w:line="276" w:lineRule="auto"/>
                    <w:rPr>
                      <w:color w:val="auto"/>
                      <w:szCs w:val="21"/>
                    </w:rPr>
                  </w:pPr>
                  <w:r>
                    <w:rPr>
                      <w:rFonts w:hint="eastAsia"/>
                      <w:b/>
                      <w:color w:val="auto"/>
                      <w:szCs w:val="21"/>
                    </w:rPr>
                    <w:t>无组织废气</w:t>
                  </w:r>
                  <w:r>
                    <w:rPr>
                      <w:rFonts w:hint="eastAsia"/>
                      <w:color w:val="auto"/>
                      <w:szCs w:val="21"/>
                    </w:rPr>
                    <w:t>：车间内加强通风。</w:t>
                  </w:r>
                </w:p>
              </w:tc>
              <w:tc>
                <w:tcPr>
                  <w:tcW w:w="1046" w:type="pct"/>
                  <w:vAlign w:val="center"/>
                </w:tcPr>
                <w:p w14:paraId="28D8C161">
                  <w:pPr>
                    <w:spacing w:line="276" w:lineRule="auto"/>
                    <w:contextualSpacing/>
                    <w:jc w:val="center"/>
                    <w:rPr>
                      <w:bCs/>
                      <w:color w:val="auto"/>
                      <w:szCs w:val="21"/>
                    </w:rPr>
                  </w:pPr>
                  <w:r>
                    <w:rPr>
                      <w:b/>
                      <w:bCs/>
                      <w:color w:val="auto"/>
                      <w:szCs w:val="21"/>
                    </w:rPr>
                    <w:t>有组织废气：</w:t>
                  </w:r>
                  <w:r>
                    <w:rPr>
                      <w:rFonts w:hint="eastAsia"/>
                      <w:bCs/>
                      <w:color w:val="auto"/>
                      <w:szCs w:val="21"/>
                    </w:rPr>
                    <w:t>①</w:t>
                  </w:r>
                  <w:r>
                    <w:rPr>
                      <w:bCs/>
                      <w:color w:val="auto"/>
                      <w:szCs w:val="21"/>
                    </w:rPr>
                    <w:t>一车间喷涂废气（</w:t>
                  </w:r>
                  <w:r>
                    <w:rPr>
                      <w:rFonts w:hint="eastAsia"/>
                      <w:bCs/>
                      <w:color w:val="auto"/>
                      <w:szCs w:val="21"/>
                    </w:rPr>
                    <w:t>G</w:t>
                  </w:r>
                  <w:r>
                    <w:rPr>
                      <w:rFonts w:hint="eastAsia"/>
                      <w:bCs/>
                      <w:color w:val="auto"/>
                      <w:szCs w:val="21"/>
                      <w:vertAlign w:val="subscript"/>
                    </w:rPr>
                    <w:t>3</w:t>
                  </w:r>
                  <w:r>
                    <w:rPr>
                      <w:bCs/>
                      <w:color w:val="auto"/>
                      <w:szCs w:val="21"/>
                    </w:rPr>
                    <w:t>）经集气罩收集，通过</w:t>
                  </w:r>
                  <w:r>
                    <w:rPr>
                      <w:rFonts w:hint="eastAsia"/>
                      <w:bCs/>
                      <w:color w:val="auto"/>
                      <w:szCs w:val="21"/>
                    </w:rPr>
                    <w:t>1套两级活性炭吸附装置处理达标后由20m高排气筒（DA010）排放；②三</w:t>
                  </w:r>
                  <w:r>
                    <w:rPr>
                      <w:bCs/>
                      <w:color w:val="auto"/>
                      <w:szCs w:val="21"/>
                    </w:rPr>
                    <w:t>车间喷涂废气（</w:t>
                  </w:r>
                  <w:r>
                    <w:rPr>
                      <w:rFonts w:hint="eastAsia"/>
                      <w:bCs/>
                      <w:color w:val="auto"/>
                      <w:szCs w:val="21"/>
                    </w:rPr>
                    <w:t>G</w:t>
                  </w:r>
                  <w:r>
                    <w:rPr>
                      <w:rFonts w:hint="eastAsia"/>
                      <w:bCs/>
                      <w:color w:val="auto"/>
                      <w:szCs w:val="21"/>
                      <w:vertAlign w:val="subscript"/>
                    </w:rPr>
                    <w:t>3</w:t>
                  </w:r>
                  <w:r>
                    <w:rPr>
                      <w:bCs/>
                      <w:color w:val="auto"/>
                      <w:szCs w:val="21"/>
                    </w:rPr>
                    <w:t>）经集气罩收集，通过</w:t>
                  </w:r>
                  <w:r>
                    <w:rPr>
                      <w:rFonts w:hint="eastAsia"/>
                      <w:bCs/>
                      <w:color w:val="auto"/>
                      <w:szCs w:val="21"/>
                    </w:rPr>
                    <w:t>1套两级活性炭吸附装置处理达标后由45m高排气筒（DA009）排放。</w:t>
                  </w:r>
                </w:p>
                <w:p w14:paraId="1C43D373">
                  <w:pPr>
                    <w:spacing w:line="276" w:lineRule="auto"/>
                    <w:contextualSpacing/>
                    <w:jc w:val="center"/>
                    <w:rPr>
                      <w:bCs/>
                      <w:color w:val="auto"/>
                      <w:szCs w:val="21"/>
                    </w:rPr>
                  </w:pPr>
                  <w:r>
                    <w:rPr>
                      <w:rFonts w:hint="eastAsia"/>
                      <w:b/>
                      <w:bCs/>
                      <w:color w:val="auto"/>
                      <w:szCs w:val="21"/>
                    </w:rPr>
                    <w:t>无组织废气</w:t>
                  </w:r>
                  <w:r>
                    <w:rPr>
                      <w:rFonts w:hint="eastAsia"/>
                      <w:bCs/>
                      <w:color w:val="auto"/>
                      <w:szCs w:val="21"/>
                    </w:rPr>
                    <w:t>：车间内加强通风。</w:t>
                  </w:r>
                </w:p>
              </w:tc>
              <w:tc>
                <w:tcPr>
                  <w:tcW w:w="921" w:type="pct"/>
                  <w:vAlign w:val="center"/>
                </w:tcPr>
                <w:p w14:paraId="0E78DBEF">
                  <w:pPr>
                    <w:spacing w:line="276" w:lineRule="auto"/>
                    <w:contextualSpacing/>
                    <w:jc w:val="center"/>
                    <w:rPr>
                      <w:bCs/>
                      <w:color w:val="auto"/>
                      <w:szCs w:val="21"/>
                    </w:rPr>
                  </w:pPr>
                  <w:r>
                    <w:rPr>
                      <w:bCs/>
                      <w:color w:val="auto"/>
                      <w:szCs w:val="21"/>
                    </w:rPr>
                    <w:t>新增</w:t>
                  </w:r>
                  <w:r>
                    <w:rPr>
                      <w:rFonts w:hint="eastAsia"/>
                      <w:bCs/>
                      <w:color w:val="auto"/>
                      <w:szCs w:val="21"/>
                    </w:rPr>
                    <w:t>2套两级活性炭吸附装置，一车间喷涂废气经新增排气筒DA010排放；三车间喷涂废气依托现有45m高、内径1.0m的废气排气筒</w:t>
                  </w:r>
                  <w:r>
                    <w:rPr>
                      <w:bCs/>
                      <w:color w:val="auto"/>
                      <w:szCs w:val="21"/>
                    </w:rPr>
                    <w:t>DA009</w:t>
                  </w:r>
                  <w:r>
                    <w:rPr>
                      <w:rFonts w:hint="eastAsia"/>
                      <w:bCs/>
                      <w:color w:val="auto"/>
                      <w:szCs w:val="21"/>
                    </w:rPr>
                    <w:t>排放</w:t>
                  </w:r>
                </w:p>
              </w:tc>
            </w:tr>
            <w:tr w14:paraId="4197CFB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776A07C0">
                  <w:pPr>
                    <w:spacing w:line="276" w:lineRule="auto"/>
                    <w:contextualSpacing/>
                    <w:jc w:val="center"/>
                    <w:rPr>
                      <w:bCs/>
                      <w:color w:val="auto"/>
                      <w:szCs w:val="21"/>
                    </w:rPr>
                  </w:pPr>
                </w:p>
              </w:tc>
              <w:tc>
                <w:tcPr>
                  <w:tcW w:w="847" w:type="pct"/>
                  <w:gridSpan w:val="2"/>
                  <w:vAlign w:val="center"/>
                </w:tcPr>
                <w:p w14:paraId="0CEEDA78">
                  <w:pPr>
                    <w:spacing w:line="276" w:lineRule="auto"/>
                    <w:contextualSpacing/>
                    <w:jc w:val="center"/>
                    <w:rPr>
                      <w:color w:val="auto"/>
                      <w:szCs w:val="21"/>
                    </w:rPr>
                  </w:pPr>
                  <w:r>
                    <w:rPr>
                      <w:color w:val="auto"/>
                      <w:szCs w:val="21"/>
                    </w:rPr>
                    <w:t>废水治理</w:t>
                  </w:r>
                </w:p>
              </w:tc>
              <w:tc>
                <w:tcPr>
                  <w:tcW w:w="1655" w:type="pct"/>
                  <w:vAlign w:val="center"/>
                </w:tcPr>
                <w:p w14:paraId="3676B470">
                  <w:pPr>
                    <w:snapToGrid w:val="0"/>
                    <w:spacing w:line="276" w:lineRule="auto"/>
                    <w:jc w:val="center"/>
                    <w:rPr>
                      <w:bCs/>
                      <w:color w:val="auto"/>
                      <w:szCs w:val="21"/>
                    </w:rPr>
                  </w:pPr>
                  <w:r>
                    <w:rPr>
                      <w:color w:val="auto"/>
                      <w:szCs w:val="21"/>
                    </w:rPr>
                    <w:t>生活污水、生产冷却水、循环水池置换水经厂区污水处理站处理后回用于玻璃生产线。厂区已建污水处理站设计处理规模为100m</w:t>
                  </w:r>
                  <w:r>
                    <w:rPr>
                      <w:color w:val="auto"/>
                      <w:szCs w:val="21"/>
                      <w:vertAlign w:val="superscript"/>
                    </w:rPr>
                    <w:t>3</w:t>
                  </w:r>
                  <w:r>
                    <w:rPr>
                      <w:color w:val="auto"/>
                      <w:szCs w:val="21"/>
                    </w:rPr>
                    <w:t>/d，处理工艺为</w:t>
                  </w:r>
                  <w:r>
                    <w:rPr>
                      <w:rFonts w:ascii="宋体" w:hAnsi="宋体"/>
                      <w:color w:val="auto"/>
                      <w:szCs w:val="21"/>
                    </w:rPr>
                    <w:t>“隔</w:t>
                  </w:r>
                  <w:r>
                    <w:rPr>
                      <w:color w:val="auto"/>
                      <w:szCs w:val="21"/>
                    </w:rPr>
                    <w:t>油-调节-气浮-压力滤器-生物碳</w:t>
                  </w:r>
                  <w:r>
                    <w:rPr>
                      <w:rFonts w:ascii="宋体" w:hAnsi="宋体"/>
                      <w:color w:val="auto"/>
                      <w:szCs w:val="21"/>
                    </w:rPr>
                    <w:t>罐”</w:t>
                  </w:r>
                  <w:r>
                    <w:rPr>
                      <w:color w:val="auto"/>
                      <w:szCs w:val="21"/>
                    </w:rPr>
                    <w:t>。</w:t>
                  </w:r>
                </w:p>
              </w:tc>
              <w:tc>
                <w:tcPr>
                  <w:tcW w:w="1046" w:type="pct"/>
                  <w:vAlign w:val="center"/>
                </w:tcPr>
                <w:p w14:paraId="3329E508">
                  <w:pPr>
                    <w:spacing w:line="276" w:lineRule="auto"/>
                    <w:contextualSpacing/>
                    <w:jc w:val="center"/>
                    <w:rPr>
                      <w:bCs/>
                      <w:color w:val="auto"/>
                      <w:szCs w:val="21"/>
                    </w:rPr>
                  </w:pPr>
                  <w:r>
                    <w:rPr>
                      <w:rFonts w:hint="eastAsia"/>
                      <w:bCs/>
                      <w:color w:val="auto"/>
                      <w:szCs w:val="21"/>
                    </w:rPr>
                    <w:t>/</w:t>
                  </w:r>
                </w:p>
              </w:tc>
              <w:tc>
                <w:tcPr>
                  <w:tcW w:w="921" w:type="pct"/>
                  <w:vAlign w:val="center"/>
                </w:tcPr>
                <w:p w14:paraId="491C3983">
                  <w:pPr>
                    <w:spacing w:line="276" w:lineRule="auto"/>
                    <w:contextualSpacing/>
                    <w:jc w:val="center"/>
                    <w:rPr>
                      <w:bCs/>
                      <w:color w:val="auto"/>
                      <w:szCs w:val="21"/>
                    </w:rPr>
                  </w:pPr>
                  <w:r>
                    <w:rPr>
                      <w:rFonts w:hint="eastAsia"/>
                      <w:bCs/>
                      <w:color w:val="auto"/>
                      <w:szCs w:val="21"/>
                    </w:rPr>
                    <w:t>依托现有</w:t>
                  </w:r>
                </w:p>
              </w:tc>
            </w:tr>
            <w:tr w14:paraId="54C50BA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39DF6E4E">
                  <w:pPr>
                    <w:spacing w:line="276" w:lineRule="auto"/>
                    <w:contextualSpacing/>
                    <w:jc w:val="center"/>
                    <w:rPr>
                      <w:bCs/>
                      <w:color w:val="auto"/>
                      <w:szCs w:val="21"/>
                    </w:rPr>
                  </w:pPr>
                </w:p>
              </w:tc>
              <w:tc>
                <w:tcPr>
                  <w:tcW w:w="847" w:type="pct"/>
                  <w:gridSpan w:val="2"/>
                  <w:vAlign w:val="center"/>
                </w:tcPr>
                <w:p w14:paraId="23056F14">
                  <w:pPr>
                    <w:spacing w:line="276" w:lineRule="auto"/>
                    <w:contextualSpacing/>
                    <w:jc w:val="center"/>
                    <w:rPr>
                      <w:color w:val="auto"/>
                      <w:szCs w:val="21"/>
                    </w:rPr>
                  </w:pPr>
                  <w:r>
                    <w:rPr>
                      <w:color w:val="auto"/>
                      <w:szCs w:val="21"/>
                    </w:rPr>
                    <w:t>噪声治理</w:t>
                  </w:r>
                </w:p>
              </w:tc>
              <w:tc>
                <w:tcPr>
                  <w:tcW w:w="1655" w:type="pct"/>
                  <w:vAlign w:val="center"/>
                </w:tcPr>
                <w:p w14:paraId="5C53E4D8">
                  <w:pPr>
                    <w:snapToGrid w:val="0"/>
                    <w:spacing w:line="276" w:lineRule="auto"/>
                    <w:jc w:val="center"/>
                    <w:rPr>
                      <w:bCs/>
                      <w:color w:val="auto"/>
                      <w:szCs w:val="21"/>
                    </w:rPr>
                  </w:pPr>
                  <w:r>
                    <w:rPr>
                      <w:rFonts w:ascii="CIDFont+F2" w:hAnsi="CIDFont+F2"/>
                      <w:color w:val="auto"/>
                      <w:szCs w:val="21"/>
                    </w:rPr>
                    <w:t>选用低噪声设备，采取隔声、减振、消声等措施</w:t>
                  </w:r>
                </w:p>
              </w:tc>
              <w:tc>
                <w:tcPr>
                  <w:tcW w:w="1046" w:type="pct"/>
                  <w:vAlign w:val="center"/>
                </w:tcPr>
                <w:p w14:paraId="588C6C42">
                  <w:pPr>
                    <w:spacing w:line="276" w:lineRule="auto"/>
                    <w:contextualSpacing/>
                    <w:jc w:val="center"/>
                    <w:rPr>
                      <w:bCs/>
                      <w:color w:val="auto"/>
                      <w:szCs w:val="21"/>
                    </w:rPr>
                  </w:pPr>
                  <w:r>
                    <w:rPr>
                      <w:rFonts w:ascii="CIDFont+F2" w:hAnsi="CIDFont+F2"/>
                      <w:color w:val="auto"/>
                      <w:szCs w:val="21"/>
                    </w:rPr>
                    <w:t>选用低噪声设备，采取隔声、减振、消声等措施</w:t>
                  </w:r>
                </w:p>
              </w:tc>
              <w:tc>
                <w:tcPr>
                  <w:tcW w:w="921" w:type="pct"/>
                  <w:vAlign w:val="center"/>
                </w:tcPr>
                <w:p w14:paraId="417A455F">
                  <w:pPr>
                    <w:spacing w:line="276" w:lineRule="auto"/>
                    <w:contextualSpacing/>
                    <w:jc w:val="center"/>
                    <w:rPr>
                      <w:bCs/>
                      <w:color w:val="auto"/>
                      <w:szCs w:val="21"/>
                    </w:rPr>
                  </w:pPr>
                  <w:r>
                    <w:rPr>
                      <w:rFonts w:hint="eastAsia"/>
                      <w:bCs/>
                      <w:color w:val="auto"/>
                      <w:szCs w:val="21"/>
                    </w:rPr>
                    <w:t>新增</w:t>
                  </w:r>
                </w:p>
              </w:tc>
            </w:tr>
            <w:tr w14:paraId="071A93E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2C04F6E9">
                  <w:pPr>
                    <w:spacing w:line="276" w:lineRule="auto"/>
                    <w:contextualSpacing/>
                    <w:jc w:val="center"/>
                    <w:rPr>
                      <w:bCs/>
                      <w:color w:val="auto"/>
                      <w:szCs w:val="21"/>
                    </w:rPr>
                  </w:pPr>
                </w:p>
              </w:tc>
              <w:tc>
                <w:tcPr>
                  <w:tcW w:w="847" w:type="pct"/>
                  <w:gridSpan w:val="2"/>
                  <w:vAlign w:val="center"/>
                </w:tcPr>
                <w:p w14:paraId="7BE7051B">
                  <w:pPr>
                    <w:spacing w:line="276" w:lineRule="auto"/>
                    <w:contextualSpacing/>
                    <w:jc w:val="center"/>
                    <w:rPr>
                      <w:color w:val="auto"/>
                      <w:szCs w:val="21"/>
                    </w:rPr>
                  </w:pPr>
                  <w:r>
                    <w:rPr>
                      <w:color w:val="auto"/>
                      <w:szCs w:val="21"/>
                    </w:rPr>
                    <w:t>固废治理</w:t>
                  </w:r>
                </w:p>
              </w:tc>
              <w:tc>
                <w:tcPr>
                  <w:tcW w:w="1655" w:type="pct"/>
                  <w:vAlign w:val="center"/>
                </w:tcPr>
                <w:p w14:paraId="75EE0934">
                  <w:pPr>
                    <w:snapToGrid w:val="0"/>
                    <w:spacing w:line="276" w:lineRule="auto"/>
                    <w:jc w:val="center"/>
                    <w:rPr>
                      <w:rFonts w:hint="eastAsia" w:ascii="CIDFont+F2" w:hAnsi="CIDFont+F2"/>
                      <w:color w:val="auto"/>
                      <w:szCs w:val="21"/>
                    </w:rPr>
                  </w:pPr>
                  <w:r>
                    <w:rPr>
                      <w:b/>
                      <w:bCs/>
                      <w:color w:val="auto"/>
                      <w:szCs w:val="21"/>
                    </w:rPr>
                    <w:t>一般固废：</w:t>
                  </w:r>
                  <w:r>
                    <w:rPr>
                      <w:color w:val="auto"/>
                      <w:szCs w:val="21"/>
                    </w:rPr>
                    <w:t>产生的不合格品（废玻璃）收集后暂存于厂区原料库</w:t>
                  </w:r>
                  <w:r>
                    <w:rPr>
                      <w:rFonts w:hint="eastAsia"/>
                      <w:color w:val="auto"/>
                      <w:szCs w:val="21"/>
                    </w:rPr>
                    <w:t>1</w:t>
                  </w:r>
                  <w:r>
                    <w:rPr>
                      <w:color w:val="auto"/>
                      <w:szCs w:val="21"/>
                    </w:rPr>
                    <w:t>，后回用于生产；</w:t>
                  </w:r>
                  <w:r>
                    <w:rPr>
                      <w:bCs/>
                      <w:color w:val="auto"/>
                      <w:szCs w:val="21"/>
                    </w:rPr>
                    <w:t>废包装袋统一收集后返回原厂家回收利用；</w:t>
                  </w:r>
                  <w:r>
                    <w:rPr>
                      <w:rFonts w:ascii="CIDFont+F2" w:hAnsi="CIDFont+F2"/>
                      <w:color w:val="auto"/>
                      <w:szCs w:val="21"/>
                    </w:rPr>
                    <w:t>废分子筛吸附剂和废滤筒收集后由供应商回收综合利用。</w:t>
                  </w:r>
                </w:p>
                <w:p w14:paraId="1CDAEDC5">
                  <w:pPr>
                    <w:snapToGrid w:val="0"/>
                    <w:spacing w:line="276" w:lineRule="auto"/>
                    <w:jc w:val="center"/>
                    <w:rPr>
                      <w:bCs/>
                      <w:color w:val="auto"/>
                      <w:szCs w:val="21"/>
                    </w:rPr>
                  </w:pPr>
                  <w:r>
                    <w:rPr>
                      <w:rFonts w:hint="eastAsia" w:ascii="CIDFont+F2" w:hAnsi="CIDFont+F2"/>
                      <w:b/>
                      <w:color w:val="auto"/>
                      <w:szCs w:val="21"/>
                    </w:rPr>
                    <w:t>危险废物：</w:t>
                  </w:r>
                  <w:r>
                    <w:rPr>
                      <w:bCs/>
                      <w:color w:val="auto"/>
                      <w:szCs w:val="21"/>
                    </w:rPr>
                    <w:t>废机油、废活性炭、废滤芯暂存于东厂区危废暂存间（30m</w:t>
                  </w:r>
                  <w:r>
                    <w:rPr>
                      <w:bCs/>
                      <w:color w:val="auto"/>
                      <w:szCs w:val="21"/>
                      <w:vertAlign w:val="superscript"/>
                    </w:rPr>
                    <w:t>2</w:t>
                  </w:r>
                  <w:r>
                    <w:rPr>
                      <w:bCs/>
                      <w:color w:val="auto"/>
                      <w:szCs w:val="21"/>
                    </w:rPr>
                    <w:t>），并定期委托有资质单位处理。</w:t>
                  </w:r>
                </w:p>
                <w:p w14:paraId="1308F53F">
                  <w:pPr>
                    <w:snapToGrid w:val="0"/>
                    <w:spacing w:line="276" w:lineRule="auto"/>
                    <w:jc w:val="center"/>
                    <w:rPr>
                      <w:bCs/>
                      <w:color w:val="auto"/>
                      <w:szCs w:val="21"/>
                    </w:rPr>
                  </w:pPr>
                  <w:r>
                    <w:rPr>
                      <w:b/>
                      <w:bCs/>
                      <w:color w:val="auto"/>
                      <w:szCs w:val="21"/>
                    </w:rPr>
                    <w:t>生活垃圾：</w:t>
                  </w:r>
                  <w:r>
                    <w:rPr>
                      <w:bCs/>
                      <w:color w:val="auto"/>
                      <w:szCs w:val="21"/>
                    </w:rPr>
                    <w:t>收集后交由环卫部门定期清运处理。</w:t>
                  </w:r>
                </w:p>
              </w:tc>
              <w:tc>
                <w:tcPr>
                  <w:tcW w:w="1046" w:type="pct"/>
                  <w:vAlign w:val="center"/>
                </w:tcPr>
                <w:p w14:paraId="79EACD4F">
                  <w:pPr>
                    <w:snapToGrid w:val="0"/>
                    <w:spacing w:line="276" w:lineRule="auto"/>
                    <w:jc w:val="center"/>
                    <w:rPr>
                      <w:rFonts w:hint="eastAsia" w:ascii="CIDFont+F2" w:hAnsi="CIDFont+F2"/>
                      <w:color w:val="auto"/>
                      <w:szCs w:val="21"/>
                    </w:rPr>
                  </w:pPr>
                  <w:r>
                    <w:rPr>
                      <w:b/>
                      <w:bCs/>
                      <w:color w:val="auto"/>
                      <w:szCs w:val="21"/>
                    </w:rPr>
                    <w:t>一般固废：</w:t>
                  </w:r>
                  <w:r>
                    <w:rPr>
                      <w:rFonts w:hint="eastAsia"/>
                      <w:color w:val="auto"/>
                      <w:szCs w:val="21"/>
                    </w:rPr>
                    <w:t>拟建项目喷涂工序产生的</w:t>
                  </w:r>
                  <w:r>
                    <w:rPr>
                      <w:color w:val="auto"/>
                      <w:szCs w:val="21"/>
                    </w:rPr>
                    <w:t>不合格品（废玻璃制品）收集后暂存于厂区原料库</w:t>
                  </w:r>
                  <w:r>
                    <w:rPr>
                      <w:rFonts w:hint="eastAsia"/>
                      <w:color w:val="auto"/>
                      <w:szCs w:val="21"/>
                    </w:rPr>
                    <w:t>1</w:t>
                  </w:r>
                  <w:r>
                    <w:rPr>
                      <w:color w:val="auto"/>
                      <w:szCs w:val="21"/>
                    </w:rPr>
                    <w:t>，回用于熔化生产工序</w:t>
                  </w:r>
                  <w:r>
                    <w:rPr>
                      <w:rFonts w:ascii="CIDFont+F2" w:hAnsi="CIDFont+F2"/>
                      <w:color w:val="auto"/>
                      <w:szCs w:val="21"/>
                    </w:rPr>
                    <w:t>。</w:t>
                  </w:r>
                </w:p>
                <w:p w14:paraId="177489CE">
                  <w:pPr>
                    <w:snapToGrid w:val="0"/>
                    <w:spacing w:line="276" w:lineRule="auto"/>
                    <w:jc w:val="center"/>
                    <w:rPr>
                      <w:bCs/>
                      <w:color w:val="auto"/>
                      <w:szCs w:val="21"/>
                    </w:rPr>
                  </w:pPr>
                  <w:r>
                    <w:rPr>
                      <w:rFonts w:hint="eastAsia" w:ascii="CIDFont+F2" w:hAnsi="CIDFont+F2"/>
                      <w:b/>
                      <w:color w:val="auto"/>
                      <w:szCs w:val="21"/>
                    </w:rPr>
                    <w:t>危险废物：</w:t>
                  </w:r>
                  <w:r>
                    <w:rPr>
                      <w:rFonts w:hint="eastAsia"/>
                      <w:bCs/>
                      <w:color w:val="auto"/>
                      <w:szCs w:val="21"/>
                    </w:rPr>
                    <w:t>拟建</w:t>
                  </w:r>
                  <w:r>
                    <w:rPr>
                      <w:bCs/>
                      <w:color w:val="auto"/>
                      <w:szCs w:val="21"/>
                    </w:rPr>
                    <w:t>项目新增废活性炭、废包装桶、废漆料暂存于东厂区危废暂存间（30m</w:t>
                  </w:r>
                  <w:r>
                    <w:rPr>
                      <w:bCs/>
                      <w:color w:val="auto"/>
                      <w:szCs w:val="21"/>
                      <w:vertAlign w:val="superscript"/>
                    </w:rPr>
                    <w:t>2</w:t>
                  </w:r>
                  <w:r>
                    <w:rPr>
                      <w:bCs/>
                      <w:color w:val="auto"/>
                      <w:szCs w:val="21"/>
                    </w:rPr>
                    <w:t>），并定期委托有资质单位处理。</w:t>
                  </w:r>
                </w:p>
              </w:tc>
              <w:tc>
                <w:tcPr>
                  <w:tcW w:w="921" w:type="pct"/>
                  <w:vAlign w:val="center"/>
                </w:tcPr>
                <w:p w14:paraId="0CEA1C23">
                  <w:pPr>
                    <w:spacing w:line="276" w:lineRule="auto"/>
                    <w:contextualSpacing/>
                    <w:jc w:val="center"/>
                    <w:rPr>
                      <w:bCs/>
                      <w:color w:val="auto"/>
                      <w:szCs w:val="21"/>
                    </w:rPr>
                  </w:pPr>
                  <w:r>
                    <w:rPr>
                      <w:bCs/>
                      <w:color w:val="auto"/>
                      <w:szCs w:val="21"/>
                    </w:rPr>
                    <w:t>依托现有危废暂存间</w:t>
                  </w:r>
                </w:p>
              </w:tc>
            </w:tr>
            <w:tr w14:paraId="4AFFC4F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0E4935B6">
                  <w:pPr>
                    <w:spacing w:line="276" w:lineRule="auto"/>
                    <w:contextualSpacing/>
                    <w:jc w:val="center"/>
                    <w:rPr>
                      <w:bCs/>
                      <w:color w:val="auto"/>
                      <w:szCs w:val="21"/>
                    </w:rPr>
                  </w:pPr>
                </w:p>
              </w:tc>
              <w:tc>
                <w:tcPr>
                  <w:tcW w:w="847" w:type="pct"/>
                  <w:gridSpan w:val="2"/>
                  <w:vAlign w:val="center"/>
                </w:tcPr>
                <w:p w14:paraId="5DB04A1F">
                  <w:pPr>
                    <w:spacing w:line="276" w:lineRule="auto"/>
                    <w:contextualSpacing/>
                    <w:jc w:val="center"/>
                    <w:rPr>
                      <w:color w:val="auto"/>
                      <w:szCs w:val="21"/>
                    </w:rPr>
                  </w:pPr>
                  <w:r>
                    <w:rPr>
                      <w:color w:val="auto"/>
                      <w:szCs w:val="21"/>
                    </w:rPr>
                    <w:t>地下水</w:t>
                  </w:r>
                  <w:r>
                    <w:rPr>
                      <w:rFonts w:hint="eastAsia"/>
                      <w:color w:val="auto"/>
                      <w:szCs w:val="21"/>
                    </w:rPr>
                    <w:t>、</w:t>
                  </w:r>
                  <w:r>
                    <w:rPr>
                      <w:color w:val="auto"/>
                      <w:szCs w:val="21"/>
                    </w:rPr>
                    <w:t>土壤防治</w:t>
                  </w:r>
                </w:p>
              </w:tc>
              <w:tc>
                <w:tcPr>
                  <w:tcW w:w="1655" w:type="pct"/>
                  <w:vAlign w:val="center"/>
                </w:tcPr>
                <w:p w14:paraId="00C02FA3">
                  <w:pPr>
                    <w:snapToGrid w:val="0"/>
                    <w:spacing w:line="276" w:lineRule="auto"/>
                    <w:jc w:val="center"/>
                    <w:rPr>
                      <w:bCs/>
                      <w:color w:val="auto"/>
                      <w:szCs w:val="21"/>
                    </w:rPr>
                  </w:pPr>
                  <w:r>
                    <w:rPr>
                      <w:rFonts w:hint="eastAsia"/>
                      <w:b/>
                      <w:bCs/>
                      <w:color w:val="auto"/>
                      <w:szCs w:val="21"/>
                    </w:rPr>
                    <w:t>重点防渗：</w:t>
                  </w:r>
                  <w:r>
                    <w:rPr>
                      <w:rFonts w:hint="eastAsia"/>
                      <w:bCs/>
                      <w:color w:val="auto"/>
                      <w:szCs w:val="21"/>
                    </w:rPr>
                    <w:t>污水处理站、危废暂存间等</w:t>
                  </w:r>
                </w:p>
                <w:p w14:paraId="11D599E8">
                  <w:pPr>
                    <w:snapToGrid w:val="0"/>
                    <w:spacing w:line="276" w:lineRule="auto"/>
                    <w:jc w:val="center"/>
                    <w:rPr>
                      <w:bCs/>
                      <w:color w:val="auto"/>
                      <w:szCs w:val="21"/>
                    </w:rPr>
                  </w:pPr>
                  <w:r>
                    <w:rPr>
                      <w:rFonts w:hint="eastAsia"/>
                      <w:b/>
                      <w:bCs/>
                      <w:color w:val="auto"/>
                      <w:szCs w:val="21"/>
                    </w:rPr>
                    <w:t>一般防渗：</w:t>
                  </w:r>
                  <w:r>
                    <w:rPr>
                      <w:rFonts w:hint="eastAsia"/>
                      <w:bCs/>
                      <w:color w:val="auto"/>
                      <w:szCs w:val="21"/>
                    </w:rPr>
                    <w:t>生产厂房、制氧车间、消防水池等</w:t>
                  </w:r>
                </w:p>
                <w:p w14:paraId="170C5B5A">
                  <w:pPr>
                    <w:snapToGrid w:val="0"/>
                    <w:spacing w:line="276" w:lineRule="auto"/>
                    <w:jc w:val="center"/>
                    <w:rPr>
                      <w:bCs/>
                      <w:color w:val="auto"/>
                      <w:szCs w:val="21"/>
                    </w:rPr>
                  </w:pPr>
                  <w:r>
                    <w:rPr>
                      <w:rFonts w:hint="eastAsia"/>
                      <w:b/>
                      <w:bCs/>
                      <w:color w:val="auto"/>
                      <w:szCs w:val="21"/>
                    </w:rPr>
                    <w:t>简单防渗：</w:t>
                  </w:r>
                  <w:r>
                    <w:rPr>
                      <w:rFonts w:hint="eastAsia"/>
                      <w:bCs/>
                      <w:color w:val="auto"/>
                      <w:szCs w:val="21"/>
                    </w:rPr>
                    <w:t>办公区等</w:t>
                  </w:r>
                </w:p>
              </w:tc>
              <w:tc>
                <w:tcPr>
                  <w:tcW w:w="1046" w:type="pct"/>
                  <w:vAlign w:val="center"/>
                </w:tcPr>
                <w:p w14:paraId="2B6AD601">
                  <w:pPr>
                    <w:spacing w:line="276" w:lineRule="auto"/>
                    <w:contextualSpacing/>
                    <w:jc w:val="center"/>
                    <w:rPr>
                      <w:bCs/>
                      <w:color w:val="auto"/>
                      <w:szCs w:val="21"/>
                    </w:rPr>
                  </w:pPr>
                  <w:r>
                    <w:rPr>
                      <w:rFonts w:hint="eastAsia"/>
                      <w:bCs/>
                      <w:color w:val="auto"/>
                      <w:szCs w:val="21"/>
                    </w:rPr>
                    <w:t>/</w:t>
                  </w:r>
                </w:p>
              </w:tc>
              <w:tc>
                <w:tcPr>
                  <w:tcW w:w="921" w:type="pct"/>
                  <w:vAlign w:val="center"/>
                </w:tcPr>
                <w:p w14:paraId="147449D2">
                  <w:pPr>
                    <w:spacing w:line="276" w:lineRule="auto"/>
                    <w:contextualSpacing/>
                    <w:jc w:val="center"/>
                    <w:rPr>
                      <w:bCs/>
                      <w:color w:val="auto"/>
                      <w:szCs w:val="21"/>
                    </w:rPr>
                  </w:pPr>
                  <w:r>
                    <w:rPr>
                      <w:bCs/>
                      <w:color w:val="auto"/>
                      <w:szCs w:val="21"/>
                    </w:rPr>
                    <w:t>依托现有</w:t>
                  </w:r>
                </w:p>
              </w:tc>
            </w:tr>
            <w:tr w14:paraId="028122E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pct"/>
                  <w:vMerge w:val="continue"/>
                  <w:vAlign w:val="center"/>
                </w:tcPr>
                <w:p w14:paraId="113B86C7">
                  <w:pPr>
                    <w:spacing w:line="276" w:lineRule="auto"/>
                    <w:contextualSpacing/>
                    <w:jc w:val="center"/>
                    <w:rPr>
                      <w:bCs/>
                      <w:color w:val="auto"/>
                      <w:szCs w:val="21"/>
                    </w:rPr>
                  </w:pPr>
                </w:p>
              </w:tc>
              <w:tc>
                <w:tcPr>
                  <w:tcW w:w="847" w:type="pct"/>
                  <w:gridSpan w:val="2"/>
                  <w:vAlign w:val="center"/>
                </w:tcPr>
                <w:p w14:paraId="739D54FF">
                  <w:pPr>
                    <w:spacing w:line="276" w:lineRule="auto"/>
                    <w:contextualSpacing/>
                    <w:jc w:val="center"/>
                    <w:rPr>
                      <w:color w:val="auto"/>
                      <w:szCs w:val="21"/>
                    </w:rPr>
                  </w:pPr>
                  <w:r>
                    <w:rPr>
                      <w:color w:val="auto"/>
                      <w:szCs w:val="21"/>
                    </w:rPr>
                    <w:t>环境风险防范措施和应急措施</w:t>
                  </w:r>
                </w:p>
              </w:tc>
              <w:tc>
                <w:tcPr>
                  <w:tcW w:w="1655" w:type="pct"/>
                  <w:vAlign w:val="center"/>
                </w:tcPr>
                <w:p w14:paraId="6B97F764">
                  <w:pPr>
                    <w:snapToGrid w:val="0"/>
                    <w:spacing w:line="276" w:lineRule="auto"/>
                    <w:jc w:val="center"/>
                    <w:rPr>
                      <w:bCs/>
                      <w:color w:val="auto"/>
                      <w:szCs w:val="21"/>
                    </w:rPr>
                  </w:pPr>
                  <w:r>
                    <w:rPr>
                      <w:bCs/>
                      <w:color w:val="auto"/>
                      <w:szCs w:val="21"/>
                    </w:rPr>
                    <w:t>危废暂存间设置防渗托盘、地面采用重点防渗防腐措施，厂区内配备相关风险物资</w:t>
                  </w:r>
                </w:p>
              </w:tc>
              <w:tc>
                <w:tcPr>
                  <w:tcW w:w="1046" w:type="pct"/>
                  <w:vAlign w:val="center"/>
                </w:tcPr>
                <w:p w14:paraId="432F404C">
                  <w:pPr>
                    <w:spacing w:line="276" w:lineRule="auto"/>
                    <w:contextualSpacing/>
                    <w:jc w:val="center"/>
                    <w:rPr>
                      <w:bCs/>
                      <w:color w:val="auto"/>
                      <w:szCs w:val="21"/>
                    </w:rPr>
                  </w:pPr>
                  <w:r>
                    <w:rPr>
                      <w:rFonts w:hint="eastAsia"/>
                      <w:bCs/>
                      <w:color w:val="auto"/>
                      <w:szCs w:val="21"/>
                    </w:rPr>
                    <w:t>/</w:t>
                  </w:r>
                </w:p>
              </w:tc>
              <w:tc>
                <w:tcPr>
                  <w:tcW w:w="921" w:type="pct"/>
                  <w:vAlign w:val="center"/>
                </w:tcPr>
                <w:p w14:paraId="7D612F89">
                  <w:pPr>
                    <w:spacing w:line="276" w:lineRule="auto"/>
                    <w:contextualSpacing/>
                    <w:jc w:val="center"/>
                    <w:rPr>
                      <w:bCs/>
                      <w:color w:val="auto"/>
                      <w:szCs w:val="21"/>
                    </w:rPr>
                  </w:pPr>
                  <w:r>
                    <w:rPr>
                      <w:bCs/>
                      <w:color w:val="auto"/>
                      <w:szCs w:val="21"/>
                    </w:rPr>
                    <w:t>依托现有</w:t>
                  </w:r>
                </w:p>
              </w:tc>
            </w:tr>
          </w:tbl>
          <w:p w14:paraId="7721EF6F">
            <w:pPr>
              <w:spacing w:line="360" w:lineRule="auto"/>
              <w:ind w:firstLine="482" w:firstLineChars="200"/>
              <w:rPr>
                <w:b/>
                <w:color w:val="auto"/>
                <w:sz w:val="24"/>
              </w:rPr>
            </w:pPr>
            <w:r>
              <w:rPr>
                <w:rFonts w:hint="eastAsia"/>
                <w:b/>
                <w:color w:val="auto"/>
                <w:sz w:val="24"/>
              </w:rPr>
              <w:t>本次改建项目与现有工程依托可行性分析如下：</w:t>
            </w:r>
          </w:p>
          <w:p w14:paraId="26B4C48A">
            <w:pPr>
              <w:spacing w:line="360" w:lineRule="auto"/>
              <w:ind w:firstLine="480" w:firstLineChars="200"/>
              <w:jc w:val="center"/>
              <w:rPr>
                <w:b/>
                <w:color w:val="auto"/>
                <w:sz w:val="24"/>
              </w:rPr>
            </w:pPr>
            <w:r>
              <w:rPr>
                <w:rFonts w:hAnsi="黑体" w:eastAsia="黑体"/>
                <w:color w:val="auto"/>
                <w:sz w:val="24"/>
                <w:szCs w:val="24"/>
              </w:rPr>
              <w:t>表</w:t>
            </w:r>
            <w:r>
              <w:rPr>
                <w:rFonts w:hint="eastAsia" w:hAnsi="黑体" w:eastAsia="黑体"/>
                <w:color w:val="auto"/>
                <w:sz w:val="24"/>
                <w:szCs w:val="24"/>
              </w:rPr>
              <w:t>12</w:t>
            </w:r>
            <w:r>
              <w:rPr>
                <w:rFonts w:hAnsi="黑体" w:eastAsia="黑体"/>
                <w:color w:val="auto"/>
                <w:sz w:val="24"/>
                <w:szCs w:val="24"/>
              </w:rPr>
              <w:t xml:space="preserve">  </w:t>
            </w:r>
            <w:r>
              <w:rPr>
                <w:rFonts w:hint="eastAsia" w:hAnsi="黑体" w:eastAsia="黑体"/>
                <w:color w:val="auto"/>
                <w:sz w:val="24"/>
                <w:szCs w:val="24"/>
              </w:rPr>
              <w:t>现有工程依托可行性分析</w:t>
            </w:r>
          </w:p>
          <w:tbl>
            <w:tblPr>
              <w:tblStyle w:val="35"/>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1418"/>
              <w:gridCol w:w="2409"/>
              <w:gridCol w:w="2694"/>
              <w:gridCol w:w="796"/>
            </w:tblGrid>
            <w:tr w14:paraId="242CFA9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vAlign w:val="center"/>
                </w:tcPr>
                <w:p w14:paraId="3BFF9B36">
                  <w:pPr>
                    <w:spacing w:line="276" w:lineRule="auto"/>
                    <w:jc w:val="center"/>
                    <w:rPr>
                      <w:b/>
                      <w:color w:val="auto"/>
                      <w:szCs w:val="21"/>
                    </w:rPr>
                  </w:pPr>
                  <w:r>
                    <w:rPr>
                      <w:rFonts w:hint="eastAsia"/>
                      <w:b/>
                      <w:color w:val="auto"/>
                      <w:szCs w:val="21"/>
                    </w:rPr>
                    <w:t>工程类别</w:t>
                  </w:r>
                </w:p>
              </w:tc>
              <w:tc>
                <w:tcPr>
                  <w:tcW w:w="1418" w:type="dxa"/>
                  <w:vAlign w:val="center"/>
                </w:tcPr>
                <w:p w14:paraId="64FC7133">
                  <w:pPr>
                    <w:spacing w:line="276" w:lineRule="auto"/>
                    <w:jc w:val="center"/>
                    <w:rPr>
                      <w:b/>
                      <w:color w:val="auto"/>
                      <w:szCs w:val="21"/>
                    </w:rPr>
                  </w:pPr>
                  <w:r>
                    <w:rPr>
                      <w:rFonts w:hint="eastAsia"/>
                      <w:b/>
                      <w:color w:val="auto"/>
                      <w:szCs w:val="21"/>
                    </w:rPr>
                    <w:t>单项工程</w:t>
                  </w:r>
                </w:p>
              </w:tc>
              <w:tc>
                <w:tcPr>
                  <w:tcW w:w="2409" w:type="dxa"/>
                  <w:vAlign w:val="center"/>
                </w:tcPr>
                <w:p w14:paraId="5CC8E3F5">
                  <w:pPr>
                    <w:spacing w:line="276" w:lineRule="auto"/>
                    <w:jc w:val="center"/>
                    <w:rPr>
                      <w:b/>
                      <w:color w:val="auto"/>
                      <w:szCs w:val="21"/>
                    </w:rPr>
                  </w:pPr>
                  <w:r>
                    <w:rPr>
                      <w:rFonts w:hint="eastAsia"/>
                      <w:b/>
                      <w:color w:val="auto"/>
                      <w:szCs w:val="21"/>
                    </w:rPr>
                    <w:t>依托内容</w:t>
                  </w:r>
                </w:p>
              </w:tc>
              <w:tc>
                <w:tcPr>
                  <w:tcW w:w="2694" w:type="dxa"/>
                  <w:vAlign w:val="center"/>
                </w:tcPr>
                <w:p w14:paraId="31860681">
                  <w:pPr>
                    <w:spacing w:line="276" w:lineRule="auto"/>
                    <w:jc w:val="center"/>
                    <w:rPr>
                      <w:b/>
                      <w:color w:val="auto"/>
                      <w:szCs w:val="21"/>
                    </w:rPr>
                  </w:pPr>
                  <w:r>
                    <w:rPr>
                      <w:rFonts w:hint="eastAsia"/>
                      <w:b/>
                      <w:color w:val="auto"/>
                      <w:szCs w:val="21"/>
                    </w:rPr>
                    <w:t>可行性分析</w:t>
                  </w:r>
                </w:p>
              </w:tc>
              <w:tc>
                <w:tcPr>
                  <w:tcW w:w="796" w:type="dxa"/>
                  <w:vAlign w:val="center"/>
                </w:tcPr>
                <w:p w14:paraId="04C7DCD1">
                  <w:pPr>
                    <w:spacing w:line="276" w:lineRule="auto"/>
                    <w:jc w:val="center"/>
                    <w:rPr>
                      <w:b/>
                      <w:color w:val="auto"/>
                      <w:szCs w:val="21"/>
                    </w:rPr>
                  </w:pPr>
                  <w:r>
                    <w:rPr>
                      <w:rFonts w:hint="eastAsia"/>
                      <w:b/>
                      <w:color w:val="auto"/>
                      <w:szCs w:val="21"/>
                    </w:rPr>
                    <w:t>结论</w:t>
                  </w:r>
                </w:p>
              </w:tc>
            </w:tr>
            <w:tr w14:paraId="7E166B5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vMerge w:val="restart"/>
                  <w:vAlign w:val="center"/>
                </w:tcPr>
                <w:p w14:paraId="2C80E89A">
                  <w:pPr>
                    <w:spacing w:line="276" w:lineRule="auto"/>
                    <w:jc w:val="center"/>
                    <w:rPr>
                      <w:color w:val="auto"/>
                      <w:szCs w:val="21"/>
                    </w:rPr>
                  </w:pPr>
                  <w:r>
                    <w:rPr>
                      <w:rFonts w:hint="eastAsia"/>
                      <w:color w:val="auto"/>
                      <w:szCs w:val="21"/>
                    </w:rPr>
                    <w:t>主体工程</w:t>
                  </w:r>
                </w:p>
              </w:tc>
              <w:tc>
                <w:tcPr>
                  <w:tcW w:w="1418" w:type="dxa"/>
                  <w:vAlign w:val="center"/>
                </w:tcPr>
                <w:p w14:paraId="348E54B3">
                  <w:pPr>
                    <w:spacing w:line="276" w:lineRule="auto"/>
                    <w:contextualSpacing/>
                    <w:jc w:val="center"/>
                    <w:rPr>
                      <w:bCs/>
                      <w:color w:val="auto"/>
                      <w:szCs w:val="21"/>
                    </w:rPr>
                  </w:pPr>
                  <w:r>
                    <w:rPr>
                      <w:rFonts w:hint="eastAsia"/>
                      <w:bCs/>
                      <w:color w:val="auto"/>
                      <w:szCs w:val="21"/>
                    </w:rPr>
                    <w:t>一车间（年产60000吨玻璃制品）</w:t>
                  </w:r>
                </w:p>
              </w:tc>
              <w:tc>
                <w:tcPr>
                  <w:tcW w:w="2409" w:type="dxa"/>
                  <w:vAlign w:val="center"/>
                </w:tcPr>
                <w:p w14:paraId="120FF657">
                  <w:pPr>
                    <w:snapToGrid w:val="0"/>
                    <w:spacing w:line="276" w:lineRule="auto"/>
                    <w:jc w:val="center"/>
                    <w:rPr>
                      <w:bCs/>
                      <w:color w:val="auto"/>
                      <w:szCs w:val="21"/>
                    </w:rPr>
                  </w:pPr>
                  <w:r>
                    <w:rPr>
                      <w:rFonts w:hint="eastAsia"/>
                      <w:color w:val="auto"/>
                      <w:szCs w:val="21"/>
                    </w:rPr>
                    <w:t>依托</w:t>
                  </w:r>
                  <w:r>
                    <w:rPr>
                      <w:color w:val="auto"/>
                      <w:szCs w:val="21"/>
                    </w:rPr>
                    <w:t>一车间内</w:t>
                  </w:r>
                  <w:r>
                    <w:rPr>
                      <w:rFonts w:hint="eastAsia"/>
                      <w:bCs/>
                      <w:color w:val="auto"/>
                      <w:szCs w:val="21"/>
                    </w:rPr>
                    <w:t>已建设的1座92m</w:t>
                  </w:r>
                  <w:r>
                    <w:rPr>
                      <w:rFonts w:hint="eastAsia"/>
                      <w:bCs/>
                      <w:color w:val="auto"/>
                      <w:szCs w:val="21"/>
                      <w:vertAlign w:val="superscript"/>
                    </w:rPr>
                    <w:t>2</w:t>
                  </w:r>
                  <w:r>
                    <w:rPr>
                      <w:rFonts w:hint="eastAsia"/>
                      <w:bCs/>
                      <w:color w:val="auto"/>
                      <w:szCs w:val="21"/>
                    </w:rPr>
                    <w:t>天然气多通道蓄热室马蹄焰窑炉（1#）及配套的压制机、退火窑等生产设备</w:t>
                  </w:r>
                </w:p>
              </w:tc>
              <w:tc>
                <w:tcPr>
                  <w:tcW w:w="2694" w:type="dxa"/>
                  <w:vAlign w:val="center"/>
                </w:tcPr>
                <w:p w14:paraId="6B959472">
                  <w:pPr>
                    <w:spacing w:line="276" w:lineRule="auto"/>
                    <w:jc w:val="center"/>
                    <w:rPr>
                      <w:color w:val="auto"/>
                      <w:szCs w:val="21"/>
                    </w:rPr>
                  </w:pPr>
                  <w:r>
                    <w:rPr>
                      <w:rFonts w:hint="eastAsia"/>
                      <w:color w:val="auto"/>
                      <w:szCs w:val="21"/>
                    </w:rPr>
                    <w:t>现有1#玻璃窑炉、压制机、退火窑等生产设备原用于生产普通玻璃制品，本项目建成后，新增1套热端喷涂装置用于成型热玻璃制品着色加工，形成年产750万只着色玻璃制品的生产规模，不改变玻璃液生产规模</w:t>
                  </w:r>
                </w:p>
              </w:tc>
              <w:tc>
                <w:tcPr>
                  <w:tcW w:w="796" w:type="dxa"/>
                  <w:vAlign w:val="center"/>
                </w:tcPr>
                <w:p w14:paraId="6DE34165">
                  <w:pPr>
                    <w:spacing w:line="276" w:lineRule="auto"/>
                    <w:jc w:val="center"/>
                    <w:rPr>
                      <w:color w:val="auto"/>
                      <w:szCs w:val="21"/>
                    </w:rPr>
                  </w:pPr>
                  <w:r>
                    <w:rPr>
                      <w:rFonts w:hint="eastAsia"/>
                      <w:color w:val="auto"/>
                      <w:szCs w:val="21"/>
                    </w:rPr>
                    <w:t>可行</w:t>
                  </w:r>
                </w:p>
              </w:tc>
            </w:tr>
            <w:tr w14:paraId="5158F1E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vMerge w:val="continue"/>
                  <w:vAlign w:val="center"/>
                </w:tcPr>
                <w:p w14:paraId="48EE2EE5">
                  <w:pPr>
                    <w:spacing w:line="276" w:lineRule="auto"/>
                    <w:jc w:val="center"/>
                    <w:rPr>
                      <w:color w:val="auto"/>
                      <w:szCs w:val="21"/>
                    </w:rPr>
                  </w:pPr>
                </w:p>
              </w:tc>
              <w:tc>
                <w:tcPr>
                  <w:tcW w:w="1418" w:type="dxa"/>
                  <w:vAlign w:val="center"/>
                </w:tcPr>
                <w:p w14:paraId="17C44DA9">
                  <w:pPr>
                    <w:spacing w:line="276" w:lineRule="auto"/>
                    <w:contextualSpacing/>
                    <w:jc w:val="center"/>
                    <w:rPr>
                      <w:bCs/>
                      <w:color w:val="auto"/>
                      <w:szCs w:val="21"/>
                    </w:rPr>
                  </w:pPr>
                  <w:r>
                    <w:rPr>
                      <w:rFonts w:hint="eastAsia"/>
                      <w:bCs/>
                      <w:color w:val="auto"/>
                      <w:szCs w:val="21"/>
                    </w:rPr>
                    <w:t>三车间（年产30000吨玻璃制品）</w:t>
                  </w:r>
                </w:p>
              </w:tc>
              <w:tc>
                <w:tcPr>
                  <w:tcW w:w="2409" w:type="dxa"/>
                  <w:vAlign w:val="center"/>
                </w:tcPr>
                <w:p w14:paraId="476DD7B3">
                  <w:pPr>
                    <w:snapToGrid w:val="0"/>
                    <w:spacing w:line="276" w:lineRule="auto"/>
                    <w:jc w:val="center"/>
                    <w:rPr>
                      <w:bCs/>
                      <w:color w:val="auto"/>
                      <w:szCs w:val="21"/>
                    </w:rPr>
                  </w:pPr>
                  <w:r>
                    <w:rPr>
                      <w:rFonts w:hint="eastAsia"/>
                      <w:color w:val="auto"/>
                      <w:szCs w:val="21"/>
                    </w:rPr>
                    <w:t>依托三</w:t>
                  </w:r>
                  <w:r>
                    <w:rPr>
                      <w:color w:val="auto"/>
                      <w:szCs w:val="21"/>
                    </w:rPr>
                    <w:t>车间内</w:t>
                  </w:r>
                  <w:r>
                    <w:rPr>
                      <w:rFonts w:hint="eastAsia"/>
                      <w:bCs/>
                      <w:color w:val="auto"/>
                      <w:szCs w:val="21"/>
                    </w:rPr>
                    <w:t>已建设的1座90m</w:t>
                  </w:r>
                  <w:r>
                    <w:rPr>
                      <w:rFonts w:hint="eastAsia"/>
                      <w:bCs/>
                      <w:color w:val="auto"/>
                      <w:szCs w:val="21"/>
                      <w:vertAlign w:val="superscript"/>
                    </w:rPr>
                    <w:t>2</w:t>
                  </w:r>
                  <w:r>
                    <w:rPr>
                      <w:rFonts w:hint="eastAsia"/>
                      <w:bCs/>
                      <w:color w:val="auto"/>
                      <w:szCs w:val="21"/>
                    </w:rPr>
                    <w:t>天然气多通道蓄热室马蹄焰窑炉（3#）及配套的压制机、退火窑等生产设备</w:t>
                  </w:r>
                </w:p>
              </w:tc>
              <w:tc>
                <w:tcPr>
                  <w:tcW w:w="2694" w:type="dxa"/>
                  <w:vAlign w:val="center"/>
                </w:tcPr>
                <w:p w14:paraId="2C11A2C0">
                  <w:pPr>
                    <w:spacing w:line="276" w:lineRule="auto"/>
                    <w:jc w:val="center"/>
                    <w:rPr>
                      <w:color w:val="auto"/>
                      <w:szCs w:val="21"/>
                    </w:rPr>
                  </w:pPr>
                  <w:r>
                    <w:rPr>
                      <w:rFonts w:hint="eastAsia"/>
                      <w:color w:val="auto"/>
                      <w:szCs w:val="21"/>
                    </w:rPr>
                    <w:t>现有3#玻璃窑炉、压制机、退火窑等生产设备原用于生产普通玻璃制品，本项目建成后，新增1套热端喷涂装置用于成型热玻璃制品着色加工，形成年产750万只着色玻璃制品的生产规模，不改变玻璃液生产规模</w:t>
                  </w:r>
                </w:p>
              </w:tc>
              <w:tc>
                <w:tcPr>
                  <w:tcW w:w="796" w:type="dxa"/>
                  <w:vAlign w:val="center"/>
                </w:tcPr>
                <w:p w14:paraId="56C65D76">
                  <w:pPr>
                    <w:spacing w:line="276" w:lineRule="auto"/>
                    <w:jc w:val="center"/>
                    <w:rPr>
                      <w:color w:val="auto"/>
                      <w:szCs w:val="21"/>
                    </w:rPr>
                  </w:pPr>
                  <w:r>
                    <w:rPr>
                      <w:rFonts w:hint="eastAsia"/>
                      <w:color w:val="auto"/>
                      <w:szCs w:val="21"/>
                    </w:rPr>
                    <w:t>可行</w:t>
                  </w:r>
                </w:p>
              </w:tc>
            </w:tr>
            <w:tr w14:paraId="1B19894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vMerge w:val="restart"/>
                  <w:vAlign w:val="center"/>
                </w:tcPr>
                <w:p w14:paraId="3156223B">
                  <w:pPr>
                    <w:spacing w:line="276" w:lineRule="auto"/>
                    <w:jc w:val="center"/>
                    <w:rPr>
                      <w:color w:val="auto"/>
                      <w:szCs w:val="21"/>
                    </w:rPr>
                  </w:pPr>
                  <w:r>
                    <w:rPr>
                      <w:rFonts w:hint="eastAsia"/>
                      <w:color w:val="auto"/>
                      <w:szCs w:val="21"/>
                    </w:rPr>
                    <w:t>环保工程</w:t>
                  </w:r>
                </w:p>
              </w:tc>
              <w:tc>
                <w:tcPr>
                  <w:tcW w:w="1418" w:type="dxa"/>
                  <w:vAlign w:val="center"/>
                </w:tcPr>
                <w:p w14:paraId="4F75E955">
                  <w:pPr>
                    <w:spacing w:line="276" w:lineRule="auto"/>
                    <w:jc w:val="center"/>
                    <w:rPr>
                      <w:color w:val="auto"/>
                      <w:szCs w:val="21"/>
                    </w:rPr>
                  </w:pPr>
                  <w:r>
                    <w:rPr>
                      <w:rFonts w:hint="eastAsia"/>
                      <w:color w:val="auto"/>
                      <w:szCs w:val="21"/>
                    </w:rPr>
                    <w:t>废气治理</w:t>
                  </w:r>
                </w:p>
              </w:tc>
              <w:tc>
                <w:tcPr>
                  <w:tcW w:w="2409" w:type="dxa"/>
                  <w:vAlign w:val="center"/>
                </w:tcPr>
                <w:p w14:paraId="40F82663">
                  <w:pPr>
                    <w:spacing w:line="276" w:lineRule="auto"/>
                    <w:jc w:val="center"/>
                    <w:rPr>
                      <w:color w:val="auto"/>
                      <w:szCs w:val="21"/>
                    </w:rPr>
                  </w:pPr>
                  <w:r>
                    <w:rPr>
                      <w:rFonts w:hint="eastAsia"/>
                      <w:color w:val="auto"/>
                      <w:szCs w:val="21"/>
                    </w:rPr>
                    <w:t>三车间玻璃生产线新增喷涂废气经集气罩收集后通过两级活性炭吸附装置处理后依托现有加工车间废气排气筒（DA009）排放</w:t>
                  </w:r>
                </w:p>
              </w:tc>
              <w:tc>
                <w:tcPr>
                  <w:tcW w:w="2694" w:type="dxa"/>
                  <w:vAlign w:val="center"/>
                </w:tcPr>
                <w:p w14:paraId="527B2390">
                  <w:pPr>
                    <w:spacing w:line="276" w:lineRule="auto"/>
                    <w:jc w:val="center"/>
                    <w:rPr>
                      <w:color w:val="auto"/>
                      <w:szCs w:val="21"/>
                    </w:rPr>
                  </w:pPr>
                  <w:r>
                    <w:rPr>
                      <w:rFonts w:hint="eastAsia"/>
                      <w:color w:val="auto"/>
                      <w:szCs w:val="21"/>
                    </w:rPr>
                    <w:t>本次改建项目喷涂工序产生的喷涂废气主要污染物为VOCs（以非甲烷总烃计），现有项目排气筒DA009排放废气污染物包括非甲烷总烃，因此本次设计三车间喷涂废气经收集处理后合并至现有废气排气筒DA009排放，减少排气筒数量；现有项目DA009排气筒内径约1.0m，风量约25000m</w:t>
                  </w:r>
                  <w:r>
                    <w:rPr>
                      <w:rFonts w:hint="eastAsia"/>
                      <w:color w:val="auto"/>
                      <w:szCs w:val="21"/>
                      <w:vertAlign w:val="superscript"/>
                    </w:rPr>
                    <w:t>3</w:t>
                  </w:r>
                  <w:r>
                    <w:rPr>
                      <w:rFonts w:hint="eastAsia"/>
                      <w:color w:val="auto"/>
                      <w:szCs w:val="21"/>
                    </w:rPr>
                    <w:t>/h，本次改建后排气筒出口总风量约28000m</w:t>
                  </w:r>
                  <w:r>
                    <w:rPr>
                      <w:rFonts w:hint="eastAsia"/>
                      <w:color w:val="auto"/>
                      <w:szCs w:val="21"/>
                      <w:vertAlign w:val="superscript"/>
                    </w:rPr>
                    <w:t>3</w:t>
                  </w:r>
                  <w:r>
                    <w:rPr>
                      <w:rFonts w:hint="eastAsia"/>
                      <w:color w:val="auto"/>
                      <w:szCs w:val="21"/>
                    </w:rPr>
                    <w:t>/h，风速约10m/s，可满足废气排放要求；由于一车间与排气筒DA009距离较远，因此本次新增排气筒（DA010）用于一车间喷涂废气排放</w:t>
                  </w:r>
                </w:p>
              </w:tc>
              <w:tc>
                <w:tcPr>
                  <w:tcW w:w="796" w:type="dxa"/>
                  <w:vAlign w:val="center"/>
                </w:tcPr>
                <w:p w14:paraId="24CF1E69">
                  <w:pPr>
                    <w:spacing w:line="276" w:lineRule="auto"/>
                    <w:jc w:val="center"/>
                    <w:rPr>
                      <w:color w:val="auto"/>
                      <w:szCs w:val="21"/>
                    </w:rPr>
                  </w:pPr>
                  <w:r>
                    <w:rPr>
                      <w:rFonts w:hint="eastAsia"/>
                      <w:color w:val="auto"/>
                      <w:szCs w:val="21"/>
                    </w:rPr>
                    <w:t>可行</w:t>
                  </w:r>
                </w:p>
              </w:tc>
            </w:tr>
            <w:tr w14:paraId="2B12240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vMerge w:val="continue"/>
                  <w:vAlign w:val="center"/>
                </w:tcPr>
                <w:p w14:paraId="0B1628D4">
                  <w:pPr>
                    <w:spacing w:line="276" w:lineRule="auto"/>
                    <w:jc w:val="center"/>
                    <w:rPr>
                      <w:color w:val="auto"/>
                      <w:szCs w:val="21"/>
                    </w:rPr>
                  </w:pPr>
                </w:p>
              </w:tc>
              <w:tc>
                <w:tcPr>
                  <w:tcW w:w="1418" w:type="dxa"/>
                  <w:vAlign w:val="center"/>
                </w:tcPr>
                <w:p w14:paraId="7FC789C6">
                  <w:pPr>
                    <w:spacing w:line="276" w:lineRule="auto"/>
                    <w:jc w:val="center"/>
                    <w:rPr>
                      <w:color w:val="auto"/>
                      <w:szCs w:val="21"/>
                    </w:rPr>
                  </w:pPr>
                  <w:r>
                    <w:rPr>
                      <w:rFonts w:hint="eastAsia"/>
                      <w:color w:val="auto"/>
                      <w:szCs w:val="21"/>
                    </w:rPr>
                    <w:t>固废治理</w:t>
                  </w:r>
                </w:p>
              </w:tc>
              <w:tc>
                <w:tcPr>
                  <w:tcW w:w="2409" w:type="dxa"/>
                  <w:vAlign w:val="center"/>
                </w:tcPr>
                <w:p w14:paraId="3651051B">
                  <w:pPr>
                    <w:spacing w:line="276" w:lineRule="auto"/>
                    <w:jc w:val="center"/>
                    <w:rPr>
                      <w:color w:val="auto"/>
                      <w:szCs w:val="21"/>
                    </w:rPr>
                  </w:pPr>
                  <w:r>
                    <w:rPr>
                      <w:rFonts w:hint="eastAsia"/>
                      <w:color w:val="auto"/>
                      <w:szCs w:val="21"/>
                    </w:rPr>
                    <w:t>依托厂区现有占地面积30m</w:t>
                  </w:r>
                  <w:r>
                    <w:rPr>
                      <w:rFonts w:hint="eastAsia"/>
                      <w:color w:val="auto"/>
                      <w:szCs w:val="21"/>
                      <w:vertAlign w:val="superscript"/>
                    </w:rPr>
                    <w:t>2</w:t>
                  </w:r>
                  <w:r>
                    <w:rPr>
                      <w:rFonts w:hint="eastAsia"/>
                      <w:color w:val="auto"/>
                      <w:szCs w:val="21"/>
                    </w:rPr>
                    <w:t>的危废暂存间进行废活性炭等危废暂存</w:t>
                  </w:r>
                </w:p>
              </w:tc>
              <w:tc>
                <w:tcPr>
                  <w:tcW w:w="2694" w:type="dxa"/>
                  <w:vAlign w:val="center"/>
                </w:tcPr>
                <w:p w14:paraId="40FD66EC">
                  <w:pPr>
                    <w:spacing w:line="276" w:lineRule="auto"/>
                    <w:jc w:val="center"/>
                    <w:rPr>
                      <w:color w:val="auto"/>
                      <w:szCs w:val="21"/>
                    </w:rPr>
                  </w:pPr>
                  <w:r>
                    <w:rPr>
                      <w:rFonts w:hint="eastAsia"/>
                      <w:color w:val="auto"/>
                      <w:szCs w:val="21"/>
                    </w:rPr>
                    <w:t>危废暂存间现有危废最大储存时占地面积约8m</w:t>
                  </w:r>
                  <w:r>
                    <w:rPr>
                      <w:rFonts w:hint="eastAsia"/>
                      <w:color w:val="auto"/>
                      <w:szCs w:val="21"/>
                      <w:vertAlign w:val="superscript"/>
                    </w:rPr>
                    <w:t>2</w:t>
                  </w:r>
                  <w:r>
                    <w:rPr>
                      <w:rFonts w:hint="eastAsia"/>
                      <w:color w:val="auto"/>
                      <w:szCs w:val="21"/>
                    </w:rPr>
                    <w:t>，剩余22m</w:t>
                  </w:r>
                  <w:r>
                    <w:rPr>
                      <w:rFonts w:hint="eastAsia"/>
                      <w:color w:val="auto"/>
                      <w:szCs w:val="21"/>
                      <w:vertAlign w:val="superscript"/>
                    </w:rPr>
                    <w:t>2</w:t>
                  </w:r>
                  <w:r>
                    <w:rPr>
                      <w:rFonts w:hint="eastAsia"/>
                      <w:color w:val="auto"/>
                      <w:szCs w:val="21"/>
                    </w:rPr>
                    <w:t>可满足本次改建项目危废最大储存量</w:t>
                  </w:r>
                </w:p>
              </w:tc>
              <w:tc>
                <w:tcPr>
                  <w:tcW w:w="796" w:type="dxa"/>
                  <w:vAlign w:val="center"/>
                </w:tcPr>
                <w:p w14:paraId="2B44CD50">
                  <w:pPr>
                    <w:spacing w:line="276" w:lineRule="auto"/>
                    <w:jc w:val="center"/>
                    <w:rPr>
                      <w:color w:val="auto"/>
                      <w:szCs w:val="21"/>
                    </w:rPr>
                  </w:pPr>
                  <w:r>
                    <w:rPr>
                      <w:rFonts w:hint="eastAsia"/>
                      <w:color w:val="auto"/>
                      <w:szCs w:val="21"/>
                    </w:rPr>
                    <w:t>可行</w:t>
                  </w:r>
                </w:p>
              </w:tc>
            </w:tr>
          </w:tbl>
          <w:p w14:paraId="295FE62E">
            <w:pPr>
              <w:spacing w:line="360" w:lineRule="auto"/>
              <w:ind w:firstLine="482" w:firstLineChars="200"/>
              <w:rPr>
                <w:b/>
                <w:color w:val="auto"/>
                <w:sz w:val="24"/>
              </w:rPr>
            </w:pPr>
            <w:r>
              <w:rPr>
                <w:rFonts w:hint="eastAsia"/>
                <w:b/>
                <w:color w:val="auto"/>
                <w:sz w:val="24"/>
              </w:rPr>
              <w:t>4、产品方案</w:t>
            </w:r>
          </w:p>
          <w:p w14:paraId="0376BE88">
            <w:pPr>
              <w:pStyle w:val="108"/>
              <w:adjustRightInd/>
              <w:spacing w:line="360" w:lineRule="auto"/>
              <w:ind w:firstLine="480" w:firstLineChars="200"/>
              <w:rPr>
                <w:color w:val="auto"/>
              </w:rPr>
            </w:pPr>
            <w:r>
              <w:rPr>
                <w:rFonts w:hint="eastAsia"/>
                <w:color w:val="auto"/>
              </w:rPr>
              <w:t>现有项目一车间、二车间、三车间分别年产玻璃制品60000吨、60000吨、30000吨，其中部分玻璃制品用于企业自身加工（喷涂、印花和贴花），剩余未加工部分直接外售。</w:t>
            </w:r>
          </w:p>
          <w:p w14:paraId="165F724C">
            <w:pPr>
              <w:pStyle w:val="108"/>
              <w:adjustRightInd/>
              <w:spacing w:line="360" w:lineRule="auto"/>
              <w:ind w:firstLine="480" w:firstLineChars="200"/>
              <w:rPr>
                <w:color w:val="auto"/>
              </w:rPr>
            </w:pPr>
            <w:r>
              <w:rPr>
                <w:rFonts w:hint="eastAsia"/>
                <w:color w:val="auto"/>
              </w:rPr>
              <w:t>本次改建项目对现有部分未加工玻璃制品新增着色，改建项目完成具体产品方案如下表所示。</w:t>
            </w:r>
          </w:p>
          <w:p w14:paraId="7CC98ECA">
            <w:pPr>
              <w:pStyle w:val="219"/>
              <w:jc w:val="center"/>
              <w:rPr>
                <w:rFonts w:eastAsia="黑体" w:cs="Times New Roman"/>
                <w:bCs/>
                <w:color w:val="auto"/>
                <w:szCs w:val="21"/>
              </w:rPr>
            </w:pPr>
            <w:r>
              <w:rPr>
                <w:rFonts w:hAnsi="黑体" w:eastAsia="黑体" w:cs="Times New Roman"/>
                <w:color w:val="auto"/>
              </w:rPr>
              <w:t>表</w:t>
            </w:r>
            <w:r>
              <w:rPr>
                <w:rFonts w:hint="eastAsia" w:eastAsia="黑体" w:cs="Times New Roman"/>
                <w:color w:val="auto"/>
              </w:rPr>
              <w:t>13</w:t>
            </w:r>
            <w:r>
              <w:rPr>
                <w:rFonts w:eastAsia="黑体" w:cs="Times New Roman"/>
                <w:color w:val="auto"/>
              </w:rPr>
              <w:t xml:space="preserve">  </w:t>
            </w:r>
            <w:r>
              <w:rPr>
                <w:rFonts w:hAnsi="黑体" w:eastAsia="黑体" w:cs="Times New Roman"/>
                <w:color w:val="auto"/>
              </w:rPr>
              <w:t>项目产品方案一览表</w:t>
            </w:r>
          </w:p>
          <w:tbl>
            <w:tblPr>
              <w:tblStyle w:val="35"/>
              <w:tblW w:w="798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69"/>
              <w:gridCol w:w="891"/>
              <w:gridCol w:w="1674"/>
              <w:gridCol w:w="1560"/>
              <w:gridCol w:w="1394"/>
              <w:gridCol w:w="1597"/>
            </w:tblGrid>
            <w:tr w14:paraId="12FE8AF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760" w:type="dxa"/>
                  <w:gridSpan w:val="2"/>
                  <w:vAlign w:val="center"/>
                </w:tcPr>
                <w:p w14:paraId="03B60942">
                  <w:pPr>
                    <w:pStyle w:val="108"/>
                    <w:adjustRightInd/>
                    <w:spacing w:line="276" w:lineRule="auto"/>
                    <w:jc w:val="center"/>
                    <w:rPr>
                      <w:b/>
                      <w:color w:val="auto"/>
                      <w:sz w:val="21"/>
                      <w:szCs w:val="21"/>
                    </w:rPr>
                  </w:pPr>
                  <w:r>
                    <w:rPr>
                      <w:rFonts w:hint="eastAsia"/>
                      <w:b/>
                      <w:color w:val="auto"/>
                      <w:sz w:val="21"/>
                      <w:szCs w:val="21"/>
                    </w:rPr>
                    <w:t>产品名称</w:t>
                  </w:r>
                </w:p>
              </w:tc>
              <w:tc>
                <w:tcPr>
                  <w:tcW w:w="1674" w:type="dxa"/>
                  <w:vAlign w:val="center"/>
                </w:tcPr>
                <w:p w14:paraId="2367D212">
                  <w:pPr>
                    <w:pStyle w:val="108"/>
                    <w:adjustRightInd/>
                    <w:spacing w:line="276" w:lineRule="auto"/>
                    <w:jc w:val="center"/>
                    <w:rPr>
                      <w:b/>
                      <w:color w:val="auto"/>
                      <w:sz w:val="21"/>
                      <w:szCs w:val="21"/>
                    </w:rPr>
                  </w:pPr>
                  <w:r>
                    <w:rPr>
                      <w:rFonts w:hint="eastAsia"/>
                      <w:b/>
                      <w:color w:val="auto"/>
                      <w:sz w:val="21"/>
                      <w:szCs w:val="21"/>
                    </w:rPr>
                    <w:t>改建前产量</w:t>
                  </w:r>
                </w:p>
              </w:tc>
              <w:tc>
                <w:tcPr>
                  <w:tcW w:w="1560" w:type="dxa"/>
                  <w:vAlign w:val="center"/>
                </w:tcPr>
                <w:p w14:paraId="16DA5AE3">
                  <w:pPr>
                    <w:pStyle w:val="108"/>
                    <w:adjustRightInd/>
                    <w:spacing w:line="276" w:lineRule="auto"/>
                    <w:jc w:val="center"/>
                    <w:rPr>
                      <w:b/>
                      <w:color w:val="auto"/>
                      <w:sz w:val="21"/>
                      <w:szCs w:val="21"/>
                    </w:rPr>
                  </w:pPr>
                  <w:r>
                    <w:rPr>
                      <w:rFonts w:hint="eastAsia"/>
                      <w:b/>
                      <w:color w:val="auto"/>
                      <w:sz w:val="21"/>
                      <w:szCs w:val="21"/>
                    </w:rPr>
                    <w:t>改建后产量</w:t>
                  </w:r>
                </w:p>
              </w:tc>
              <w:tc>
                <w:tcPr>
                  <w:tcW w:w="1394" w:type="dxa"/>
                  <w:vAlign w:val="center"/>
                </w:tcPr>
                <w:p w14:paraId="23627A6C">
                  <w:pPr>
                    <w:pStyle w:val="108"/>
                    <w:adjustRightInd/>
                    <w:spacing w:line="276" w:lineRule="auto"/>
                    <w:jc w:val="center"/>
                    <w:rPr>
                      <w:b/>
                      <w:color w:val="auto"/>
                      <w:sz w:val="21"/>
                      <w:szCs w:val="21"/>
                    </w:rPr>
                  </w:pPr>
                  <w:r>
                    <w:rPr>
                      <w:rFonts w:hint="eastAsia"/>
                      <w:b/>
                      <w:color w:val="auto"/>
                      <w:sz w:val="21"/>
                      <w:szCs w:val="21"/>
                    </w:rPr>
                    <w:t>增减量</w:t>
                  </w:r>
                </w:p>
              </w:tc>
              <w:tc>
                <w:tcPr>
                  <w:tcW w:w="1597" w:type="dxa"/>
                  <w:vAlign w:val="center"/>
                </w:tcPr>
                <w:p w14:paraId="6F6C75BD">
                  <w:pPr>
                    <w:pStyle w:val="108"/>
                    <w:adjustRightInd/>
                    <w:spacing w:line="276" w:lineRule="auto"/>
                    <w:jc w:val="center"/>
                    <w:rPr>
                      <w:b/>
                      <w:color w:val="auto"/>
                      <w:sz w:val="21"/>
                      <w:szCs w:val="21"/>
                    </w:rPr>
                  </w:pPr>
                  <w:r>
                    <w:rPr>
                      <w:rFonts w:hint="eastAsia"/>
                      <w:b/>
                      <w:color w:val="auto"/>
                      <w:sz w:val="21"/>
                      <w:szCs w:val="21"/>
                    </w:rPr>
                    <w:t>备注</w:t>
                  </w:r>
                </w:p>
              </w:tc>
            </w:tr>
            <w:tr w14:paraId="1CA7B08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869" w:type="dxa"/>
                  <w:vMerge w:val="restart"/>
                  <w:tcBorders>
                    <w:right w:val="single" w:color="auto" w:sz="4" w:space="0"/>
                  </w:tcBorders>
                  <w:vAlign w:val="center"/>
                </w:tcPr>
                <w:p w14:paraId="5D64D58B">
                  <w:pPr>
                    <w:pStyle w:val="108"/>
                    <w:adjustRightInd/>
                    <w:spacing w:line="276" w:lineRule="auto"/>
                    <w:jc w:val="center"/>
                    <w:rPr>
                      <w:color w:val="auto"/>
                      <w:sz w:val="21"/>
                      <w:szCs w:val="21"/>
                    </w:rPr>
                  </w:pPr>
                  <w:r>
                    <w:rPr>
                      <w:color w:val="auto"/>
                      <w:sz w:val="21"/>
                      <w:szCs w:val="21"/>
                    </w:rPr>
                    <w:t>玻璃制品</w:t>
                  </w:r>
                </w:p>
              </w:tc>
              <w:tc>
                <w:tcPr>
                  <w:tcW w:w="891" w:type="dxa"/>
                  <w:tcBorders>
                    <w:left w:val="single" w:color="auto" w:sz="4" w:space="0"/>
                  </w:tcBorders>
                  <w:vAlign w:val="center"/>
                </w:tcPr>
                <w:p w14:paraId="4E8A0B65">
                  <w:pPr>
                    <w:pStyle w:val="108"/>
                    <w:adjustRightInd/>
                    <w:spacing w:line="276" w:lineRule="auto"/>
                    <w:jc w:val="center"/>
                    <w:rPr>
                      <w:color w:val="auto"/>
                      <w:sz w:val="21"/>
                      <w:szCs w:val="21"/>
                    </w:rPr>
                  </w:pPr>
                  <w:r>
                    <w:rPr>
                      <w:rFonts w:hint="eastAsia"/>
                      <w:color w:val="auto"/>
                      <w:sz w:val="21"/>
                      <w:szCs w:val="21"/>
                    </w:rPr>
                    <w:t>玻璃器皿</w:t>
                  </w:r>
                </w:p>
              </w:tc>
              <w:tc>
                <w:tcPr>
                  <w:tcW w:w="1674" w:type="dxa"/>
                  <w:vAlign w:val="center"/>
                </w:tcPr>
                <w:p w14:paraId="3AD905F3">
                  <w:pPr>
                    <w:pStyle w:val="108"/>
                    <w:adjustRightInd/>
                    <w:spacing w:line="276" w:lineRule="auto"/>
                    <w:jc w:val="center"/>
                    <w:rPr>
                      <w:color w:val="auto"/>
                      <w:sz w:val="21"/>
                      <w:szCs w:val="21"/>
                    </w:rPr>
                  </w:pPr>
                  <w:r>
                    <w:rPr>
                      <w:rFonts w:hint="eastAsia"/>
                      <w:color w:val="auto"/>
                      <w:sz w:val="21"/>
                      <w:szCs w:val="21"/>
                    </w:rPr>
                    <w:t>85000t/a（约42500万只）</w:t>
                  </w:r>
                </w:p>
              </w:tc>
              <w:tc>
                <w:tcPr>
                  <w:tcW w:w="1560" w:type="dxa"/>
                  <w:vAlign w:val="center"/>
                </w:tcPr>
                <w:p w14:paraId="0E698F51">
                  <w:pPr>
                    <w:pStyle w:val="108"/>
                    <w:adjustRightInd/>
                    <w:spacing w:line="276" w:lineRule="auto"/>
                    <w:jc w:val="center"/>
                    <w:rPr>
                      <w:color w:val="auto"/>
                      <w:sz w:val="21"/>
                      <w:szCs w:val="21"/>
                    </w:rPr>
                  </w:pPr>
                  <w:r>
                    <w:rPr>
                      <w:rFonts w:hint="eastAsia"/>
                      <w:color w:val="auto"/>
                      <w:sz w:val="21"/>
                      <w:szCs w:val="21"/>
                    </w:rPr>
                    <w:t>85000t/a（约42500万只）</w:t>
                  </w:r>
                </w:p>
              </w:tc>
              <w:tc>
                <w:tcPr>
                  <w:tcW w:w="1394" w:type="dxa"/>
                  <w:vAlign w:val="center"/>
                </w:tcPr>
                <w:p w14:paraId="44B8BEEA">
                  <w:pPr>
                    <w:pStyle w:val="108"/>
                    <w:adjustRightInd/>
                    <w:spacing w:line="276" w:lineRule="auto"/>
                    <w:jc w:val="center"/>
                    <w:rPr>
                      <w:color w:val="auto"/>
                      <w:sz w:val="21"/>
                      <w:szCs w:val="21"/>
                    </w:rPr>
                  </w:pPr>
                  <w:r>
                    <w:rPr>
                      <w:rFonts w:hint="eastAsia"/>
                      <w:color w:val="auto"/>
                      <w:sz w:val="21"/>
                      <w:szCs w:val="21"/>
                    </w:rPr>
                    <w:t>/</w:t>
                  </w:r>
                </w:p>
              </w:tc>
              <w:tc>
                <w:tcPr>
                  <w:tcW w:w="1597" w:type="dxa"/>
                  <w:vMerge w:val="restart"/>
                  <w:vAlign w:val="center"/>
                </w:tcPr>
                <w:p w14:paraId="38B40C40">
                  <w:pPr>
                    <w:pStyle w:val="108"/>
                    <w:adjustRightInd/>
                    <w:spacing w:line="276" w:lineRule="auto"/>
                    <w:jc w:val="center"/>
                    <w:rPr>
                      <w:color w:val="auto"/>
                      <w:sz w:val="21"/>
                      <w:szCs w:val="21"/>
                    </w:rPr>
                  </w:pPr>
                  <w:r>
                    <w:rPr>
                      <w:rFonts w:hint="eastAsia"/>
                      <w:color w:val="auto"/>
                      <w:sz w:val="21"/>
                      <w:szCs w:val="21"/>
                    </w:rPr>
                    <w:t>部分玻璃制品用于企业自身加工（喷涂、印花和贴花），剩余未加工部分直接外售</w:t>
                  </w:r>
                </w:p>
              </w:tc>
            </w:tr>
            <w:tr w14:paraId="2864B1A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6" w:hRule="atLeast"/>
                <w:jc w:val="center"/>
              </w:trPr>
              <w:tc>
                <w:tcPr>
                  <w:tcW w:w="869" w:type="dxa"/>
                  <w:vMerge w:val="continue"/>
                  <w:tcBorders>
                    <w:right w:val="single" w:color="auto" w:sz="4" w:space="0"/>
                  </w:tcBorders>
                  <w:vAlign w:val="center"/>
                </w:tcPr>
                <w:p w14:paraId="54682961">
                  <w:pPr>
                    <w:pStyle w:val="108"/>
                    <w:adjustRightInd/>
                    <w:spacing w:line="276" w:lineRule="auto"/>
                    <w:jc w:val="center"/>
                    <w:rPr>
                      <w:color w:val="auto"/>
                      <w:sz w:val="21"/>
                      <w:szCs w:val="21"/>
                    </w:rPr>
                  </w:pPr>
                </w:p>
              </w:tc>
              <w:tc>
                <w:tcPr>
                  <w:tcW w:w="891" w:type="dxa"/>
                  <w:tcBorders>
                    <w:left w:val="single" w:color="auto" w:sz="4" w:space="0"/>
                  </w:tcBorders>
                  <w:vAlign w:val="center"/>
                </w:tcPr>
                <w:p w14:paraId="77BCBE78">
                  <w:pPr>
                    <w:pStyle w:val="108"/>
                    <w:adjustRightInd/>
                    <w:spacing w:line="276" w:lineRule="auto"/>
                    <w:jc w:val="center"/>
                    <w:rPr>
                      <w:color w:val="auto"/>
                      <w:sz w:val="21"/>
                      <w:szCs w:val="21"/>
                    </w:rPr>
                  </w:pPr>
                  <w:r>
                    <w:rPr>
                      <w:rFonts w:hint="eastAsia"/>
                      <w:color w:val="auto"/>
                      <w:sz w:val="21"/>
                      <w:szCs w:val="21"/>
                    </w:rPr>
                    <w:t>玻璃瓶罐</w:t>
                  </w:r>
                </w:p>
              </w:tc>
              <w:tc>
                <w:tcPr>
                  <w:tcW w:w="1674" w:type="dxa"/>
                  <w:vAlign w:val="center"/>
                </w:tcPr>
                <w:p w14:paraId="507F1214">
                  <w:pPr>
                    <w:pStyle w:val="108"/>
                    <w:adjustRightInd/>
                    <w:spacing w:line="276" w:lineRule="auto"/>
                    <w:jc w:val="center"/>
                    <w:rPr>
                      <w:color w:val="auto"/>
                      <w:sz w:val="21"/>
                      <w:szCs w:val="21"/>
                    </w:rPr>
                  </w:pPr>
                  <w:r>
                    <w:rPr>
                      <w:rFonts w:hint="eastAsia"/>
                      <w:color w:val="auto"/>
                      <w:sz w:val="21"/>
                      <w:szCs w:val="21"/>
                    </w:rPr>
                    <w:t>65000t/a（约32500万只）</w:t>
                  </w:r>
                </w:p>
              </w:tc>
              <w:tc>
                <w:tcPr>
                  <w:tcW w:w="1560" w:type="dxa"/>
                  <w:vAlign w:val="center"/>
                </w:tcPr>
                <w:p w14:paraId="1D92E9E4">
                  <w:pPr>
                    <w:pStyle w:val="108"/>
                    <w:adjustRightInd/>
                    <w:spacing w:line="276" w:lineRule="auto"/>
                    <w:jc w:val="center"/>
                    <w:rPr>
                      <w:color w:val="auto"/>
                      <w:sz w:val="21"/>
                      <w:szCs w:val="21"/>
                    </w:rPr>
                  </w:pPr>
                  <w:r>
                    <w:rPr>
                      <w:rFonts w:hint="eastAsia"/>
                      <w:color w:val="auto"/>
                      <w:sz w:val="21"/>
                      <w:szCs w:val="21"/>
                    </w:rPr>
                    <w:t>65000t/a（约32500万只）</w:t>
                  </w:r>
                </w:p>
              </w:tc>
              <w:tc>
                <w:tcPr>
                  <w:tcW w:w="1394" w:type="dxa"/>
                  <w:vAlign w:val="center"/>
                </w:tcPr>
                <w:p w14:paraId="7D041FC8">
                  <w:pPr>
                    <w:pStyle w:val="108"/>
                    <w:adjustRightInd/>
                    <w:spacing w:line="276" w:lineRule="auto"/>
                    <w:jc w:val="center"/>
                    <w:rPr>
                      <w:color w:val="auto"/>
                      <w:sz w:val="21"/>
                      <w:szCs w:val="21"/>
                    </w:rPr>
                  </w:pPr>
                  <w:r>
                    <w:rPr>
                      <w:rFonts w:hint="eastAsia"/>
                      <w:color w:val="auto"/>
                      <w:sz w:val="21"/>
                      <w:szCs w:val="21"/>
                    </w:rPr>
                    <w:t>/</w:t>
                  </w:r>
                </w:p>
              </w:tc>
              <w:tc>
                <w:tcPr>
                  <w:tcW w:w="1597" w:type="dxa"/>
                  <w:vMerge w:val="continue"/>
                  <w:vAlign w:val="center"/>
                </w:tcPr>
                <w:p w14:paraId="49052D15">
                  <w:pPr>
                    <w:pStyle w:val="108"/>
                    <w:adjustRightInd/>
                    <w:spacing w:line="276" w:lineRule="auto"/>
                    <w:jc w:val="center"/>
                    <w:rPr>
                      <w:color w:val="auto"/>
                      <w:sz w:val="21"/>
                      <w:szCs w:val="21"/>
                    </w:rPr>
                  </w:pPr>
                </w:p>
              </w:tc>
            </w:tr>
            <w:tr w14:paraId="52EC241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760" w:type="dxa"/>
                  <w:gridSpan w:val="2"/>
                  <w:vAlign w:val="center"/>
                </w:tcPr>
                <w:p w14:paraId="4CE91D94">
                  <w:pPr>
                    <w:pStyle w:val="108"/>
                    <w:adjustRightInd/>
                    <w:spacing w:line="276" w:lineRule="auto"/>
                    <w:jc w:val="center"/>
                    <w:rPr>
                      <w:color w:val="auto"/>
                      <w:sz w:val="21"/>
                      <w:szCs w:val="21"/>
                    </w:rPr>
                  </w:pPr>
                  <w:r>
                    <w:rPr>
                      <w:rFonts w:hint="eastAsia"/>
                      <w:color w:val="auto"/>
                      <w:sz w:val="21"/>
                      <w:szCs w:val="21"/>
                    </w:rPr>
                    <w:t>喷涂玻璃制品</w:t>
                  </w:r>
                </w:p>
              </w:tc>
              <w:tc>
                <w:tcPr>
                  <w:tcW w:w="1674" w:type="dxa"/>
                  <w:vAlign w:val="center"/>
                </w:tcPr>
                <w:p w14:paraId="5B4B8ED0">
                  <w:pPr>
                    <w:pStyle w:val="108"/>
                    <w:adjustRightInd/>
                    <w:spacing w:line="276" w:lineRule="auto"/>
                    <w:jc w:val="center"/>
                    <w:rPr>
                      <w:color w:val="auto"/>
                      <w:sz w:val="21"/>
                      <w:szCs w:val="21"/>
                    </w:rPr>
                  </w:pPr>
                  <w:r>
                    <w:rPr>
                      <w:rFonts w:hint="eastAsia"/>
                      <w:color w:val="auto"/>
                      <w:sz w:val="21"/>
                      <w:szCs w:val="21"/>
                    </w:rPr>
                    <w:t>1200万只</w:t>
                  </w:r>
                </w:p>
              </w:tc>
              <w:tc>
                <w:tcPr>
                  <w:tcW w:w="1560" w:type="dxa"/>
                  <w:vAlign w:val="center"/>
                </w:tcPr>
                <w:p w14:paraId="14D94F46">
                  <w:pPr>
                    <w:pStyle w:val="108"/>
                    <w:adjustRightInd/>
                    <w:spacing w:line="276" w:lineRule="auto"/>
                    <w:jc w:val="center"/>
                    <w:rPr>
                      <w:color w:val="auto"/>
                      <w:sz w:val="21"/>
                      <w:szCs w:val="21"/>
                    </w:rPr>
                  </w:pPr>
                  <w:r>
                    <w:rPr>
                      <w:rFonts w:hint="eastAsia"/>
                      <w:color w:val="auto"/>
                      <w:sz w:val="21"/>
                      <w:szCs w:val="21"/>
                    </w:rPr>
                    <w:t>1200万只</w:t>
                  </w:r>
                </w:p>
              </w:tc>
              <w:tc>
                <w:tcPr>
                  <w:tcW w:w="1394" w:type="dxa"/>
                  <w:vAlign w:val="center"/>
                </w:tcPr>
                <w:p w14:paraId="6CE3AAE9">
                  <w:pPr>
                    <w:pStyle w:val="108"/>
                    <w:adjustRightInd/>
                    <w:spacing w:line="276" w:lineRule="auto"/>
                    <w:jc w:val="center"/>
                    <w:rPr>
                      <w:color w:val="auto"/>
                      <w:sz w:val="21"/>
                      <w:szCs w:val="21"/>
                    </w:rPr>
                  </w:pPr>
                  <w:r>
                    <w:rPr>
                      <w:rFonts w:hint="eastAsia"/>
                      <w:color w:val="auto"/>
                      <w:sz w:val="21"/>
                      <w:szCs w:val="21"/>
                    </w:rPr>
                    <w:t>/</w:t>
                  </w:r>
                </w:p>
              </w:tc>
              <w:tc>
                <w:tcPr>
                  <w:tcW w:w="1597" w:type="dxa"/>
                  <w:vMerge w:val="restart"/>
                  <w:vAlign w:val="center"/>
                </w:tcPr>
                <w:p w14:paraId="0497A2B7">
                  <w:pPr>
                    <w:pStyle w:val="108"/>
                    <w:adjustRightInd/>
                    <w:spacing w:line="276" w:lineRule="auto"/>
                    <w:jc w:val="center"/>
                    <w:rPr>
                      <w:color w:val="auto"/>
                      <w:sz w:val="21"/>
                      <w:szCs w:val="21"/>
                    </w:rPr>
                  </w:pPr>
                  <w:r>
                    <w:rPr>
                      <w:color w:val="auto"/>
                      <w:sz w:val="21"/>
                      <w:szCs w:val="21"/>
                    </w:rPr>
                    <w:t>玻璃制品原料来源厂区玻璃生产线</w:t>
                  </w:r>
                </w:p>
              </w:tc>
            </w:tr>
            <w:tr w14:paraId="20D1D9B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760" w:type="dxa"/>
                  <w:gridSpan w:val="2"/>
                  <w:vAlign w:val="center"/>
                </w:tcPr>
                <w:p w14:paraId="7E7AF660">
                  <w:pPr>
                    <w:pStyle w:val="108"/>
                    <w:adjustRightInd/>
                    <w:spacing w:line="276" w:lineRule="auto"/>
                    <w:jc w:val="center"/>
                    <w:rPr>
                      <w:color w:val="auto"/>
                      <w:sz w:val="21"/>
                      <w:szCs w:val="21"/>
                    </w:rPr>
                  </w:pPr>
                  <w:r>
                    <w:rPr>
                      <w:rFonts w:hint="eastAsia"/>
                      <w:color w:val="auto"/>
                      <w:sz w:val="21"/>
                      <w:szCs w:val="21"/>
                    </w:rPr>
                    <w:t>印花玻璃制品</w:t>
                  </w:r>
                </w:p>
              </w:tc>
              <w:tc>
                <w:tcPr>
                  <w:tcW w:w="1674" w:type="dxa"/>
                  <w:vAlign w:val="center"/>
                </w:tcPr>
                <w:p w14:paraId="74E361B0">
                  <w:pPr>
                    <w:pStyle w:val="108"/>
                    <w:adjustRightInd/>
                    <w:spacing w:line="276" w:lineRule="auto"/>
                    <w:jc w:val="center"/>
                    <w:rPr>
                      <w:color w:val="auto"/>
                      <w:sz w:val="21"/>
                      <w:szCs w:val="21"/>
                    </w:rPr>
                  </w:pPr>
                  <w:r>
                    <w:rPr>
                      <w:rFonts w:hint="eastAsia"/>
                      <w:color w:val="auto"/>
                      <w:sz w:val="21"/>
                      <w:szCs w:val="21"/>
                    </w:rPr>
                    <w:t>1500万只</w:t>
                  </w:r>
                </w:p>
              </w:tc>
              <w:tc>
                <w:tcPr>
                  <w:tcW w:w="1560" w:type="dxa"/>
                  <w:vAlign w:val="center"/>
                </w:tcPr>
                <w:p w14:paraId="57F6EEF7">
                  <w:pPr>
                    <w:pStyle w:val="108"/>
                    <w:adjustRightInd/>
                    <w:spacing w:line="276" w:lineRule="auto"/>
                    <w:jc w:val="center"/>
                    <w:rPr>
                      <w:color w:val="auto"/>
                      <w:sz w:val="21"/>
                      <w:szCs w:val="21"/>
                    </w:rPr>
                  </w:pPr>
                  <w:r>
                    <w:rPr>
                      <w:rFonts w:hint="eastAsia"/>
                      <w:color w:val="auto"/>
                      <w:sz w:val="21"/>
                      <w:szCs w:val="21"/>
                    </w:rPr>
                    <w:t>1500万只</w:t>
                  </w:r>
                </w:p>
              </w:tc>
              <w:tc>
                <w:tcPr>
                  <w:tcW w:w="1394" w:type="dxa"/>
                  <w:vAlign w:val="center"/>
                </w:tcPr>
                <w:p w14:paraId="12F16526">
                  <w:pPr>
                    <w:pStyle w:val="108"/>
                    <w:adjustRightInd/>
                    <w:spacing w:line="276" w:lineRule="auto"/>
                    <w:jc w:val="center"/>
                    <w:rPr>
                      <w:color w:val="auto"/>
                      <w:sz w:val="21"/>
                      <w:szCs w:val="21"/>
                    </w:rPr>
                  </w:pPr>
                  <w:r>
                    <w:rPr>
                      <w:rFonts w:hint="eastAsia"/>
                      <w:color w:val="auto"/>
                      <w:sz w:val="21"/>
                      <w:szCs w:val="21"/>
                    </w:rPr>
                    <w:t>/</w:t>
                  </w:r>
                </w:p>
              </w:tc>
              <w:tc>
                <w:tcPr>
                  <w:tcW w:w="1597" w:type="dxa"/>
                  <w:vMerge w:val="continue"/>
                  <w:vAlign w:val="center"/>
                </w:tcPr>
                <w:p w14:paraId="118282C4">
                  <w:pPr>
                    <w:pStyle w:val="108"/>
                    <w:adjustRightInd/>
                    <w:spacing w:line="276" w:lineRule="auto"/>
                    <w:jc w:val="center"/>
                    <w:rPr>
                      <w:color w:val="auto"/>
                      <w:sz w:val="21"/>
                      <w:szCs w:val="21"/>
                    </w:rPr>
                  </w:pPr>
                </w:p>
              </w:tc>
            </w:tr>
            <w:tr w14:paraId="0F22987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760" w:type="dxa"/>
                  <w:gridSpan w:val="2"/>
                  <w:vAlign w:val="center"/>
                </w:tcPr>
                <w:p w14:paraId="185932C1">
                  <w:pPr>
                    <w:pStyle w:val="108"/>
                    <w:adjustRightInd/>
                    <w:spacing w:line="276" w:lineRule="auto"/>
                    <w:jc w:val="center"/>
                    <w:rPr>
                      <w:color w:val="auto"/>
                      <w:sz w:val="21"/>
                      <w:szCs w:val="21"/>
                    </w:rPr>
                  </w:pPr>
                  <w:r>
                    <w:rPr>
                      <w:rFonts w:hint="eastAsia"/>
                      <w:color w:val="auto"/>
                      <w:sz w:val="21"/>
                      <w:szCs w:val="21"/>
                    </w:rPr>
                    <w:t>贴花玻璃制品</w:t>
                  </w:r>
                </w:p>
              </w:tc>
              <w:tc>
                <w:tcPr>
                  <w:tcW w:w="1674" w:type="dxa"/>
                  <w:vAlign w:val="center"/>
                </w:tcPr>
                <w:p w14:paraId="52743C75">
                  <w:pPr>
                    <w:pStyle w:val="108"/>
                    <w:adjustRightInd/>
                    <w:spacing w:line="276" w:lineRule="auto"/>
                    <w:jc w:val="center"/>
                    <w:rPr>
                      <w:color w:val="auto"/>
                      <w:sz w:val="21"/>
                      <w:szCs w:val="21"/>
                    </w:rPr>
                  </w:pPr>
                  <w:r>
                    <w:rPr>
                      <w:rFonts w:hint="eastAsia"/>
                      <w:color w:val="auto"/>
                      <w:sz w:val="21"/>
                      <w:szCs w:val="21"/>
                    </w:rPr>
                    <w:t>1500万只</w:t>
                  </w:r>
                </w:p>
              </w:tc>
              <w:tc>
                <w:tcPr>
                  <w:tcW w:w="1560" w:type="dxa"/>
                  <w:vAlign w:val="center"/>
                </w:tcPr>
                <w:p w14:paraId="4A3C46C2">
                  <w:pPr>
                    <w:pStyle w:val="108"/>
                    <w:adjustRightInd/>
                    <w:spacing w:line="276" w:lineRule="auto"/>
                    <w:jc w:val="center"/>
                    <w:rPr>
                      <w:color w:val="auto"/>
                      <w:sz w:val="21"/>
                      <w:szCs w:val="21"/>
                    </w:rPr>
                  </w:pPr>
                  <w:r>
                    <w:rPr>
                      <w:rFonts w:hint="eastAsia"/>
                      <w:color w:val="auto"/>
                      <w:sz w:val="21"/>
                      <w:szCs w:val="21"/>
                    </w:rPr>
                    <w:t>1500万只</w:t>
                  </w:r>
                </w:p>
              </w:tc>
              <w:tc>
                <w:tcPr>
                  <w:tcW w:w="1394" w:type="dxa"/>
                  <w:vAlign w:val="center"/>
                </w:tcPr>
                <w:p w14:paraId="2954F8AC">
                  <w:pPr>
                    <w:pStyle w:val="108"/>
                    <w:adjustRightInd/>
                    <w:spacing w:line="276" w:lineRule="auto"/>
                    <w:jc w:val="center"/>
                    <w:rPr>
                      <w:color w:val="auto"/>
                      <w:sz w:val="21"/>
                      <w:szCs w:val="21"/>
                    </w:rPr>
                  </w:pPr>
                  <w:r>
                    <w:rPr>
                      <w:rFonts w:hint="eastAsia"/>
                      <w:color w:val="auto"/>
                      <w:sz w:val="21"/>
                      <w:szCs w:val="21"/>
                    </w:rPr>
                    <w:t>/</w:t>
                  </w:r>
                </w:p>
              </w:tc>
              <w:tc>
                <w:tcPr>
                  <w:tcW w:w="1597" w:type="dxa"/>
                  <w:vMerge w:val="continue"/>
                  <w:vAlign w:val="center"/>
                </w:tcPr>
                <w:p w14:paraId="5719142E">
                  <w:pPr>
                    <w:pStyle w:val="108"/>
                    <w:adjustRightInd/>
                    <w:spacing w:line="276" w:lineRule="auto"/>
                    <w:jc w:val="center"/>
                    <w:rPr>
                      <w:color w:val="auto"/>
                      <w:sz w:val="21"/>
                      <w:szCs w:val="21"/>
                    </w:rPr>
                  </w:pPr>
                </w:p>
              </w:tc>
            </w:tr>
            <w:tr w14:paraId="52F9C2F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760" w:type="dxa"/>
                  <w:gridSpan w:val="2"/>
                  <w:vAlign w:val="center"/>
                </w:tcPr>
                <w:p w14:paraId="2588B869">
                  <w:pPr>
                    <w:pStyle w:val="108"/>
                    <w:adjustRightInd/>
                    <w:spacing w:line="276" w:lineRule="auto"/>
                    <w:jc w:val="center"/>
                    <w:rPr>
                      <w:color w:val="auto"/>
                      <w:sz w:val="21"/>
                      <w:szCs w:val="21"/>
                    </w:rPr>
                  </w:pPr>
                  <w:r>
                    <w:rPr>
                      <w:rFonts w:hint="eastAsia"/>
                      <w:color w:val="auto"/>
                      <w:sz w:val="21"/>
                      <w:szCs w:val="21"/>
                    </w:rPr>
                    <w:t>着色玻璃制品</w:t>
                  </w:r>
                </w:p>
              </w:tc>
              <w:tc>
                <w:tcPr>
                  <w:tcW w:w="1674" w:type="dxa"/>
                  <w:vAlign w:val="center"/>
                </w:tcPr>
                <w:p w14:paraId="7241F617">
                  <w:pPr>
                    <w:pStyle w:val="108"/>
                    <w:adjustRightInd/>
                    <w:spacing w:line="276" w:lineRule="auto"/>
                    <w:jc w:val="center"/>
                    <w:rPr>
                      <w:color w:val="auto"/>
                      <w:sz w:val="21"/>
                      <w:szCs w:val="21"/>
                    </w:rPr>
                  </w:pPr>
                  <w:r>
                    <w:rPr>
                      <w:rFonts w:hint="eastAsia"/>
                      <w:color w:val="auto"/>
                      <w:sz w:val="21"/>
                      <w:szCs w:val="21"/>
                    </w:rPr>
                    <w:t>0万只</w:t>
                  </w:r>
                </w:p>
              </w:tc>
              <w:tc>
                <w:tcPr>
                  <w:tcW w:w="1560" w:type="dxa"/>
                  <w:vAlign w:val="center"/>
                </w:tcPr>
                <w:p w14:paraId="5AD1A8F0">
                  <w:pPr>
                    <w:pStyle w:val="108"/>
                    <w:adjustRightInd/>
                    <w:spacing w:line="276" w:lineRule="auto"/>
                    <w:jc w:val="center"/>
                    <w:rPr>
                      <w:color w:val="auto"/>
                      <w:sz w:val="21"/>
                      <w:szCs w:val="21"/>
                    </w:rPr>
                  </w:pPr>
                  <w:r>
                    <w:rPr>
                      <w:rFonts w:hint="eastAsia"/>
                      <w:color w:val="auto"/>
                      <w:sz w:val="21"/>
                      <w:szCs w:val="21"/>
                    </w:rPr>
                    <w:t>1500万只</w:t>
                  </w:r>
                </w:p>
              </w:tc>
              <w:tc>
                <w:tcPr>
                  <w:tcW w:w="1394" w:type="dxa"/>
                  <w:vAlign w:val="center"/>
                </w:tcPr>
                <w:p w14:paraId="6236E332">
                  <w:pPr>
                    <w:pStyle w:val="108"/>
                    <w:adjustRightInd/>
                    <w:spacing w:line="276" w:lineRule="auto"/>
                    <w:jc w:val="center"/>
                    <w:rPr>
                      <w:color w:val="auto"/>
                      <w:sz w:val="21"/>
                      <w:szCs w:val="21"/>
                    </w:rPr>
                  </w:pPr>
                  <w:r>
                    <w:rPr>
                      <w:rFonts w:hint="eastAsia"/>
                      <w:color w:val="auto"/>
                      <w:sz w:val="21"/>
                      <w:szCs w:val="21"/>
                    </w:rPr>
                    <w:t>+1500万只</w:t>
                  </w:r>
                </w:p>
              </w:tc>
              <w:tc>
                <w:tcPr>
                  <w:tcW w:w="1597" w:type="dxa"/>
                  <w:vMerge w:val="continue"/>
                  <w:vAlign w:val="center"/>
                </w:tcPr>
                <w:p w14:paraId="067D2371">
                  <w:pPr>
                    <w:pStyle w:val="108"/>
                    <w:adjustRightInd/>
                    <w:spacing w:line="276" w:lineRule="auto"/>
                    <w:jc w:val="center"/>
                    <w:rPr>
                      <w:color w:val="auto"/>
                      <w:sz w:val="21"/>
                      <w:szCs w:val="21"/>
                    </w:rPr>
                  </w:pPr>
                </w:p>
              </w:tc>
            </w:tr>
          </w:tbl>
          <w:p w14:paraId="0FB0C5EB">
            <w:pPr>
              <w:spacing w:line="276" w:lineRule="auto"/>
              <w:rPr>
                <w:b/>
                <w:color w:val="auto"/>
                <w:szCs w:val="21"/>
              </w:rPr>
            </w:pPr>
            <w:r>
              <w:rPr>
                <w:rFonts w:hint="eastAsia"/>
                <w:b/>
                <w:color w:val="auto"/>
                <w:szCs w:val="21"/>
              </w:rPr>
              <w:t>注：本次改建项目年消耗1500万只玻璃制品，平均重量约200g/只，总计3000t/a，来自厂区玻璃生产线。</w:t>
            </w:r>
          </w:p>
          <w:p w14:paraId="0CA7103F">
            <w:pPr>
              <w:spacing w:line="276" w:lineRule="auto"/>
              <w:ind w:firstLine="482" w:firstLineChars="200"/>
              <w:rPr>
                <w:b/>
                <w:color w:val="auto"/>
                <w:sz w:val="24"/>
                <w:szCs w:val="24"/>
              </w:rPr>
            </w:pPr>
          </w:p>
          <w:p w14:paraId="59F6226B">
            <w:pPr>
              <w:spacing w:line="276" w:lineRule="auto"/>
              <w:ind w:firstLine="482" w:firstLineChars="200"/>
              <w:rPr>
                <w:b/>
                <w:color w:val="auto"/>
                <w:sz w:val="24"/>
                <w:szCs w:val="24"/>
              </w:rPr>
            </w:pPr>
          </w:p>
          <w:p w14:paraId="6DE638A5">
            <w:pPr>
              <w:spacing w:line="276" w:lineRule="auto"/>
              <w:ind w:firstLine="482" w:firstLineChars="200"/>
              <w:rPr>
                <w:b/>
                <w:color w:val="auto"/>
                <w:sz w:val="24"/>
                <w:szCs w:val="24"/>
              </w:rPr>
            </w:pPr>
            <w:r>
              <w:rPr>
                <w:rFonts w:hint="eastAsia"/>
                <w:b/>
                <w:color w:val="auto"/>
                <w:sz w:val="24"/>
                <w:szCs w:val="24"/>
              </w:rPr>
              <w:t>产品线路图详见下图：</w:t>
            </w:r>
          </w:p>
          <w:p w14:paraId="4137225A">
            <w:pPr>
              <w:spacing w:line="276" w:lineRule="auto"/>
              <w:jc w:val="left"/>
              <w:rPr>
                <w:color w:val="auto"/>
                <w:sz w:val="24"/>
                <w:szCs w:val="24"/>
              </w:rPr>
            </w:pPr>
            <w:r>
              <w:rPr>
                <w:b/>
                <w:color w:val="auto"/>
                <w:sz w:val="24"/>
              </w:rPr>
              <w:pict>
                <v:group id="画布 1236" o:spid="_x0000_s23824" o:spt="203" style="position:absolute;left:0pt;margin-left:-0.5pt;margin-top:7.2pt;height:276pt;width:407.35pt;z-index:251664384;mso-width-relative:page;mso-height-relative:page;" coordorigin="2241,1599" coordsize="8147,5520" editas="canvas">
                  <o:lock v:ext="edit"/>
                  <v:rect id="画布 1236" o:spid="_x0000_s23825" o:spt="1" style="position:absolute;left:2241;top:1599;height:5520;width:8147;" filled="f" stroked="f" coordsize="21600,21600">
                    <v:path/>
                    <v:fill on="f" focussize="0,0"/>
                    <v:stroke on="f"/>
                    <v:imagedata o:title=""/>
                    <o:lock v:ext="edit" text="t" aspectratio="t"/>
                  </v:rect>
                  <v:shape id="文本框 1238" o:spid="_x0000_s23826" o:spt="202" type="#_x0000_t202" style="position:absolute;left:5765;top:1735;height:419;width:1050;" filled="f" stroked="f" coordsize="21600,21600" o:gfxdata="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a&#10;N/bP0wAAAAUBAAAPAAAAAAAAAAEAIAAAACIAAABkcnMvZG93bnJldi54bWxQSwECFAAUAAAACACH&#10;TuJAiGUbhrcBAABbAwAADgAAAAAAAAABACAAAAAiAQAAZHJzL2Uyb0RvYy54bWxQSwUGAAAAAAYA&#10;BgBZAQAASwUAAAAA&#10;">
                    <v:path/>
                    <v:fill on="f" focussize="0,0"/>
                    <v:stroke on="f" joinstyle="miter"/>
                    <v:imagedata o:title=""/>
                    <o:lock v:ext="edit"/>
                    <v:textbox>
                      <w:txbxContent>
                        <w:p w14:paraId="0DA60923">
                          <w:pPr>
                            <w:jc w:val="center"/>
                            <w:rPr>
                              <w:rFonts w:ascii="黑体" w:hAnsi="黑体" w:eastAsia="黑体"/>
                            </w:rPr>
                          </w:pPr>
                          <w:r>
                            <w:rPr>
                              <w:rFonts w:ascii="黑体" w:hAnsi="黑体" w:eastAsia="黑体"/>
                            </w:rPr>
                            <w:t>玻璃液</w:t>
                          </w:r>
                        </w:p>
                      </w:txbxContent>
                    </v:textbox>
                  </v:shape>
                  <v:shape id="文本框 1239" o:spid="_x0000_s23827" o:spt="202" type="#_x0000_t202" style="position:absolute;left:4859;top:2618;height:465;width:2836;" filled="f" coordsize="21600,21600" o:gfxdata="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c4setcAAAAFAQAADwAA&#10;AAAAAAABACAAAAAiAAAAZHJzL2Rvd25yZXYueG1sUEsBAhQAFAAAAAgAh07iQKO/gZwXAgAAGgQA&#10;AA4AAAAAAAAAAQAgAAAAJgEAAGRycy9lMm9Eb2MueG1sUEsFBgAAAAAGAAYAWQEAAK8FAAAAAA==&#10;">
                    <v:path/>
                    <v:fill on="f" focussize="0,0"/>
                    <v:stroke endarrowwidth="narrow" endarrowlength="long"/>
                    <v:imagedata o:title=""/>
                    <o:lock v:ext="edit"/>
                    <v:textbox>
                      <w:txbxContent>
                        <w:p w14:paraId="7831AA1D">
                          <w:pPr>
                            <w:jc w:val="center"/>
                            <w:rPr>
                              <w:rFonts w:eastAsia="黑体"/>
                            </w:rPr>
                          </w:pPr>
                          <w:r>
                            <w:rPr>
                              <w:rFonts w:ascii="黑体" w:hAnsi="黑体" w:eastAsia="黑体"/>
                            </w:rPr>
                            <w:t>成型玻璃制品</w:t>
                          </w:r>
                          <w:r>
                            <w:rPr>
                              <w:rFonts w:hint="eastAsia" w:eastAsia="黑体"/>
                            </w:rPr>
                            <w:t>75000</w:t>
                          </w:r>
                          <w:r>
                            <w:rPr>
                              <w:rFonts w:hAnsi="黑体" w:eastAsia="黑体"/>
                            </w:rPr>
                            <w:t>万</w:t>
                          </w:r>
                          <w:r>
                            <w:rPr>
                              <w:rFonts w:eastAsia="黑体"/>
                            </w:rPr>
                            <w:t>只/a</w:t>
                          </w:r>
                        </w:p>
                      </w:txbxContent>
                    </v:textbox>
                  </v:shape>
                  <v:shape id="文本框 1240" o:spid="_x0000_s23828" o:spt="202" type="#_x0000_t202" style="position:absolute;left:3830;top:4448;height:839;width:1275;" filled="f" coordsize="21600,21600" o:gfxdata="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c4setcAAAAFAQAADwAAAAAA&#10;AAABACAAAAAiAAAAZHJzL2Rvd25yZXYueG1sUEsBAhQAFAAAAAgAh07iQM9vSgoUAgAAGgQAAA4A&#10;AAAAAAAAAQAgAAAAJgEAAGRycy9lMm9Eb2MueG1sUEsFBgAAAAAGAAYAWQEAAKwFAAAAAA==&#10;">
                    <v:path/>
                    <v:fill on="f" focussize="0,0"/>
                    <v:stroke endarrowwidth="narrow" endarrowlength="long"/>
                    <v:imagedata o:title=""/>
                    <o:lock v:ext="edit"/>
                    <v:textbox>
                      <w:txbxContent>
                        <w:p w14:paraId="1D9F2671">
                          <w:pPr>
                            <w:jc w:val="center"/>
                            <w:rPr>
                              <w:rFonts w:ascii="黑体" w:hAnsi="黑体" w:eastAsia="黑体"/>
                            </w:rPr>
                          </w:pPr>
                          <w:r>
                            <w:rPr>
                              <w:rFonts w:ascii="黑体" w:hAnsi="黑体" w:eastAsia="黑体"/>
                            </w:rPr>
                            <w:t>玻璃制品深加工</w:t>
                          </w:r>
                        </w:p>
                      </w:txbxContent>
                    </v:textbox>
                  </v:shape>
                  <v:shape id="文本框 1241" o:spid="_x0000_s23829" o:spt="202" type="#_x0000_t202" style="position:absolute;left:2361;top:6158;height:704;width:1379;" filled="f" stroked="f" coordsize="21600,21600" o:gfxdata="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aN/bP0wAAAAUBAAAPAAAAAAAAAAEAIAAAACIAAABkcnMvZG93bnJldi54bWxQSwECFAAUAAAA&#10;CACHTuJAt6RTV7oBAABbAwAADgAAAAAAAAABACAAAAAiAQAAZHJzL2Uyb0RvYy54bWxQSwUGAAAA&#10;AAYABgBZAQAATgUAAAAA&#10;">
                    <v:path/>
                    <v:fill on="f" focussize="0,0"/>
                    <v:stroke on="f" joinstyle="miter"/>
                    <v:imagedata o:title=""/>
                    <o:lock v:ext="edit"/>
                    <v:textbox>
                      <w:txbxContent>
                        <w:p w14:paraId="376B237E">
                          <w:pPr>
                            <w:jc w:val="center"/>
                            <w:rPr>
                              <w:rFonts w:ascii="黑体" w:hAnsi="黑体" w:eastAsia="黑体"/>
                              <w:sz w:val="18"/>
                              <w:szCs w:val="18"/>
                            </w:rPr>
                          </w:pPr>
                          <w:r>
                            <w:rPr>
                              <w:rFonts w:ascii="黑体" w:hAnsi="黑体" w:eastAsia="黑体"/>
                              <w:sz w:val="18"/>
                              <w:szCs w:val="18"/>
                            </w:rPr>
                            <w:t>喷涂玻璃制品</w:t>
                          </w:r>
                        </w:p>
                        <w:p w14:paraId="72B49C34">
                          <w:pPr>
                            <w:jc w:val="center"/>
                            <w:rPr>
                              <w:rFonts w:eastAsia="黑体"/>
                              <w:sz w:val="18"/>
                              <w:szCs w:val="18"/>
                            </w:rPr>
                          </w:pPr>
                          <w:r>
                            <w:rPr>
                              <w:rFonts w:eastAsia="黑体"/>
                              <w:sz w:val="18"/>
                              <w:szCs w:val="18"/>
                            </w:rPr>
                            <w:t>1200</w:t>
                          </w:r>
                          <w:r>
                            <w:rPr>
                              <w:rFonts w:hAnsi="黑体" w:eastAsia="黑体"/>
                              <w:sz w:val="18"/>
                              <w:szCs w:val="18"/>
                            </w:rPr>
                            <w:t>万只</w:t>
                          </w:r>
                        </w:p>
                      </w:txbxContent>
                    </v:textbox>
                  </v:shape>
                  <v:shape id="文本框 1242" o:spid="_x0000_s23830" o:spt="202" type="#_x0000_t202" style="position:absolute;left:3785;top:6157;height:720;width:1440;" filled="f" stroked="f" coordsize="21600,21600" o:gfxdata="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jf2z9MAAAAFAQAADwAAAAAAAAABACAAAAAiAAAAZHJzL2Rvd25yZXYueG1sUEsBAhQAFAAAAAgA&#10;h07iQDe/rT+4AQAAXAMAAA4AAAAAAAAAAQAgAAAAIgEAAGRycy9lMm9Eb2MueG1sUEsFBgAAAAAG&#10;AAYAWQEAAEwFAAAAAA==&#10;">
                    <v:path/>
                    <v:fill on="f" focussize="0,0"/>
                    <v:stroke on="f" joinstyle="miter"/>
                    <v:imagedata o:title=""/>
                    <o:lock v:ext="edit"/>
                    <v:textbox>
                      <w:txbxContent>
                        <w:p w14:paraId="185D2D72">
                          <w:pPr>
                            <w:jc w:val="center"/>
                            <w:rPr>
                              <w:rFonts w:ascii="黑体" w:hAnsi="黑体" w:eastAsia="黑体"/>
                              <w:sz w:val="18"/>
                              <w:szCs w:val="18"/>
                            </w:rPr>
                          </w:pPr>
                          <w:r>
                            <w:rPr>
                              <w:rFonts w:ascii="黑体" w:hAnsi="黑体" w:eastAsia="黑体"/>
                              <w:sz w:val="18"/>
                              <w:szCs w:val="18"/>
                            </w:rPr>
                            <w:t>印花玻璃制品</w:t>
                          </w:r>
                        </w:p>
                        <w:p w14:paraId="3C678F22">
                          <w:pPr>
                            <w:jc w:val="center"/>
                            <w:rPr>
                              <w:rFonts w:eastAsia="黑体"/>
                              <w:sz w:val="18"/>
                              <w:szCs w:val="18"/>
                            </w:rPr>
                          </w:pPr>
                          <w:r>
                            <w:rPr>
                              <w:rFonts w:eastAsia="黑体"/>
                              <w:sz w:val="18"/>
                              <w:szCs w:val="18"/>
                            </w:rPr>
                            <w:t>1500</w:t>
                          </w:r>
                          <w:r>
                            <w:rPr>
                              <w:rFonts w:hAnsi="黑体" w:eastAsia="黑体"/>
                              <w:sz w:val="18"/>
                              <w:szCs w:val="18"/>
                            </w:rPr>
                            <w:t>万只</w:t>
                          </w:r>
                        </w:p>
                      </w:txbxContent>
                    </v:textbox>
                  </v:shape>
                  <v:shape id="文本框 1244" o:spid="_x0000_s23831" o:spt="202" type="#_x0000_t202" style="position:absolute;left:7358;top:4464;height:808;width:1362;" filled="f" stroked="t" coordsize="21600,21600" o:gfxdata="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7ty/DVAAAABQEA&#10;AA8AAAAAAAAAAQAgAAAAIgAAAGRycy9kb3ducmV2LnhtbFBLAQIUABQAAAAIAIdO4kBWkGn9HQIA&#10;ABoEAAAOAAAAAAAAAAEAIAAAACQBAABkcnMvZTJvRG9jLnhtbFBLBQYAAAAABgAGAFkBAACzBQAA&#10;AAA=&#10;">
                    <v:path/>
                    <v:fill on="f" focussize="0,0"/>
                    <v:stroke color="#FF0000" endarrowwidth="narrow" endarrowlength="long"/>
                    <v:imagedata o:title=""/>
                    <o:lock v:ext="edit"/>
                    <v:textbox>
                      <w:txbxContent>
                        <w:p w14:paraId="2AACB9F0">
                          <w:pPr>
                            <w:jc w:val="center"/>
                            <w:rPr>
                              <w:rFonts w:ascii="黑体" w:hAnsi="黑体" w:eastAsia="黑体"/>
                            </w:rPr>
                          </w:pPr>
                          <w:r>
                            <w:rPr>
                              <w:rFonts w:ascii="黑体" w:hAnsi="黑体" w:eastAsia="黑体"/>
                            </w:rPr>
                            <w:t>热玻璃制品喷涂着色</w:t>
                          </w:r>
                        </w:p>
                      </w:txbxContent>
                    </v:textbox>
                  </v:shape>
                  <v:shape id="文本框 1245" o:spid="_x0000_s23832" o:spt="202" type="#_x0000_t202" style="position:absolute;left:5330;top:6143;height:720;width:1470;" filled="f" stroked="f" coordsize="21600,21600" o:gfxdata="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jf2z9MAAAAFAQAADwAAAAAAAAABACAAAAAiAAAAZHJzL2Rvd25yZXYueG1sUEsBAhQAFAAA&#10;AAgAh07iQDxPU3W7AQAAXQMAAA4AAAAAAAAAAQAgAAAAIgEAAGRycy9lMm9Eb2MueG1sUEsFBgAA&#10;AAAGAAYAWQEAAE8FAAAAAA==&#10;">
                    <v:path/>
                    <v:fill on="f" focussize="0,0"/>
                    <v:stroke on="f" joinstyle="miter"/>
                    <v:imagedata o:title=""/>
                    <o:lock v:ext="edit"/>
                    <v:textbox>
                      <w:txbxContent>
                        <w:p w14:paraId="4D57D611">
                          <w:pPr>
                            <w:jc w:val="center"/>
                            <w:rPr>
                              <w:rFonts w:ascii="黑体" w:hAnsi="黑体" w:eastAsia="黑体"/>
                              <w:sz w:val="18"/>
                              <w:szCs w:val="18"/>
                            </w:rPr>
                          </w:pPr>
                          <w:r>
                            <w:rPr>
                              <w:rFonts w:ascii="黑体" w:hAnsi="黑体" w:eastAsia="黑体"/>
                              <w:sz w:val="18"/>
                              <w:szCs w:val="18"/>
                            </w:rPr>
                            <w:t>贴花玻璃制品</w:t>
                          </w:r>
                        </w:p>
                        <w:p w14:paraId="25C8998D">
                          <w:pPr>
                            <w:jc w:val="center"/>
                            <w:rPr>
                              <w:rFonts w:eastAsia="黑体"/>
                              <w:sz w:val="18"/>
                              <w:szCs w:val="18"/>
                            </w:rPr>
                          </w:pPr>
                          <w:r>
                            <w:rPr>
                              <w:rFonts w:eastAsia="黑体"/>
                              <w:sz w:val="18"/>
                              <w:szCs w:val="18"/>
                            </w:rPr>
                            <w:t>1500</w:t>
                          </w:r>
                          <w:r>
                            <w:rPr>
                              <w:rFonts w:hAnsi="黑体" w:eastAsia="黑体"/>
                              <w:sz w:val="18"/>
                              <w:szCs w:val="18"/>
                            </w:rPr>
                            <w:t>万只</w:t>
                          </w:r>
                        </w:p>
                      </w:txbxContent>
                    </v:textbox>
                  </v:shape>
                  <v:shape id="文本框 1246" o:spid="_x0000_s23833" o:spt="202" type="#_x0000_t202" style="position:absolute;left:9080;top:4448;height:809;width:1065;" filled="f" coordsize="21600,21600" o:gfxdata="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c4setcAAAAFAQAA&#10;DwAAAAAAAAABACAAAAAiAAAAZHJzL2Rvd25yZXYueG1sUEsBAhQAFAAAAAgAh07iQI0TsaUaAgAA&#10;GgQAAA4AAAAAAAAAAQAgAAAAJgEAAGRycy9lMm9Eb2MueG1sUEsFBgAAAAAGAAYAWQEAALIFAAAA&#10;AA==&#10;">
                    <v:path/>
                    <v:fill on="f" focussize="0,0"/>
                    <v:stroke endarrowwidth="narrow" endarrowlength="long"/>
                    <v:imagedata o:title=""/>
                    <o:lock v:ext="edit"/>
                    <v:textbox>
                      <w:txbxContent>
                        <w:p w14:paraId="3B761659">
                          <w:pPr>
                            <w:jc w:val="center"/>
                            <w:rPr>
                              <w:rFonts w:ascii="黑体" w:hAnsi="黑体" w:eastAsia="黑体"/>
                            </w:rPr>
                          </w:pPr>
                          <w:r>
                            <w:rPr>
                              <w:rFonts w:ascii="黑体" w:hAnsi="黑体" w:eastAsia="黑体"/>
                            </w:rPr>
                            <w:t>直接</w:t>
                          </w:r>
                        </w:p>
                        <w:p w14:paraId="671E4C0C">
                          <w:pPr>
                            <w:jc w:val="center"/>
                            <w:rPr>
                              <w:rFonts w:ascii="黑体" w:hAnsi="黑体" w:eastAsia="黑体"/>
                            </w:rPr>
                          </w:pPr>
                          <w:r>
                            <w:rPr>
                              <w:rFonts w:ascii="黑体" w:hAnsi="黑体" w:eastAsia="黑体"/>
                            </w:rPr>
                            <w:t>外售</w:t>
                          </w:r>
                        </w:p>
                      </w:txbxContent>
                    </v:textbox>
                  </v:shape>
                  <v:shape id="文本框 1247" o:spid="_x0000_s23834" o:spt="202" type="#_x0000_t202" style="position:absolute;left:7310;top:6173;height:720;width:1470;" filled="f" stroked="f" coordsize="21600,21600" o:gfxdata="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jf2z9MAAAAFAQAADwAAAAAAAAABACAAAAAiAAAAZHJzL2Rvd25yZXYueG1sUEsBAhQAFAAA&#10;AAgAh07iQESdoM27AQAAXQMAAA4AAAAAAAAAAQAgAAAAIgEAAGRycy9lMm9Eb2MueG1sUEsFBgAA&#10;AAAGAAYAWQEAAE8FAAAAAA==&#10;">
                    <v:path/>
                    <v:fill on="f" focussize="0,0"/>
                    <v:stroke on="f" joinstyle="miter"/>
                    <v:imagedata o:title=""/>
                    <o:lock v:ext="edit"/>
                    <v:textbox>
                      <w:txbxContent>
                        <w:p w14:paraId="46F3E6BF">
                          <w:pPr>
                            <w:jc w:val="center"/>
                            <w:rPr>
                              <w:rFonts w:ascii="黑体" w:hAnsi="黑体" w:eastAsia="黑体"/>
                              <w:color w:val="FF0000"/>
                              <w:sz w:val="18"/>
                              <w:szCs w:val="18"/>
                            </w:rPr>
                          </w:pPr>
                          <w:r>
                            <w:rPr>
                              <w:rFonts w:ascii="黑体" w:hAnsi="黑体" w:eastAsia="黑体"/>
                              <w:color w:val="FF0000"/>
                              <w:sz w:val="18"/>
                              <w:szCs w:val="18"/>
                            </w:rPr>
                            <w:t>着色玻璃制品</w:t>
                          </w:r>
                        </w:p>
                        <w:p w14:paraId="24516B05">
                          <w:pPr>
                            <w:jc w:val="center"/>
                            <w:rPr>
                              <w:rFonts w:eastAsia="黑体"/>
                              <w:color w:val="FF0000"/>
                              <w:sz w:val="18"/>
                              <w:szCs w:val="18"/>
                            </w:rPr>
                          </w:pPr>
                          <w:r>
                            <w:rPr>
                              <w:rFonts w:eastAsia="黑体"/>
                              <w:color w:val="FF0000"/>
                              <w:sz w:val="18"/>
                              <w:szCs w:val="18"/>
                            </w:rPr>
                            <w:t>1500</w:t>
                          </w:r>
                          <w:r>
                            <w:rPr>
                              <w:rFonts w:hAnsi="黑体" w:eastAsia="黑体"/>
                              <w:color w:val="FF0000"/>
                              <w:sz w:val="18"/>
                              <w:szCs w:val="18"/>
                            </w:rPr>
                            <w:t>万只</w:t>
                          </w:r>
                        </w:p>
                      </w:txbxContent>
                    </v:textbox>
                  </v:shape>
                  <v:shape id="自选图形 1249" o:spid="_x0000_s23835" o:spt="32" type="#_x0000_t32" style="position:absolute;left:6283;top:2154;flip:x;height:464;width:7;" filled="f" coordsize="21600,21600" o:gfxdata="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24L2tcAAAAFAQAA&#10;DwAAAAAAAAABACAAAAAiAAAAZHJzL2Rvd25yZXYueG1sUEsBAhQAFAAAAAgAh07iQDxMTT4aAgAA&#10;AQQAAA4AAAAAAAAAAQAgAAAAJgEAAGRycy9lMm9Eb2MueG1sUEsFBgAAAAAGAAYAWQEAALIFAAAA&#10;AA==&#10;">
                    <v:path arrowok="t"/>
                    <v:fill on="f" focussize="0,0"/>
                    <v:stroke endarrow="block" endarrowwidth="narrow"/>
                    <v:imagedata o:title=""/>
                    <o:lock v:ext="edit"/>
                  </v:shape>
                  <v:shape id="自选图形 1250" o:spid="_x0000_s23836" o:spt="34" type="#_x0000_t34" style="position:absolute;left:4693;top:2858;height:1815;width:1365;rotation:5898240f;" filled="f" coordsize="21600,21600" o:gfxdata="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ks5dDXAAAABQEAAA8AAAAAAAAAAQAgAAAAIgAAAGRycy9kb3ducmV2Lnht&#10;bFBLAQIUABQAAAAIAIdO4kDhjc4HMwIAADsEAAAOAAAAAAAAAAEAIAAAACYBAABkcnMvZTJvRG9j&#10;LnhtbFBLBQYAAAAABgAGAFkBAADLBQAAAAA=&#10;" adj="10792">
                    <v:path arrowok="t"/>
                    <v:fill on="f" focussize="0,0"/>
                    <v:stroke endarrow="block" endarrowwidth="narrow"/>
                    <v:imagedata o:title=""/>
                    <o:lock v:ext="edit"/>
                  </v:shape>
                  <v:shape id="自选图形 1251" o:spid="_x0000_s23837" o:spt="34" type="#_x0000_t34" style="position:absolute;left:6469;top:2896;flip:x;height:1756;width:1381;rotation:5898240f;" filled="f" stroked="t" coordsize="21600,21600" o:gfxdata="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uCnZ1gAAAAUBAAAPAAAAAAAAAAEAIAAAACIAAABk&#10;cnMvZG93bnJldi54bWxQSwECFAAUAAAACACHTuJAsGmDR0ECAABGBAAADgAAAAAAAAABACAAAAAl&#10;AQAAZHJzL2Uyb0RvYy54bWxQSwUGAAAAAAYABgBZAQAA2AUAAAAA&#10;" adj="10792">
                    <v:path arrowok="t"/>
                    <v:fill on="f" focussize="0,0"/>
                    <v:stroke color="#FF0000" endarrow="block" endarrowwidth="narrow"/>
                    <v:imagedata o:title=""/>
                    <o:lock v:ext="edit"/>
                  </v:shape>
                  <v:shape id="自选图形 1253" o:spid="_x0000_s23838" o:spt="34" type="#_x0000_t34" style="position:absolute;left:3324;top:5014;height:1417;width:871;rotation:5898240f;" filled="f" coordsize="21600,21600" o:gfxdata="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dQmwrVAAAABQEAAA8AAAAAAAAAAQAgAAAAIgAAAGRycy9kb3ducmV2Lnht&#10;bFBLAQIUABQAAAAIAIdO4kBweNGFNQIAADoEAAAOAAAAAAAAAAEAIAAAACQBAABkcnMvZTJvRG9j&#10;LnhtbFBLBQYAAAAABgAGAFkBAADLBQAAAAA=&#10;" adj="10788">
                    <v:path arrowok="t"/>
                    <v:fill on="f" focussize="0,0"/>
                    <v:stroke endarrow="block" endarrowwidth="narrow"/>
                    <v:imagedata o:title=""/>
                    <o:lock v:ext="edit"/>
                  </v:shape>
                  <v:shape id="自选图形 1254" o:spid="_x0000_s23839" o:spt="34" type="#_x0000_t34" style="position:absolute;left:4839;top:4916;flip:x;height:1597;width:856;rotation:5898240f;" filled="f" coordsize="21600,21600" o:gfxdata="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zIKEdYAAAAFAQAADwAAAAAAAAABACAAAAAiAAAAZHJz&#10;L2Rvd25yZXYueG1sUEsBAhQAFAAAAAgAh07iQG445mA/AgAARwQAAA4AAAAAAAAAAQAgAAAAJQEA&#10;AGRycy9lMm9Eb2MueG1sUEsFBgAAAAAGAAYAWQEAANYFAAAAAA==&#10;" adj="10775">
                    <v:path arrowok="t"/>
                    <v:fill on="f" focussize="0,0"/>
                    <v:stroke endarrow="block" endarrowwidth="narrow"/>
                    <v:imagedata o:title=""/>
                    <o:lock v:ext="edit"/>
                  </v:shape>
                  <v:shape id="自选图形 1255" o:spid="_x0000_s23840" o:spt="32" type="#_x0000_t32" style="position:absolute;left:4468;top:5708;height:405;width:9;" filled="f" coordsize="21600,21600" o:gfxdata="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4WV/L1gAAAAUBAAAPAAAAAAAAAAEAIAAA&#10;ACIAAABkcnMvZG93bnJldi54bWxQSwECFAAUAAAACACHTuJAh4QMHA4CAAD4AwAADgAAAAAAAAAB&#10;ACAAAAAlAQAAZHJzL2Uyb0RvYy54bWxQSwUGAAAAAAYABgBZAQAApQUAAAAA&#10;">
                    <v:path arrowok="t"/>
                    <v:fill on="f" focussize="0,0"/>
                    <v:stroke endarrow="block" endarrowwidth="narrow"/>
                    <v:imagedata o:title=""/>
                    <o:lock v:ext="edit"/>
                  </v:shape>
                  <v:shape id="自选图形 1256" o:spid="_x0000_s23841" o:spt="32" type="#_x0000_t32" style="position:absolute;left:8039;top:5272;height:901;width:6;" filled="f" stroked="t" coordsize="21600,21600" o:gfxdata="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7k3H1gAAAAUBAAAPAAAAAAAA&#10;AAEAIAAAACIAAABkcnMvZG93bnJldi54bWxQSwECFAAUAAAACACHTuJABhHZrxQCAAD4AwAADgAA&#10;AAAAAAABACAAAAAlAQAAZHJzL2Uyb0RvYy54bWxQSwUGAAAAAAYABgBZAQAAqwUAAAAA&#10;">
                    <v:path arrowok="t"/>
                    <v:fill on="f" focussize="0,0"/>
                    <v:stroke color="#FF0000" endarrow="block" endarrowwidth="narrow"/>
                    <v:imagedata o:title=""/>
                    <o:lock v:ext="edit"/>
                  </v:shape>
                  <v:shape id="文本框 1257" o:spid="_x0000_s23842" o:spt="202" type="#_x0000_t202" style="position:absolute;left:3336;top:3727;height:721;width:1297;" filled="f" stroked="f" coordsize="21600,21600" o:gfxdata="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aN/bP0wAAAAUBAAAPAAAAAAAAAAEAIAAAACIAAABkcnMvZG93bnJldi54bWxQSwECFAAUAAAA&#10;CACHTuJAKWdRILoBAABcAwAADgAAAAAAAAABACAAAAAiAQAAZHJzL2Uyb0RvYy54bWxQSwUGAAAA&#10;AAYABgBZAQAATgUAAAAA&#10;">
                    <v:path/>
                    <v:fill on="f" focussize="0,0"/>
                    <v:stroke on="f" joinstyle="miter"/>
                    <v:imagedata o:title=""/>
                    <o:lock v:ext="edit"/>
                    <v:textbox>
                      <w:txbxContent>
                        <w:p w14:paraId="7CCC5808">
                          <w:pPr>
                            <w:jc w:val="center"/>
                            <w:rPr>
                              <w:rFonts w:eastAsia="黑体"/>
                              <w:sz w:val="18"/>
                              <w:szCs w:val="18"/>
                            </w:rPr>
                          </w:pPr>
                          <w:r>
                            <w:rPr>
                              <w:rFonts w:hAnsi="黑体" w:eastAsia="黑体"/>
                              <w:sz w:val="18"/>
                              <w:szCs w:val="18"/>
                            </w:rPr>
                            <w:t>玻璃制品</w:t>
                          </w:r>
                          <w:r>
                            <w:rPr>
                              <w:rFonts w:eastAsia="黑体"/>
                              <w:sz w:val="18"/>
                              <w:szCs w:val="18"/>
                            </w:rPr>
                            <w:t>4200</w:t>
                          </w:r>
                          <w:r>
                            <w:rPr>
                              <w:rFonts w:hAnsi="黑体" w:eastAsia="黑体"/>
                              <w:sz w:val="18"/>
                              <w:szCs w:val="18"/>
                            </w:rPr>
                            <w:t>万只</w:t>
                          </w:r>
                        </w:p>
                      </w:txbxContent>
                    </v:textbox>
                  </v:shape>
                  <v:shape id="自选图形 1260" o:spid="_x0000_s23843" o:spt="34" type="#_x0000_t34" style="position:absolute;left:7265;top:2101;flip:x;height:3330;width:1365;rotation:5898240f;" filled="f" coordsize="21600,21600" o:gfxdata="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3VSsdMAAAAFAQAADwAAAAAAAAABACAAAAAiAAAAZHJzL2Rvd25y&#10;ZXYueG1sUEsBAhQAFAAAAAgAh07iQCNqdq08AgAARgQAAA4AAAAAAAAAAQAgAAAAIgEAAGRycy9l&#10;Mm9Eb2MueG1sUEsFBgAAAAAGAAYAWQEAANAFAAAAAA==&#10;" adj="10792">
                    <v:path arrowok="t"/>
                    <v:fill on="f" focussize="0,0"/>
                    <v:stroke endarrow="block" endarrowwidth="narrow"/>
                    <v:imagedata o:title=""/>
                    <o:lock v:ext="edit"/>
                  </v:shape>
                  <v:shape id="文本框 1261" o:spid="_x0000_s23844" o:spt="202" type="#_x0000_t202" style="position:absolute;left:6823;top:3759;height:721;width:1297;" filled="f" stroked="f" coordsize="21600,21600" o:gfxdata="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aN/bP0wAAAAUBAAAPAAAAAAAAAAEAIAAAACIAAABkcnMvZG93bnJldi54bWxQSwECFAAUAAAA&#10;CACHTuJAEMWscLoBAABdAwAADgAAAAAAAAABACAAAAAiAQAAZHJzL2Uyb0RvYy54bWxQSwUGAAAA&#10;AAYABgBZAQAATgUAAAAA&#10;">
                    <v:path/>
                    <v:fill on="f" focussize="0,0"/>
                    <v:stroke on="f" joinstyle="miter"/>
                    <v:imagedata o:title=""/>
                    <o:lock v:ext="edit"/>
                    <v:textbox>
                      <w:txbxContent>
                        <w:p w14:paraId="1ED6DC1B">
                          <w:pPr>
                            <w:jc w:val="center"/>
                            <w:rPr>
                              <w:rFonts w:eastAsia="黑体"/>
                              <w:color w:val="FF0000"/>
                              <w:sz w:val="18"/>
                              <w:szCs w:val="18"/>
                            </w:rPr>
                          </w:pPr>
                          <w:r>
                            <w:rPr>
                              <w:rFonts w:hAnsi="黑体" w:eastAsia="黑体"/>
                              <w:color w:val="FF0000"/>
                              <w:sz w:val="18"/>
                              <w:szCs w:val="18"/>
                            </w:rPr>
                            <w:t>玻璃制品</w:t>
                          </w:r>
                          <w:r>
                            <w:rPr>
                              <w:rFonts w:hint="eastAsia" w:eastAsia="黑体"/>
                              <w:color w:val="FF0000"/>
                              <w:sz w:val="18"/>
                              <w:szCs w:val="18"/>
                            </w:rPr>
                            <w:t>15</w:t>
                          </w:r>
                          <w:r>
                            <w:rPr>
                              <w:rFonts w:eastAsia="黑体"/>
                              <w:color w:val="FF0000"/>
                              <w:sz w:val="18"/>
                              <w:szCs w:val="18"/>
                            </w:rPr>
                            <w:t>00</w:t>
                          </w:r>
                          <w:r>
                            <w:rPr>
                              <w:rFonts w:hAnsi="黑体" w:eastAsia="黑体"/>
                              <w:color w:val="FF0000"/>
                              <w:sz w:val="18"/>
                              <w:szCs w:val="18"/>
                            </w:rPr>
                            <w:t>万只</w:t>
                          </w:r>
                        </w:p>
                      </w:txbxContent>
                    </v:textbox>
                  </v:shape>
                  <v:shape id="文本框 1262" o:spid="_x0000_s23845" o:spt="202" type="#_x0000_t202" style="position:absolute;left:8289;top:3727;height:721;width:1483;" filled="f" stroked="f" coordsize="21600,21600" o:gfxdata="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jf2z9MAAAAFAQAADwAAAAAAAAABACAAAAAiAAAAZHJzL2Rvd25yZXYueG1sUEsBAhQAFAAA&#10;AAgAh07iQGSmb5C7AQAAXQMAAA4AAAAAAAAAAQAgAAAAIgEAAGRycy9lMm9Eb2MueG1sUEsFBgAA&#10;AAAGAAYAWQEAAE8FAAAAAA==&#10;">
                    <v:path/>
                    <v:fill on="f" focussize="0,0"/>
                    <v:stroke on="f" joinstyle="miter"/>
                    <v:imagedata o:title=""/>
                    <o:lock v:ext="edit"/>
                    <v:textbox>
                      <w:txbxContent>
                        <w:p w14:paraId="6C9A445B">
                          <w:pPr>
                            <w:jc w:val="center"/>
                            <w:rPr>
                              <w:rFonts w:hAnsi="黑体" w:eastAsia="黑体"/>
                              <w:sz w:val="18"/>
                              <w:szCs w:val="18"/>
                            </w:rPr>
                          </w:pPr>
                          <w:r>
                            <w:rPr>
                              <w:rFonts w:hAnsi="黑体" w:eastAsia="黑体"/>
                              <w:sz w:val="18"/>
                              <w:szCs w:val="18"/>
                            </w:rPr>
                            <w:t>剩余玻璃制品</w:t>
                          </w:r>
                        </w:p>
                        <w:p w14:paraId="361B6384">
                          <w:pPr>
                            <w:jc w:val="center"/>
                            <w:rPr>
                              <w:rFonts w:eastAsia="黑体"/>
                              <w:sz w:val="18"/>
                              <w:szCs w:val="18"/>
                            </w:rPr>
                          </w:pPr>
                          <w:r>
                            <w:rPr>
                              <w:rFonts w:hint="eastAsia" w:hAnsi="黑体" w:eastAsia="黑体"/>
                              <w:sz w:val="18"/>
                              <w:szCs w:val="18"/>
                            </w:rPr>
                            <w:t>69300万只</w:t>
                          </w:r>
                        </w:p>
                      </w:txbxContent>
                    </v:textbox>
                  </v:shape>
                </v:group>
              </w:pict>
            </w:r>
          </w:p>
          <w:p w14:paraId="47DDB0BD">
            <w:pPr>
              <w:spacing w:line="276" w:lineRule="auto"/>
              <w:jc w:val="left"/>
              <w:rPr>
                <w:color w:val="auto"/>
                <w:sz w:val="24"/>
                <w:szCs w:val="24"/>
              </w:rPr>
            </w:pPr>
          </w:p>
          <w:p w14:paraId="5A98A3AE">
            <w:pPr>
              <w:spacing w:line="276" w:lineRule="auto"/>
              <w:jc w:val="left"/>
              <w:rPr>
                <w:color w:val="auto"/>
                <w:sz w:val="24"/>
                <w:szCs w:val="24"/>
              </w:rPr>
            </w:pPr>
          </w:p>
          <w:p w14:paraId="2A5423B6">
            <w:pPr>
              <w:spacing w:line="276" w:lineRule="auto"/>
              <w:jc w:val="left"/>
              <w:rPr>
                <w:color w:val="auto"/>
                <w:sz w:val="24"/>
                <w:szCs w:val="24"/>
              </w:rPr>
            </w:pPr>
          </w:p>
          <w:p w14:paraId="34CF27D6">
            <w:pPr>
              <w:spacing w:line="276" w:lineRule="auto"/>
              <w:jc w:val="left"/>
              <w:rPr>
                <w:color w:val="auto"/>
                <w:sz w:val="24"/>
                <w:szCs w:val="24"/>
              </w:rPr>
            </w:pPr>
          </w:p>
          <w:p w14:paraId="1141C91F">
            <w:pPr>
              <w:spacing w:line="276" w:lineRule="auto"/>
              <w:jc w:val="left"/>
              <w:rPr>
                <w:color w:val="auto"/>
                <w:sz w:val="24"/>
                <w:szCs w:val="24"/>
              </w:rPr>
            </w:pPr>
          </w:p>
          <w:p w14:paraId="0F5CD866">
            <w:pPr>
              <w:spacing w:line="276" w:lineRule="auto"/>
              <w:jc w:val="left"/>
              <w:rPr>
                <w:color w:val="auto"/>
                <w:sz w:val="24"/>
                <w:szCs w:val="24"/>
              </w:rPr>
            </w:pPr>
          </w:p>
          <w:p w14:paraId="700A8134">
            <w:pPr>
              <w:spacing w:line="276" w:lineRule="auto"/>
              <w:jc w:val="left"/>
              <w:rPr>
                <w:color w:val="auto"/>
                <w:sz w:val="24"/>
                <w:szCs w:val="24"/>
              </w:rPr>
            </w:pPr>
          </w:p>
          <w:p w14:paraId="63190384">
            <w:pPr>
              <w:spacing w:line="276" w:lineRule="auto"/>
              <w:jc w:val="left"/>
              <w:rPr>
                <w:color w:val="auto"/>
                <w:sz w:val="24"/>
                <w:szCs w:val="24"/>
              </w:rPr>
            </w:pPr>
          </w:p>
          <w:p w14:paraId="5A689BF4">
            <w:pPr>
              <w:spacing w:line="276" w:lineRule="auto"/>
              <w:jc w:val="left"/>
              <w:rPr>
                <w:color w:val="auto"/>
                <w:sz w:val="24"/>
                <w:szCs w:val="24"/>
              </w:rPr>
            </w:pPr>
          </w:p>
          <w:p w14:paraId="7C783001">
            <w:pPr>
              <w:spacing w:line="276" w:lineRule="auto"/>
              <w:jc w:val="left"/>
              <w:rPr>
                <w:color w:val="auto"/>
                <w:sz w:val="24"/>
                <w:szCs w:val="24"/>
              </w:rPr>
            </w:pPr>
          </w:p>
          <w:p w14:paraId="3C16FEE8">
            <w:pPr>
              <w:spacing w:line="276" w:lineRule="auto"/>
              <w:rPr>
                <w:color w:val="auto"/>
                <w:sz w:val="24"/>
                <w:szCs w:val="24"/>
              </w:rPr>
            </w:pPr>
          </w:p>
          <w:p w14:paraId="0B0FC0F0">
            <w:pPr>
              <w:spacing w:line="276" w:lineRule="auto"/>
              <w:rPr>
                <w:color w:val="auto"/>
                <w:sz w:val="24"/>
                <w:szCs w:val="24"/>
              </w:rPr>
            </w:pPr>
          </w:p>
          <w:p w14:paraId="433D88C2">
            <w:pPr>
              <w:spacing w:line="276" w:lineRule="auto"/>
              <w:rPr>
                <w:color w:val="auto"/>
                <w:sz w:val="24"/>
                <w:szCs w:val="24"/>
              </w:rPr>
            </w:pPr>
          </w:p>
          <w:p w14:paraId="3C30A97F">
            <w:pPr>
              <w:spacing w:line="276" w:lineRule="auto"/>
              <w:rPr>
                <w:color w:val="auto"/>
                <w:sz w:val="24"/>
                <w:szCs w:val="24"/>
              </w:rPr>
            </w:pPr>
          </w:p>
          <w:p w14:paraId="47970FAF">
            <w:pPr>
              <w:spacing w:line="276" w:lineRule="auto"/>
              <w:rPr>
                <w:color w:val="auto"/>
                <w:sz w:val="24"/>
                <w:szCs w:val="24"/>
              </w:rPr>
            </w:pPr>
          </w:p>
          <w:p w14:paraId="572BE6FA">
            <w:pPr>
              <w:spacing w:line="276" w:lineRule="auto"/>
              <w:jc w:val="center"/>
              <w:rPr>
                <w:b/>
                <w:color w:val="auto"/>
                <w:sz w:val="24"/>
                <w:szCs w:val="24"/>
              </w:rPr>
            </w:pPr>
            <w:r>
              <w:rPr>
                <w:rFonts w:hAnsi="黑体" w:eastAsia="黑体"/>
                <w:color w:val="auto"/>
                <w:sz w:val="24"/>
                <w:szCs w:val="24"/>
              </w:rPr>
              <w:t>图</w:t>
            </w:r>
            <w:r>
              <w:rPr>
                <w:rFonts w:hint="eastAsia" w:eastAsia="黑体"/>
                <w:color w:val="auto"/>
                <w:sz w:val="24"/>
                <w:szCs w:val="24"/>
              </w:rPr>
              <w:t>1</w:t>
            </w:r>
            <w:r>
              <w:rPr>
                <w:rFonts w:eastAsia="黑体"/>
                <w:color w:val="auto"/>
                <w:sz w:val="24"/>
                <w:szCs w:val="24"/>
              </w:rPr>
              <w:t xml:space="preserve">  </w:t>
            </w:r>
            <w:r>
              <w:rPr>
                <w:rFonts w:hAnsi="黑体" w:eastAsia="黑体"/>
                <w:color w:val="auto"/>
                <w:sz w:val="24"/>
                <w:szCs w:val="24"/>
              </w:rPr>
              <w:t>产品线路图</w:t>
            </w:r>
          </w:p>
          <w:p w14:paraId="2E4079F8">
            <w:pPr>
              <w:spacing w:line="360" w:lineRule="auto"/>
              <w:ind w:firstLine="482" w:firstLineChars="200"/>
              <w:rPr>
                <w:b/>
                <w:color w:val="auto"/>
                <w:sz w:val="24"/>
              </w:rPr>
            </w:pPr>
            <w:r>
              <w:rPr>
                <w:rFonts w:hint="eastAsia"/>
                <w:b/>
                <w:color w:val="auto"/>
                <w:sz w:val="24"/>
              </w:rPr>
              <w:t>5</w:t>
            </w:r>
            <w:r>
              <w:rPr>
                <w:b/>
                <w:color w:val="auto"/>
                <w:sz w:val="24"/>
              </w:rPr>
              <w:t>、</w:t>
            </w:r>
            <w:r>
              <w:rPr>
                <w:rFonts w:hint="eastAsia"/>
                <w:b/>
                <w:color w:val="auto"/>
                <w:sz w:val="24"/>
              </w:rPr>
              <w:t>主要生产设备</w:t>
            </w:r>
          </w:p>
          <w:p w14:paraId="4786569B">
            <w:pPr>
              <w:autoSpaceDE w:val="0"/>
              <w:autoSpaceDN w:val="0"/>
              <w:adjustRightInd w:val="0"/>
              <w:snapToGrid w:val="0"/>
              <w:spacing w:line="360" w:lineRule="auto"/>
              <w:ind w:firstLine="480" w:firstLineChars="200"/>
              <w:jc w:val="left"/>
              <w:rPr>
                <w:color w:val="auto"/>
                <w:sz w:val="24"/>
                <w:szCs w:val="24"/>
              </w:rPr>
            </w:pPr>
            <w:r>
              <w:rPr>
                <w:rFonts w:hint="eastAsia"/>
                <w:color w:val="auto"/>
                <w:sz w:val="24"/>
                <w:szCs w:val="24"/>
              </w:rPr>
              <w:t>本次改建项目依托现有厂区一车间、三车间玻璃生产线现有生产设备，仅于一车间、三车间各增加1套热端喷涂装置，同时配套相应的环保设施，主要生产设备见下表。</w:t>
            </w:r>
          </w:p>
          <w:p w14:paraId="52F6FC10">
            <w:pPr>
              <w:pStyle w:val="219"/>
              <w:jc w:val="center"/>
              <w:rPr>
                <w:rFonts w:eastAsia="黑体" w:cs="Times New Roman"/>
                <w:color w:val="auto"/>
              </w:rPr>
            </w:pPr>
            <w:r>
              <w:rPr>
                <w:rFonts w:hAnsi="黑体" w:eastAsia="黑体" w:cs="Times New Roman"/>
                <w:color w:val="auto"/>
              </w:rPr>
              <w:t>表</w:t>
            </w:r>
            <w:r>
              <w:rPr>
                <w:rFonts w:hint="eastAsia" w:eastAsia="黑体" w:cs="Times New Roman"/>
                <w:color w:val="auto"/>
              </w:rPr>
              <w:t>14</w:t>
            </w:r>
            <w:r>
              <w:rPr>
                <w:rFonts w:eastAsia="黑体" w:cs="Times New Roman"/>
                <w:color w:val="auto"/>
              </w:rPr>
              <w:t xml:space="preserve">  </w:t>
            </w:r>
            <w:r>
              <w:rPr>
                <w:rFonts w:hAnsi="黑体" w:eastAsia="黑体" w:cs="Times New Roman"/>
                <w:color w:val="auto"/>
              </w:rPr>
              <w:t>项目主要设备一览表</w:t>
            </w:r>
          </w:p>
          <w:tbl>
            <w:tblPr>
              <w:tblStyle w:val="35"/>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09"/>
              <w:gridCol w:w="1000"/>
              <w:gridCol w:w="914"/>
              <w:gridCol w:w="342"/>
              <w:gridCol w:w="1258"/>
              <w:gridCol w:w="1009"/>
              <w:gridCol w:w="1004"/>
              <w:gridCol w:w="1007"/>
              <w:gridCol w:w="1004"/>
            </w:tblGrid>
            <w:tr w14:paraId="5C01CEE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74" w:type="pct"/>
                  <w:vMerge w:val="restart"/>
                  <w:vAlign w:val="center"/>
                </w:tcPr>
                <w:p w14:paraId="56C8F4AA">
                  <w:pPr>
                    <w:autoSpaceDE w:val="0"/>
                    <w:autoSpaceDN w:val="0"/>
                    <w:adjustRightInd w:val="0"/>
                    <w:snapToGrid w:val="0"/>
                    <w:spacing w:line="276" w:lineRule="auto"/>
                    <w:jc w:val="center"/>
                    <w:rPr>
                      <w:b/>
                      <w:color w:val="auto"/>
                      <w:szCs w:val="21"/>
                    </w:rPr>
                  </w:pPr>
                  <w:r>
                    <w:rPr>
                      <w:rFonts w:hAnsi="宋体"/>
                      <w:b/>
                      <w:color w:val="auto"/>
                      <w:szCs w:val="21"/>
                    </w:rPr>
                    <w:t>序号</w:t>
                  </w:r>
                </w:p>
              </w:tc>
              <w:tc>
                <w:tcPr>
                  <w:tcW w:w="614" w:type="pct"/>
                  <w:vMerge w:val="restart"/>
                  <w:vAlign w:val="center"/>
                </w:tcPr>
                <w:p w14:paraId="5A009C1F">
                  <w:pPr>
                    <w:autoSpaceDE w:val="0"/>
                    <w:autoSpaceDN w:val="0"/>
                    <w:adjustRightInd w:val="0"/>
                    <w:snapToGrid w:val="0"/>
                    <w:spacing w:line="276" w:lineRule="auto"/>
                    <w:jc w:val="center"/>
                    <w:rPr>
                      <w:b/>
                      <w:color w:val="auto"/>
                      <w:szCs w:val="21"/>
                    </w:rPr>
                  </w:pPr>
                  <w:r>
                    <w:rPr>
                      <w:b/>
                      <w:color w:val="auto"/>
                      <w:szCs w:val="21"/>
                    </w:rPr>
                    <w:t>生产工序</w:t>
                  </w:r>
                </w:p>
              </w:tc>
              <w:tc>
                <w:tcPr>
                  <w:tcW w:w="561" w:type="pct"/>
                  <w:vMerge w:val="restart"/>
                  <w:vAlign w:val="center"/>
                </w:tcPr>
                <w:p w14:paraId="4A6F2FBC">
                  <w:pPr>
                    <w:autoSpaceDE w:val="0"/>
                    <w:autoSpaceDN w:val="0"/>
                    <w:adjustRightInd w:val="0"/>
                    <w:snapToGrid w:val="0"/>
                    <w:spacing w:line="276" w:lineRule="auto"/>
                    <w:jc w:val="center"/>
                    <w:rPr>
                      <w:b/>
                      <w:color w:val="auto"/>
                      <w:szCs w:val="21"/>
                    </w:rPr>
                  </w:pPr>
                  <w:r>
                    <w:rPr>
                      <w:b/>
                      <w:color w:val="auto"/>
                      <w:szCs w:val="21"/>
                    </w:rPr>
                    <w:t>设备名称</w:t>
                  </w:r>
                </w:p>
              </w:tc>
              <w:tc>
                <w:tcPr>
                  <w:tcW w:w="982" w:type="pct"/>
                  <w:gridSpan w:val="2"/>
                  <w:vMerge w:val="restart"/>
                  <w:vAlign w:val="center"/>
                </w:tcPr>
                <w:p w14:paraId="498AFFF1">
                  <w:pPr>
                    <w:autoSpaceDE w:val="0"/>
                    <w:autoSpaceDN w:val="0"/>
                    <w:adjustRightInd w:val="0"/>
                    <w:snapToGrid w:val="0"/>
                    <w:spacing w:line="276" w:lineRule="auto"/>
                    <w:jc w:val="center"/>
                    <w:rPr>
                      <w:b/>
                      <w:color w:val="auto"/>
                      <w:szCs w:val="21"/>
                    </w:rPr>
                  </w:pPr>
                  <w:r>
                    <w:rPr>
                      <w:b/>
                      <w:color w:val="auto"/>
                      <w:szCs w:val="21"/>
                    </w:rPr>
                    <w:t>规格</w:t>
                  </w:r>
                </w:p>
              </w:tc>
              <w:tc>
                <w:tcPr>
                  <w:tcW w:w="619" w:type="pct"/>
                  <w:vAlign w:val="center"/>
                </w:tcPr>
                <w:p w14:paraId="28F24064">
                  <w:pPr>
                    <w:autoSpaceDE w:val="0"/>
                    <w:autoSpaceDN w:val="0"/>
                    <w:adjustRightInd w:val="0"/>
                    <w:snapToGrid w:val="0"/>
                    <w:spacing w:line="276" w:lineRule="auto"/>
                    <w:jc w:val="center"/>
                    <w:rPr>
                      <w:b/>
                      <w:color w:val="auto"/>
                      <w:szCs w:val="21"/>
                    </w:rPr>
                  </w:pPr>
                  <w:r>
                    <w:rPr>
                      <w:b/>
                      <w:color w:val="auto"/>
                      <w:szCs w:val="21"/>
                    </w:rPr>
                    <w:t>改建前</w:t>
                  </w:r>
                </w:p>
              </w:tc>
              <w:tc>
                <w:tcPr>
                  <w:tcW w:w="616" w:type="pct"/>
                  <w:vAlign w:val="center"/>
                </w:tcPr>
                <w:p w14:paraId="2A1508DA">
                  <w:pPr>
                    <w:autoSpaceDE w:val="0"/>
                    <w:autoSpaceDN w:val="0"/>
                    <w:adjustRightInd w:val="0"/>
                    <w:snapToGrid w:val="0"/>
                    <w:spacing w:line="276" w:lineRule="auto"/>
                    <w:jc w:val="center"/>
                    <w:rPr>
                      <w:b/>
                      <w:color w:val="auto"/>
                      <w:szCs w:val="21"/>
                    </w:rPr>
                  </w:pPr>
                  <w:r>
                    <w:rPr>
                      <w:b/>
                      <w:color w:val="auto"/>
                      <w:szCs w:val="21"/>
                    </w:rPr>
                    <w:t>改建后</w:t>
                  </w:r>
                </w:p>
              </w:tc>
              <w:tc>
                <w:tcPr>
                  <w:tcW w:w="618" w:type="pct"/>
                  <w:vMerge w:val="restart"/>
                  <w:vAlign w:val="center"/>
                </w:tcPr>
                <w:p w14:paraId="20A44586">
                  <w:pPr>
                    <w:autoSpaceDE w:val="0"/>
                    <w:autoSpaceDN w:val="0"/>
                    <w:adjustRightInd w:val="0"/>
                    <w:snapToGrid w:val="0"/>
                    <w:spacing w:line="276" w:lineRule="auto"/>
                    <w:jc w:val="center"/>
                    <w:rPr>
                      <w:b/>
                      <w:color w:val="auto"/>
                      <w:szCs w:val="21"/>
                    </w:rPr>
                  </w:pPr>
                  <w:r>
                    <w:rPr>
                      <w:b/>
                      <w:color w:val="auto"/>
                      <w:szCs w:val="21"/>
                    </w:rPr>
                    <w:t>增减量（台</w:t>
                  </w:r>
                  <w:r>
                    <w:rPr>
                      <w:rFonts w:hint="eastAsia"/>
                      <w:b/>
                      <w:color w:val="auto"/>
                      <w:szCs w:val="21"/>
                    </w:rPr>
                    <w:t>/套</w:t>
                  </w:r>
                  <w:r>
                    <w:rPr>
                      <w:b/>
                      <w:color w:val="auto"/>
                      <w:szCs w:val="21"/>
                    </w:rPr>
                    <w:t>）</w:t>
                  </w:r>
                </w:p>
              </w:tc>
              <w:tc>
                <w:tcPr>
                  <w:tcW w:w="616" w:type="pct"/>
                  <w:vMerge w:val="restart"/>
                  <w:vAlign w:val="center"/>
                </w:tcPr>
                <w:p w14:paraId="0FDDE836">
                  <w:pPr>
                    <w:autoSpaceDE w:val="0"/>
                    <w:autoSpaceDN w:val="0"/>
                    <w:adjustRightInd w:val="0"/>
                    <w:snapToGrid w:val="0"/>
                    <w:spacing w:line="276" w:lineRule="auto"/>
                    <w:jc w:val="center"/>
                    <w:rPr>
                      <w:b/>
                      <w:color w:val="auto"/>
                      <w:szCs w:val="21"/>
                    </w:rPr>
                  </w:pPr>
                  <w:r>
                    <w:rPr>
                      <w:b/>
                      <w:color w:val="auto"/>
                      <w:szCs w:val="21"/>
                    </w:rPr>
                    <w:t>备注</w:t>
                  </w:r>
                </w:p>
              </w:tc>
            </w:tr>
            <w:tr w14:paraId="75321CC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Merge w:val="continue"/>
                  <w:vAlign w:val="center"/>
                </w:tcPr>
                <w:p w14:paraId="340D7C00">
                  <w:pPr>
                    <w:autoSpaceDE w:val="0"/>
                    <w:autoSpaceDN w:val="0"/>
                    <w:adjustRightInd w:val="0"/>
                    <w:snapToGrid w:val="0"/>
                    <w:spacing w:line="276" w:lineRule="auto"/>
                    <w:jc w:val="center"/>
                    <w:rPr>
                      <w:b/>
                      <w:color w:val="auto"/>
                      <w:szCs w:val="21"/>
                    </w:rPr>
                  </w:pPr>
                </w:p>
              </w:tc>
              <w:tc>
                <w:tcPr>
                  <w:tcW w:w="614" w:type="pct"/>
                  <w:vMerge w:val="continue"/>
                  <w:vAlign w:val="center"/>
                </w:tcPr>
                <w:p w14:paraId="7633A946">
                  <w:pPr>
                    <w:autoSpaceDE w:val="0"/>
                    <w:autoSpaceDN w:val="0"/>
                    <w:adjustRightInd w:val="0"/>
                    <w:snapToGrid w:val="0"/>
                    <w:spacing w:line="276" w:lineRule="auto"/>
                    <w:jc w:val="center"/>
                    <w:rPr>
                      <w:b/>
                      <w:color w:val="auto"/>
                      <w:szCs w:val="21"/>
                    </w:rPr>
                  </w:pPr>
                </w:p>
              </w:tc>
              <w:tc>
                <w:tcPr>
                  <w:tcW w:w="561" w:type="pct"/>
                  <w:vMerge w:val="continue"/>
                  <w:vAlign w:val="center"/>
                </w:tcPr>
                <w:p w14:paraId="302E2A27">
                  <w:pPr>
                    <w:autoSpaceDE w:val="0"/>
                    <w:autoSpaceDN w:val="0"/>
                    <w:adjustRightInd w:val="0"/>
                    <w:snapToGrid w:val="0"/>
                    <w:spacing w:line="276" w:lineRule="auto"/>
                    <w:jc w:val="center"/>
                    <w:rPr>
                      <w:b/>
                      <w:color w:val="auto"/>
                      <w:szCs w:val="21"/>
                    </w:rPr>
                  </w:pPr>
                </w:p>
              </w:tc>
              <w:tc>
                <w:tcPr>
                  <w:tcW w:w="982" w:type="pct"/>
                  <w:gridSpan w:val="2"/>
                  <w:vMerge w:val="continue"/>
                  <w:vAlign w:val="center"/>
                </w:tcPr>
                <w:p w14:paraId="7660F92F">
                  <w:pPr>
                    <w:autoSpaceDE w:val="0"/>
                    <w:autoSpaceDN w:val="0"/>
                    <w:adjustRightInd w:val="0"/>
                    <w:snapToGrid w:val="0"/>
                    <w:spacing w:line="276" w:lineRule="auto"/>
                    <w:jc w:val="center"/>
                    <w:rPr>
                      <w:b/>
                      <w:color w:val="auto"/>
                      <w:szCs w:val="21"/>
                    </w:rPr>
                  </w:pPr>
                </w:p>
              </w:tc>
              <w:tc>
                <w:tcPr>
                  <w:tcW w:w="619" w:type="pct"/>
                  <w:vAlign w:val="center"/>
                </w:tcPr>
                <w:p w14:paraId="77C73A86">
                  <w:pPr>
                    <w:autoSpaceDE w:val="0"/>
                    <w:autoSpaceDN w:val="0"/>
                    <w:adjustRightInd w:val="0"/>
                    <w:snapToGrid w:val="0"/>
                    <w:spacing w:line="276" w:lineRule="auto"/>
                    <w:jc w:val="center"/>
                    <w:rPr>
                      <w:b/>
                      <w:color w:val="auto"/>
                      <w:szCs w:val="21"/>
                    </w:rPr>
                  </w:pPr>
                  <w:r>
                    <w:rPr>
                      <w:b/>
                      <w:color w:val="auto"/>
                      <w:szCs w:val="21"/>
                    </w:rPr>
                    <w:t>数量（台</w:t>
                  </w:r>
                  <w:r>
                    <w:rPr>
                      <w:rFonts w:hint="eastAsia"/>
                      <w:b/>
                      <w:color w:val="auto"/>
                      <w:szCs w:val="21"/>
                    </w:rPr>
                    <w:t>/套</w:t>
                  </w:r>
                  <w:r>
                    <w:rPr>
                      <w:b/>
                      <w:color w:val="auto"/>
                      <w:szCs w:val="21"/>
                    </w:rPr>
                    <w:t>）</w:t>
                  </w:r>
                </w:p>
              </w:tc>
              <w:tc>
                <w:tcPr>
                  <w:tcW w:w="616" w:type="pct"/>
                  <w:vAlign w:val="center"/>
                </w:tcPr>
                <w:p w14:paraId="457A394B">
                  <w:pPr>
                    <w:autoSpaceDE w:val="0"/>
                    <w:autoSpaceDN w:val="0"/>
                    <w:adjustRightInd w:val="0"/>
                    <w:snapToGrid w:val="0"/>
                    <w:spacing w:line="276" w:lineRule="auto"/>
                    <w:jc w:val="center"/>
                    <w:rPr>
                      <w:b/>
                      <w:color w:val="auto"/>
                      <w:szCs w:val="21"/>
                    </w:rPr>
                  </w:pPr>
                  <w:r>
                    <w:rPr>
                      <w:b/>
                      <w:color w:val="auto"/>
                      <w:szCs w:val="21"/>
                    </w:rPr>
                    <w:t>数量（台</w:t>
                  </w:r>
                  <w:r>
                    <w:rPr>
                      <w:rFonts w:hint="eastAsia"/>
                      <w:b/>
                      <w:color w:val="auto"/>
                      <w:szCs w:val="21"/>
                    </w:rPr>
                    <w:t>/套</w:t>
                  </w:r>
                  <w:r>
                    <w:rPr>
                      <w:b/>
                      <w:color w:val="auto"/>
                      <w:szCs w:val="21"/>
                    </w:rPr>
                    <w:t>）</w:t>
                  </w:r>
                </w:p>
              </w:tc>
              <w:tc>
                <w:tcPr>
                  <w:tcW w:w="618" w:type="pct"/>
                  <w:vMerge w:val="continue"/>
                  <w:vAlign w:val="center"/>
                </w:tcPr>
                <w:p w14:paraId="799B1B9B">
                  <w:pPr>
                    <w:autoSpaceDE w:val="0"/>
                    <w:autoSpaceDN w:val="0"/>
                    <w:adjustRightInd w:val="0"/>
                    <w:snapToGrid w:val="0"/>
                    <w:spacing w:line="276" w:lineRule="auto"/>
                    <w:jc w:val="center"/>
                    <w:rPr>
                      <w:color w:val="auto"/>
                      <w:szCs w:val="21"/>
                    </w:rPr>
                  </w:pPr>
                </w:p>
              </w:tc>
              <w:tc>
                <w:tcPr>
                  <w:tcW w:w="616" w:type="pct"/>
                  <w:vMerge w:val="continue"/>
                  <w:vAlign w:val="center"/>
                </w:tcPr>
                <w:p w14:paraId="0AEF0153">
                  <w:pPr>
                    <w:autoSpaceDE w:val="0"/>
                    <w:autoSpaceDN w:val="0"/>
                    <w:adjustRightInd w:val="0"/>
                    <w:snapToGrid w:val="0"/>
                    <w:spacing w:line="276" w:lineRule="auto"/>
                    <w:jc w:val="center"/>
                    <w:rPr>
                      <w:color w:val="auto"/>
                      <w:szCs w:val="21"/>
                    </w:rPr>
                  </w:pPr>
                </w:p>
              </w:tc>
            </w:tr>
            <w:tr w14:paraId="09F8BB3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9"/>
                  <w:vAlign w:val="center"/>
                </w:tcPr>
                <w:p w14:paraId="76C2A837">
                  <w:pPr>
                    <w:autoSpaceDE w:val="0"/>
                    <w:autoSpaceDN w:val="0"/>
                    <w:adjustRightInd w:val="0"/>
                    <w:snapToGrid w:val="0"/>
                    <w:spacing w:line="276" w:lineRule="auto"/>
                    <w:jc w:val="center"/>
                    <w:rPr>
                      <w:b/>
                      <w:color w:val="auto"/>
                      <w:szCs w:val="21"/>
                    </w:rPr>
                  </w:pPr>
                  <w:r>
                    <w:rPr>
                      <w:rFonts w:hint="eastAsia"/>
                      <w:b/>
                      <w:color w:val="auto"/>
                      <w:szCs w:val="21"/>
                    </w:rPr>
                    <w:t>玻璃生产线</w:t>
                  </w:r>
                </w:p>
              </w:tc>
            </w:tr>
            <w:tr w14:paraId="5A83BFE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76F29629">
                  <w:pPr>
                    <w:autoSpaceDE w:val="0"/>
                    <w:autoSpaceDN w:val="0"/>
                    <w:adjustRightInd w:val="0"/>
                    <w:snapToGrid w:val="0"/>
                    <w:spacing w:line="276" w:lineRule="auto"/>
                    <w:jc w:val="center"/>
                    <w:rPr>
                      <w:color w:val="auto"/>
                      <w:szCs w:val="21"/>
                    </w:rPr>
                  </w:pPr>
                  <w:r>
                    <w:rPr>
                      <w:rFonts w:hint="eastAsia"/>
                      <w:color w:val="auto"/>
                      <w:szCs w:val="21"/>
                    </w:rPr>
                    <w:t>1</w:t>
                  </w:r>
                </w:p>
              </w:tc>
              <w:tc>
                <w:tcPr>
                  <w:tcW w:w="614" w:type="pct"/>
                  <w:vAlign w:val="center"/>
                </w:tcPr>
                <w:p w14:paraId="301F1747">
                  <w:pPr>
                    <w:autoSpaceDE w:val="0"/>
                    <w:autoSpaceDN w:val="0"/>
                    <w:adjustRightInd w:val="0"/>
                    <w:snapToGrid w:val="0"/>
                    <w:spacing w:line="276" w:lineRule="auto"/>
                    <w:jc w:val="center"/>
                    <w:rPr>
                      <w:color w:val="auto"/>
                      <w:szCs w:val="21"/>
                    </w:rPr>
                  </w:pPr>
                  <w:r>
                    <w:rPr>
                      <w:color w:val="auto"/>
                      <w:szCs w:val="21"/>
                    </w:rPr>
                    <w:t>投料</w:t>
                  </w:r>
                </w:p>
              </w:tc>
              <w:tc>
                <w:tcPr>
                  <w:tcW w:w="561" w:type="pct"/>
                  <w:vAlign w:val="center"/>
                </w:tcPr>
                <w:p w14:paraId="5256C2CA">
                  <w:pPr>
                    <w:autoSpaceDE w:val="0"/>
                    <w:autoSpaceDN w:val="0"/>
                    <w:adjustRightInd w:val="0"/>
                    <w:snapToGrid w:val="0"/>
                    <w:spacing w:line="276" w:lineRule="auto"/>
                    <w:jc w:val="center"/>
                    <w:rPr>
                      <w:color w:val="auto"/>
                      <w:szCs w:val="21"/>
                    </w:rPr>
                  </w:pPr>
                  <w:r>
                    <w:rPr>
                      <w:color w:val="auto"/>
                      <w:szCs w:val="21"/>
                    </w:rPr>
                    <w:t>投料机</w:t>
                  </w:r>
                </w:p>
              </w:tc>
              <w:tc>
                <w:tcPr>
                  <w:tcW w:w="982" w:type="pct"/>
                  <w:gridSpan w:val="2"/>
                  <w:vAlign w:val="center"/>
                </w:tcPr>
                <w:p w14:paraId="523DA61B">
                  <w:pPr>
                    <w:autoSpaceDE w:val="0"/>
                    <w:autoSpaceDN w:val="0"/>
                    <w:adjustRightInd w:val="0"/>
                    <w:snapToGrid w:val="0"/>
                    <w:spacing w:line="276" w:lineRule="auto"/>
                    <w:jc w:val="center"/>
                    <w:rPr>
                      <w:color w:val="auto"/>
                      <w:szCs w:val="21"/>
                    </w:rPr>
                  </w:pPr>
                  <w:r>
                    <w:rPr>
                      <w:rFonts w:hint="eastAsia"/>
                      <w:color w:val="auto"/>
                      <w:szCs w:val="21"/>
                    </w:rPr>
                    <w:t>/</w:t>
                  </w:r>
                </w:p>
              </w:tc>
              <w:tc>
                <w:tcPr>
                  <w:tcW w:w="619" w:type="pct"/>
                  <w:vAlign w:val="center"/>
                </w:tcPr>
                <w:p w14:paraId="4C758690">
                  <w:pPr>
                    <w:autoSpaceDE w:val="0"/>
                    <w:autoSpaceDN w:val="0"/>
                    <w:adjustRightInd w:val="0"/>
                    <w:snapToGrid w:val="0"/>
                    <w:spacing w:line="276" w:lineRule="auto"/>
                    <w:jc w:val="center"/>
                    <w:rPr>
                      <w:color w:val="auto"/>
                      <w:szCs w:val="21"/>
                    </w:rPr>
                  </w:pPr>
                  <w:r>
                    <w:rPr>
                      <w:rFonts w:hint="eastAsia"/>
                      <w:color w:val="auto"/>
                      <w:szCs w:val="21"/>
                    </w:rPr>
                    <w:t>4</w:t>
                  </w:r>
                </w:p>
              </w:tc>
              <w:tc>
                <w:tcPr>
                  <w:tcW w:w="616" w:type="pct"/>
                  <w:vAlign w:val="center"/>
                </w:tcPr>
                <w:p w14:paraId="2C69EB8B">
                  <w:pPr>
                    <w:autoSpaceDE w:val="0"/>
                    <w:autoSpaceDN w:val="0"/>
                    <w:adjustRightInd w:val="0"/>
                    <w:snapToGrid w:val="0"/>
                    <w:spacing w:line="276" w:lineRule="auto"/>
                    <w:jc w:val="center"/>
                    <w:rPr>
                      <w:color w:val="auto"/>
                      <w:szCs w:val="21"/>
                    </w:rPr>
                  </w:pPr>
                  <w:r>
                    <w:rPr>
                      <w:rFonts w:hint="eastAsia"/>
                      <w:color w:val="auto"/>
                      <w:szCs w:val="21"/>
                    </w:rPr>
                    <w:t>4</w:t>
                  </w:r>
                </w:p>
              </w:tc>
              <w:tc>
                <w:tcPr>
                  <w:tcW w:w="618" w:type="pct"/>
                  <w:vAlign w:val="center"/>
                </w:tcPr>
                <w:p w14:paraId="57540122">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3331427E">
                  <w:pPr>
                    <w:autoSpaceDE w:val="0"/>
                    <w:autoSpaceDN w:val="0"/>
                    <w:adjustRightInd w:val="0"/>
                    <w:snapToGrid w:val="0"/>
                    <w:spacing w:line="276" w:lineRule="auto"/>
                    <w:jc w:val="center"/>
                    <w:rPr>
                      <w:color w:val="auto"/>
                      <w:szCs w:val="21"/>
                    </w:rPr>
                  </w:pPr>
                  <w:r>
                    <w:rPr>
                      <w:rFonts w:hint="eastAsia"/>
                      <w:color w:val="auto"/>
                      <w:szCs w:val="21"/>
                    </w:rPr>
                    <w:t>依托现有</w:t>
                  </w:r>
                </w:p>
              </w:tc>
            </w:tr>
            <w:tr w14:paraId="1F7C2B7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6833B417">
                  <w:pPr>
                    <w:autoSpaceDE w:val="0"/>
                    <w:autoSpaceDN w:val="0"/>
                    <w:adjustRightInd w:val="0"/>
                    <w:snapToGrid w:val="0"/>
                    <w:spacing w:line="276" w:lineRule="auto"/>
                    <w:jc w:val="center"/>
                    <w:rPr>
                      <w:color w:val="auto"/>
                      <w:szCs w:val="21"/>
                    </w:rPr>
                  </w:pPr>
                  <w:r>
                    <w:rPr>
                      <w:rFonts w:hint="eastAsia"/>
                      <w:color w:val="auto"/>
                      <w:szCs w:val="21"/>
                    </w:rPr>
                    <w:t>2</w:t>
                  </w:r>
                </w:p>
              </w:tc>
              <w:tc>
                <w:tcPr>
                  <w:tcW w:w="614" w:type="pct"/>
                  <w:vMerge w:val="restart"/>
                  <w:vAlign w:val="center"/>
                </w:tcPr>
                <w:p w14:paraId="4F702383">
                  <w:pPr>
                    <w:autoSpaceDE w:val="0"/>
                    <w:autoSpaceDN w:val="0"/>
                    <w:adjustRightInd w:val="0"/>
                    <w:snapToGrid w:val="0"/>
                    <w:spacing w:line="276" w:lineRule="auto"/>
                    <w:jc w:val="center"/>
                    <w:rPr>
                      <w:color w:val="auto"/>
                      <w:szCs w:val="21"/>
                    </w:rPr>
                  </w:pPr>
                  <w:r>
                    <w:rPr>
                      <w:color w:val="auto"/>
                      <w:szCs w:val="21"/>
                    </w:rPr>
                    <w:t>熔化</w:t>
                  </w:r>
                </w:p>
              </w:tc>
              <w:tc>
                <w:tcPr>
                  <w:tcW w:w="561" w:type="pct"/>
                  <w:vAlign w:val="center"/>
                </w:tcPr>
                <w:p w14:paraId="76D152DC">
                  <w:pPr>
                    <w:autoSpaceDE w:val="0"/>
                    <w:autoSpaceDN w:val="0"/>
                    <w:adjustRightInd w:val="0"/>
                    <w:snapToGrid w:val="0"/>
                    <w:spacing w:line="276" w:lineRule="auto"/>
                    <w:jc w:val="center"/>
                    <w:rPr>
                      <w:color w:val="auto"/>
                      <w:szCs w:val="21"/>
                    </w:rPr>
                  </w:pPr>
                  <w:r>
                    <w:rPr>
                      <w:rFonts w:hint="eastAsia"/>
                      <w:color w:val="auto"/>
                      <w:szCs w:val="21"/>
                    </w:rPr>
                    <w:t>1#玻璃窑炉</w:t>
                  </w:r>
                </w:p>
              </w:tc>
              <w:tc>
                <w:tcPr>
                  <w:tcW w:w="982" w:type="pct"/>
                  <w:gridSpan w:val="2"/>
                  <w:vAlign w:val="center"/>
                </w:tcPr>
                <w:p w14:paraId="15DD2692">
                  <w:pPr>
                    <w:autoSpaceDE w:val="0"/>
                    <w:autoSpaceDN w:val="0"/>
                    <w:adjustRightInd w:val="0"/>
                    <w:snapToGrid w:val="0"/>
                    <w:spacing w:line="276" w:lineRule="auto"/>
                    <w:jc w:val="center"/>
                    <w:rPr>
                      <w:color w:val="auto"/>
                      <w:szCs w:val="21"/>
                    </w:rPr>
                  </w:pPr>
                  <w:r>
                    <w:rPr>
                      <w:rFonts w:hint="eastAsia"/>
                      <w:color w:val="auto"/>
                      <w:szCs w:val="21"/>
                    </w:rPr>
                    <w:t>92m</w:t>
                  </w:r>
                  <w:r>
                    <w:rPr>
                      <w:rFonts w:hint="eastAsia"/>
                      <w:color w:val="auto"/>
                      <w:szCs w:val="21"/>
                      <w:vertAlign w:val="superscript"/>
                    </w:rPr>
                    <w:t>2</w:t>
                  </w:r>
                  <w:r>
                    <w:rPr>
                      <w:rFonts w:hint="eastAsia"/>
                      <w:color w:val="auto"/>
                      <w:szCs w:val="21"/>
                    </w:rPr>
                    <w:t>燃天然气多通道蓄热室马蹄焰窑炉</w:t>
                  </w:r>
                </w:p>
              </w:tc>
              <w:tc>
                <w:tcPr>
                  <w:tcW w:w="619" w:type="pct"/>
                  <w:vAlign w:val="center"/>
                </w:tcPr>
                <w:p w14:paraId="126C91BE">
                  <w:pPr>
                    <w:autoSpaceDE w:val="0"/>
                    <w:autoSpaceDN w:val="0"/>
                    <w:adjustRightInd w:val="0"/>
                    <w:snapToGrid w:val="0"/>
                    <w:spacing w:line="276" w:lineRule="auto"/>
                    <w:jc w:val="center"/>
                    <w:rPr>
                      <w:color w:val="auto"/>
                      <w:szCs w:val="21"/>
                    </w:rPr>
                  </w:pPr>
                  <w:r>
                    <w:rPr>
                      <w:rFonts w:hint="eastAsia"/>
                      <w:color w:val="auto"/>
                      <w:szCs w:val="21"/>
                    </w:rPr>
                    <w:t>1</w:t>
                  </w:r>
                </w:p>
              </w:tc>
              <w:tc>
                <w:tcPr>
                  <w:tcW w:w="616" w:type="pct"/>
                  <w:vAlign w:val="center"/>
                </w:tcPr>
                <w:p w14:paraId="45A11930">
                  <w:pPr>
                    <w:autoSpaceDE w:val="0"/>
                    <w:autoSpaceDN w:val="0"/>
                    <w:adjustRightInd w:val="0"/>
                    <w:snapToGrid w:val="0"/>
                    <w:spacing w:line="276" w:lineRule="auto"/>
                    <w:jc w:val="center"/>
                    <w:rPr>
                      <w:color w:val="auto"/>
                      <w:szCs w:val="21"/>
                    </w:rPr>
                  </w:pPr>
                  <w:r>
                    <w:rPr>
                      <w:rFonts w:hint="eastAsia"/>
                      <w:color w:val="auto"/>
                      <w:szCs w:val="21"/>
                    </w:rPr>
                    <w:t>1</w:t>
                  </w:r>
                </w:p>
              </w:tc>
              <w:tc>
                <w:tcPr>
                  <w:tcW w:w="618" w:type="pct"/>
                  <w:vAlign w:val="center"/>
                </w:tcPr>
                <w:p w14:paraId="4E98D84F">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12ADF617">
                  <w:pPr>
                    <w:autoSpaceDE w:val="0"/>
                    <w:autoSpaceDN w:val="0"/>
                    <w:adjustRightInd w:val="0"/>
                    <w:snapToGrid w:val="0"/>
                    <w:spacing w:line="276" w:lineRule="auto"/>
                    <w:jc w:val="center"/>
                    <w:rPr>
                      <w:color w:val="auto"/>
                      <w:szCs w:val="21"/>
                    </w:rPr>
                  </w:pPr>
                  <w:r>
                    <w:rPr>
                      <w:rFonts w:hint="eastAsia"/>
                      <w:color w:val="auto"/>
                      <w:szCs w:val="21"/>
                    </w:rPr>
                    <w:t>依托现有</w:t>
                  </w:r>
                </w:p>
              </w:tc>
            </w:tr>
            <w:tr w14:paraId="3CF8109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6A95CF8F">
                  <w:pPr>
                    <w:autoSpaceDE w:val="0"/>
                    <w:autoSpaceDN w:val="0"/>
                    <w:adjustRightInd w:val="0"/>
                    <w:snapToGrid w:val="0"/>
                    <w:spacing w:line="276" w:lineRule="auto"/>
                    <w:jc w:val="center"/>
                    <w:rPr>
                      <w:color w:val="auto"/>
                      <w:szCs w:val="21"/>
                    </w:rPr>
                  </w:pPr>
                  <w:r>
                    <w:rPr>
                      <w:rFonts w:hint="eastAsia"/>
                      <w:color w:val="auto"/>
                      <w:szCs w:val="21"/>
                    </w:rPr>
                    <w:t>3</w:t>
                  </w:r>
                </w:p>
              </w:tc>
              <w:tc>
                <w:tcPr>
                  <w:tcW w:w="614" w:type="pct"/>
                  <w:vMerge w:val="continue"/>
                  <w:vAlign w:val="center"/>
                </w:tcPr>
                <w:p w14:paraId="36A39F29">
                  <w:pPr>
                    <w:autoSpaceDE w:val="0"/>
                    <w:autoSpaceDN w:val="0"/>
                    <w:adjustRightInd w:val="0"/>
                    <w:snapToGrid w:val="0"/>
                    <w:spacing w:line="276" w:lineRule="auto"/>
                    <w:jc w:val="center"/>
                    <w:rPr>
                      <w:color w:val="auto"/>
                      <w:szCs w:val="21"/>
                    </w:rPr>
                  </w:pPr>
                </w:p>
              </w:tc>
              <w:tc>
                <w:tcPr>
                  <w:tcW w:w="561" w:type="pct"/>
                  <w:vAlign w:val="center"/>
                </w:tcPr>
                <w:p w14:paraId="1E7F05BF">
                  <w:pPr>
                    <w:autoSpaceDE w:val="0"/>
                    <w:autoSpaceDN w:val="0"/>
                    <w:adjustRightInd w:val="0"/>
                    <w:snapToGrid w:val="0"/>
                    <w:spacing w:line="276" w:lineRule="auto"/>
                    <w:jc w:val="center"/>
                    <w:rPr>
                      <w:color w:val="auto"/>
                      <w:szCs w:val="21"/>
                    </w:rPr>
                  </w:pPr>
                  <w:r>
                    <w:rPr>
                      <w:rFonts w:hint="eastAsia"/>
                      <w:color w:val="auto"/>
                      <w:szCs w:val="21"/>
                    </w:rPr>
                    <w:t>2#玻璃窑炉</w:t>
                  </w:r>
                </w:p>
              </w:tc>
              <w:tc>
                <w:tcPr>
                  <w:tcW w:w="982" w:type="pct"/>
                  <w:gridSpan w:val="2"/>
                  <w:vAlign w:val="center"/>
                </w:tcPr>
                <w:p w14:paraId="572E1366">
                  <w:pPr>
                    <w:autoSpaceDE w:val="0"/>
                    <w:autoSpaceDN w:val="0"/>
                    <w:adjustRightInd w:val="0"/>
                    <w:snapToGrid w:val="0"/>
                    <w:spacing w:line="276" w:lineRule="auto"/>
                    <w:jc w:val="center"/>
                    <w:rPr>
                      <w:color w:val="auto"/>
                      <w:szCs w:val="21"/>
                    </w:rPr>
                  </w:pPr>
                  <w:r>
                    <w:rPr>
                      <w:rFonts w:hint="eastAsia"/>
                      <w:color w:val="auto"/>
                      <w:szCs w:val="21"/>
                    </w:rPr>
                    <w:t>92m</w:t>
                  </w:r>
                  <w:r>
                    <w:rPr>
                      <w:rFonts w:hint="eastAsia"/>
                      <w:color w:val="auto"/>
                      <w:szCs w:val="21"/>
                      <w:vertAlign w:val="superscript"/>
                    </w:rPr>
                    <w:t>2</w:t>
                  </w:r>
                  <w:r>
                    <w:rPr>
                      <w:rFonts w:hint="eastAsia"/>
                      <w:color w:val="auto"/>
                      <w:szCs w:val="21"/>
                    </w:rPr>
                    <w:t>燃天然气多通道蓄热室马蹄焰窑炉</w:t>
                  </w:r>
                </w:p>
              </w:tc>
              <w:tc>
                <w:tcPr>
                  <w:tcW w:w="619" w:type="pct"/>
                  <w:vAlign w:val="center"/>
                </w:tcPr>
                <w:p w14:paraId="1EF1353F">
                  <w:pPr>
                    <w:autoSpaceDE w:val="0"/>
                    <w:autoSpaceDN w:val="0"/>
                    <w:adjustRightInd w:val="0"/>
                    <w:snapToGrid w:val="0"/>
                    <w:spacing w:line="276" w:lineRule="auto"/>
                    <w:jc w:val="center"/>
                    <w:rPr>
                      <w:color w:val="auto"/>
                      <w:szCs w:val="21"/>
                    </w:rPr>
                  </w:pPr>
                  <w:r>
                    <w:rPr>
                      <w:rFonts w:hint="eastAsia"/>
                      <w:color w:val="auto"/>
                      <w:szCs w:val="21"/>
                    </w:rPr>
                    <w:t>1</w:t>
                  </w:r>
                </w:p>
              </w:tc>
              <w:tc>
                <w:tcPr>
                  <w:tcW w:w="616" w:type="pct"/>
                  <w:vAlign w:val="center"/>
                </w:tcPr>
                <w:p w14:paraId="2B74579B">
                  <w:pPr>
                    <w:autoSpaceDE w:val="0"/>
                    <w:autoSpaceDN w:val="0"/>
                    <w:adjustRightInd w:val="0"/>
                    <w:snapToGrid w:val="0"/>
                    <w:spacing w:line="276" w:lineRule="auto"/>
                    <w:jc w:val="center"/>
                    <w:rPr>
                      <w:color w:val="auto"/>
                      <w:szCs w:val="21"/>
                    </w:rPr>
                  </w:pPr>
                  <w:r>
                    <w:rPr>
                      <w:rFonts w:hint="eastAsia"/>
                      <w:color w:val="auto"/>
                      <w:szCs w:val="21"/>
                    </w:rPr>
                    <w:t>1</w:t>
                  </w:r>
                </w:p>
              </w:tc>
              <w:tc>
                <w:tcPr>
                  <w:tcW w:w="618" w:type="pct"/>
                  <w:vAlign w:val="center"/>
                </w:tcPr>
                <w:p w14:paraId="4A9A6028">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10BF55B0">
                  <w:pPr>
                    <w:autoSpaceDE w:val="0"/>
                    <w:autoSpaceDN w:val="0"/>
                    <w:adjustRightInd w:val="0"/>
                    <w:snapToGrid w:val="0"/>
                    <w:spacing w:line="276" w:lineRule="auto"/>
                    <w:jc w:val="center"/>
                    <w:rPr>
                      <w:color w:val="auto"/>
                      <w:szCs w:val="21"/>
                    </w:rPr>
                  </w:pPr>
                  <w:r>
                    <w:rPr>
                      <w:rFonts w:hint="eastAsia"/>
                      <w:color w:val="auto"/>
                      <w:szCs w:val="21"/>
                    </w:rPr>
                    <w:t>/</w:t>
                  </w:r>
                </w:p>
              </w:tc>
            </w:tr>
            <w:tr w14:paraId="3813826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632147CF">
                  <w:pPr>
                    <w:autoSpaceDE w:val="0"/>
                    <w:autoSpaceDN w:val="0"/>
                    <w:adjustRightInd w:val="0"/>
                    <w:snapToGrid w:val="0"/>
                    <w:spacing w:line="276" w:lineRule="auto"/>
                    <w:jc w:val="center"/>
                    <w:rPr>
                      <w:color w:val="auto"/>
                      <w:szCs w:val="21"/>
                    </w:rPr>
                  </w:pPr>
                  <w:r>
                    <w:rPr>
                      <w:rFonts w:hint="eastAsia"/>
                      <w:color w:val="auto"/>
                      <w:szCs w:val="21"/>
                    </w:rPr>
                    <w:t>4</w:t>
                  </w:r>
                </w:p>
              </w:tc>
              <w:tc>
                <w:tcPr>
                  <w:tcW w:w="614" w:type="pct"/>
                  <w:vMerge w:val="continue"/>
                  <w:vAlign w:val="center"/>
                </w:tcPr>
                <w:p w14:paraId="272B41CB">
                  <w:pPr>
                    <w:autoSpaceDE w:val="0"/>
                    <w:autoSpaceDN w:val="0"/>
                    <w:adjustRightInd w:val="0"/>
                    <w:snapToGrid w:val="0"/>
                    <w:spacing w:line="276" w:lineRule="auto"/>
                    <w:jc w:val="center"/>
                    <w:rPr>
                      <w:color w:val="auto"/>
                      <w:szCs w:val="21"/>
                    </w:rPr>
                  </w:pPr>
                </w:p>
              </w:tc>
              <w:tc>
                <w:tcPr>
                  <w:tcW w:w="561" w:type="pct"/>
                  <w:vAlign w:val="center"/>
                </w:tcPr>
                <w:p w14:paraId="6D7B5C86">
                  <w:pPr>
                    <w:autoSpaceDE w:val="0"/>
                    <w:autoSpaceDN w:val="0"/>
                    <w:adjustRightInd w:val="0"/>
                    <w:snapToGrid w:val="0"/>
                    <w:spacing w:line="276" w:lineRule="auto"/>
                    <w:jc w:val="center"/>
                    <w:rPr>
                      <w:color w:val="auto"/>
                      <w:szCs w:val="21"/>
                    </w:rPr>
                  </w:pPr>
                  <w:r>
                    <w:rPr>
                      <w:rFonts w:hint="eastAsia"/>
                      <w:color w:val="auto"/>
                      <w:szCs w:val="21"/>
                    </w:rPr>
                    <w:t>3#玻璃窑炉</w:t>
                  </w:r>
                </w:p>
              </w:tc>
              <w:tc>
                <w:tcPr>
                  <w:tcW w:w="982" w:type="pct"/>
                  <w:gridSpan w:val="2"/>
                  <w:vAlign w:val="center"/>
                </w:tcPr>
                <w:p w14:paraId="60031DDB">
                  <w:pPr>
                    <w:autoSpaceDE w:val="0"/>
                    <w:autoSpaceDN w:val="0"/>
                    <w:adjustRightInd w:val="0"/>
                    <w:snapToGrid w:val="0"/>
                    <w:spacing w:line="276" w:lineRule="auto"/>
                    <w:jc w:val="center"/>
                    <w:rPr>
                      <w:color w:val="auto"/>
                      <w:szCs w:val="21"/>
                    </w:rPr>
                  </w:pPr>
                  <w:r>
                    <w:rPr>
                      <w:rFonts w:hint="eastAsia"/>
                      <w:color w:val="auto"/>
                      <w:szCs w:val="21"/>
                    </w:rPr>
                    <w:t>90m</w:t>
                  </w:r>
                  <w:r>
                    <w:rPr>
                      <w:rFonts w:hint="eastAsia"/>
                      <w:color w:val="auto"/>
                      <w:szCs w:val="21"/>
                      <w:vertAlign w:val="superscript"/>
                    </w:rPr>
                    <w:t>2</w:t>
                  </w:r>
                  <w:r>
                    <w:rPr>
                      <w:rFonts w:hint="eastAsia"/>
                      <w:color w:val="auto"/>
                      <w:szCs w:val="21"/>
                    </w:rPr>
                    <w:t>燃天然气多通道蓄热室马蹄焰窑炉</w:t>
                  </w:r>
                </w:p>
              </w:tc>
              <w:tc>
                <w:tcPr>
                  <w:tcW w:w="619" w:type="pct"/>
                  <w:vAlign w:val="center"/>
                </w:tcPr>
                <w:p w14:paraId="38D8CCBF">
                  <w:pPr>
                    <w:autoSpaceDE w:val="0"/>
                    <w:autoSpaceDN w:val="0"/>
                    <w:adjustRightInd w:val="0"/>
                    <w:snapToGrid w:val="0"/>
                    <w:spacing w:line="276" w:lineRule="auto"/>
                    <w:jc w:val="center"/>
                    <w:rPr>
                      <w:color w:val="auto"/>
                      <w:szCs w:val="21"/>
                    </w:rPr>
                  </w:pPr>
                  <w:r>
                    <w:rPr>
                      <w:rFonts w:hint="eastAsia"/>
                      <w:color w:val="auto"/>
                      <w:szCs w:val="21"/>
                    </w:rPr>
                    <w:t>1</w:t>
                  </w:r>
                </w:p>
              </w:tc>
              <w:tc>
                <w:tcPr>
                  <w:tcW w:w="616" w:type="pct"/>
                  <w:vAlign w:val="center"/>
                </w:tcPr>
                <w:p w14:paraId="67C16152">
                  <w:pPr>
                    <w:autoSpaceDE w:val="0"/>
                    <w:autoSpaceDN w:val="0"/>
                    <w:adjustRightInd w:val="0"/>
                    <w:snapToGrid w:val="0"/>
                    <w:spacing w:line="276" w:lineRule="auto"/>
                    <w:jc w:val="center"/>
                    <w:rPr>
                      <w:color w:val="auto"/>
                      <w:szCs w:val="21"/>
                    </w:rPr>
                  </w:pPr>
                  <w:r>
                    <w:rPr>
                      <w:rFonts w:hint="eastAsia"/>
                      <w:color w:val="auto"/>
                      <w:szCs w:val="21"/>
                    </w:rPr>
                    <w:t>1</w:t>
                  </w:r>
                </w:p>
              </w:tc>
              <w:tc>
                <w:tcPr>
                  <w:tcW w:w="618" w:type="pct"/>
                  <w:vAlign w:val="center"/>
                </w:tcPr>
                <w:p w14:paraId="5C8A73ED">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1072CB31">
                  <w:pPr>
                    <w:autoSpaceDE w:val="0"/>
                    <w:autoSpaceDN w:val="0"/>
                    <w:adjustRightInd w:val="0"/>
                    <w:snapToGrid w:val="0"/>
                    <w:spacing w:line="276" w:lineRule="auto"/>
                    <w:jc w:val="center"/>
                    <w:rPr>
                      <w:color w:val="auto"/>
                      <w:szCs w:val="21"/>
                    </w:rPr>
                  </w:pPr>
                  <w:r>
                    <w:rPr>
                      <w:rFonts w:hint="eastAsia"/>
                      <w:color w:val="auto"/>
                      <w:szCs w:val="21"/>
                    </w:rPr>
                    <w:t>依托现有</w:t>
                  </w:r>
                </w:p>
              </w:tc>
            </w:tr>
            <w:tr w14:paraId="661A1E8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576AB4F6">
                  <w:pPr>
                    <w:autoSpaceDE w:val="0"/>
                    <w:autoSpaceDN w:val="0"/>
                    <w:adjustRightInd w:val="0"/>
                    <w:snapToGrid w:val="0"/>
                    <w:spacing w:line="276" w:lineRule="auto"/>
                    <w:jc w:val="center"/>
                    <w:rPr>
                      <w:color w:val="auto"/>
                      <w:szCs w:val="21"/>
                    </w:rPr>
                  </w:pPr>
                  <w:r>
                    <w:rPr>
                      <w:rFonts w:hint="eastAsia"/>
                      <w:color w:val="auto"/>
                      <w:szCs w:val="21"/>
                    </w:rPr>
                    <w:t>5</w:t>
                  </w:r>
                </w:p>
              </w:tc>
              <w:tc>
                <w:tcPr>
                  <w:tcW w:w="614" w:type="pct"/>
                  <w:vMerge w:val="continue"/>
                  <w:vAlign w:val="center"/>
                </w:tcPr>
                <w:p w14:paraId="0D98C5AD">
                  <w:pPr>
                    <w:autoSpaceDE w:val="0"/>
                    <w:autoSpaceDN w:val="0"/>
                    <w:adjustRightInd w:val="0"/>
                    <w:snapToGrid w:val="0"/>
                    <w:spacing w:line="276" w:lineRule="auto"/>
                    <w:jc w:val="center"/>
                    <w:rPr>
                      <w:color w:val="auto"/>
                      <w:szCs w:val="21"/>
                    </w:rPr>
                  </w:pPr>
                </w:p>
              </w:tc>
              <w:tc>
                <w:tcPr>
                  <w:tcW w:w="561" w:type="pct"/>
                  <w:vAlign w:val="center"/>
                </w:tcPr>
                <w:p w14:paraId="30C3479C">
                  <w:pPr>
                    <w:autoSpaceDE w:val="0"/>
                    <w:autoSpaceDN w:val="0"/>
                    <w:adjustRightInd w:val="0"/>
                    <w:snapToGrid w:val="0"/>
                    <w:spacing w:line="276" w:lineRule="auto"/>
                    <w:jc w:val="center"/>
                    <w:rPr>
                      <w:color w:val="auto"/>
                      <w:szCs w:val="21"/>
                    </w:rPr>
                  </w:pPr>
                  <w:r>
                    <w:rPr>
                      <w:rFonts w:hint="eastAsia"/>
                      <w:color w:val="auto"/>
                      <w:szCs w:val="21"/>
                    </w:rPr>
                    <w:t>全电窑炉</w:t>
                  </w:r>
                </w:p>
              </w:tc>
              <w:tc>
                <w:tcPr>
                  <w:tcW w:w="982" w:type="pct"/>
                  <w:gridSpan w:val="2"/>
                  <w:vAlign w:val="center"/>
                </w:tcPr>
                <w:p w14:paraId="779ADC61">
                  <w:pPr>
                    <w:autoSpaceDE w:val="0"/>
                    <w:autoSpaceDN w:val="0"/>
                    <w:adjustRightInd w:val="0"/>
                    <w:snapToGrid w:val="0"/>
                    <w:spacing w:line="276" w:lineRule="auto"/>
                    <w:jc w:val="center"/>
                    <w:rPr>
                      <w:color w:val="auto"/>
                      <w:szCs w:val="21"/>
                    </w:rPr>
                  </w:pPr>
                  <w:r>
                    <w:rPr>
                      <w:rFonts w:hint="eastAsia"/>
                      <w:color w:val="auto"/>
                      <w:szCs w:val="21"/>
                    </w:rPr>
                    <w:t>9.5m</w:t>
                  </w:r>
                  <w:r>
                    <w:rPr>
                      <w:rFonts w:hint="eastAsia"/>
                      <w:color w:val="auto"/>
                      <w:szCs w:val="21"/>
                      <w:vertAlign w:val="superscript"/>
                    </w:rPr>
                    <w:t>2</w:t>
                  </w:r>
                </w:p>
              </w:tc>
              <w:tc>
                <w:tcPr>
                  <w:tcW w:w="619" w:type="pct"/>
                  <w:vAlign w:val="center"/>
                </w:tcPr>
                <w:p w14:paraId="1BC47762">
                  <w:pPr>
                    <w:autoSpaceDE w:val="0"/>
                    <w:autoSpaceDN w:val="0"/>
                    <w:adjustRightInd w:val="0"/>
                    <w:snapToGrid w:val="0"/>
                    <w:spacing w:line="276" w:lineRule="auto"/>
                    <w:jc w:val="center"/>
                    <w:rPr>
                      <w:color w:val="auto"/>
                      <w:szCs w:val="21"/>
                    </w:rPr>
                  </w:pPr>
                  <w:r>
                    <w:rPr>
                      <w:rFonts w:hint="eastAsia"/>
                      <w:color w:val="auto"/>
                      <w:szCs w:val="21"/>
                    </w:rPr>
                    <w:t>1</w:t>
                  </w:r>
                </w:p>
              </w:tc>
              <w:tc>
                <w:tcPr>
                  <w:tcW w:w="616" w:type="pct"/>
                  <w:vAlign w:val="center"/>
                </w:tcPr>
                <w:p w14:paraId="57C7AA38">
                  <w:pPr>
                    <w:autoSpaceDE w:val="0"/>
                    <w:autoSpaceDN w:val="0"/>
                    <w:adjustRightInd w:val="0"/>
                    <w:snapToGrid w:val="0"/>
                    <w:spacing w:line="276" w:lineRule="auto"/>
                    <w:jc w:val="center"/>
                    <w:rPr>
                      <w:color w:val="auto"/>
                      <w:szCs w:val="21"/>
                    </w:rPr>
                  </w:pPr>
                  <w:r>
                    <w:rPr>
                      <w:rFonts w:hint="eastAsia"/>
                      <w:color w:val="auto"/>
                      <w:szCs w:val="21"/>
                    </w:rPr>
                    <w:t>1</w:t>
                  </w:r>
                </w:p>
              </w:tc>
              <w:tc>
                <w:tcPr>
                  <w:tcW w:w="618" w:type="pct"/>
                  <w:vAlign w:val="center"/>
                </w:tcPr>
                <w:p w14:paraId="69638111">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62F9F38B">
                  <w:pPr>
                    <w:autoSpaceDE w:val="0"/>
                    <w:autoSpaceDN w:val="0"/>
                    <w:adjustRightInd w:val="0"/>
                    <w:snapToGrid w:val="0"/>
                    <w:spacing w:line="276" w:lineRule="auto"/>
                    <w:jc w:val="center"/>
                    <w:rPr>
                      <w:color w:val="auto"/>
                      <w:szCs w:val="21"/>
                    </w:rPr>
                  </w:pPr>
                  <w:r>
                    <w:rPr>
                      <w:rFonts w:hint="eastAsia"/>
                      <w:color w:val="auto"/>
                      <w:szCs w:val="21"/>
                    </w:rPr>
                    <w:t>/</w:t>
                  </w:r>
                </w:p>
              </w:tc>
            </w:tr>
            <w:tr w14:paraId="51F957C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53DA6F7A">
                  <w:pPr>
                    <w:autoSpaceDE w:val="0"/>
                    <w:autoSpaceDN w:val="0"/>
                    <w:adjustRightInd w:val="0"/>
                    <w:snapToGrid w:val="0"/>
                    <w:spacing w:line="276" w:lineRule="auto"/>
                    <w:jc w:val="center"/>
                    <w:rPr>
                      <w:color w:val="auto"/>
                      <w:szCs w:val="21"/>
                    </w:rPr>
                  </w:pPr>
                  <w:r>
                    <w:rPr>
                      <w:rFonts w:hint="eastAsia"/>
                      <w:color w:val="auto"/>
                      <w:szCs w:val="21"/>
                    </w:rPr>
                    <w:t>6</w:t>
                  </w:r>
                </w:p>
              </w:tc>
              <w:tc>
                <w:tcPr>
                  <w:tcW w:w="614" w:type="pct"/>
                  <w:vMerge w:val="continue"/>
                  <w:vAlign w:val="center"/>
                </w:tcPr>
                <w:p w14:paraId="2B3A8C91">
                  <w:pPr>
                    <w:autoSpaceDE w:val="0"/>
                    <w:autoSpaceDN w:val="0"/>
                    <w:adjustRightInd w:val="0"/>
                    <w:snapToGrid w:val="0"/>
                    <w:spacing w:line="276" w:lineRule="auto"/>
                    <w:jc w:val="center"/>
                    <w:rPr>
                      <w:color w:val="auto"/>
                      <w:szCs w:val="21"/>
                    </w:rPr>
                  </w:pPr>
                </w:p>
              </w:tc>
              <w:tc>
                <w:tcPr>
                  <w:tcW w:w="561" w:type="pct"/>
                  <w:vAlign w:val="center"/>
                </w:tcPr>
                <w:p w14:paraId="3DB90878">
                  <w:pPr>
                    <w:autoSpaceDE w:val="0"/>
                    <w:autoSpaceDN w:val="0"/>
                    <w:adjustRightInd w:val="0"/>
                    <w:snapToGrid w:val="0"/>
                    <w:spacing w:line="276" w:lineRule="auto"/>
                    <w:jc w:val="center"/>
                    <w:rPr>
                      <w:color w:val="auto"/>
                      <w:szCs w:val="21"/>
                    </w:rPr>
                  </w:pPr>
                  <w:r>
                    <w:rPr>
                      <w:rFonts w:hint="eastAsia"/>
                      <w:color w:val="auto"/>
                      <w:szCs w:val="21"/>
                    </w:rPr>
                    <w:t>全电窑炉</w:t>
                  </w:r>
                </w:p>
              </w:tc>
              <w:tc>
                <w:tcPr>
                  <w:tcW w:w="982" w:type="pct"/>
                  <w:gridSpan w:val="2"/>
                  <w:vAlign w:val="center"/>
                </w:tcPr>
                <w:p w14:paraId="18017B08">
                  <w:pPr>
                    <w:autoSpaceDE w:val="0"/>
                    <w:autoSpaceDN w:val="0"/>
                    <w:adjustRightInd w:val="0"/>
                    <w:snapToGrid w:val="0"/>
                    <w:spacing w:line="276" w:lineRule="auto"/>
                    <w:jc w:val="center"/>
                    <w:rPr>
                      <w:color w:val="auto"/>
                      <w:szCs w:val="21"/>
                    </w:rPr>
                  </w:pPr>
                  <w:r>
                    <w:rPr>
                      <w:rFonts w:hint="eastAsia"/>
                      <w:color w:val="auto"/>
                      <w:szCs w:val="21"/>
                    </w:rPr>
                    <w:t>13.4m</w:t>
                  </w:r>
                  <w:r>
                    <w:rPr>
                      <w:rFonts w:hint="eastAsia"/>
                      <w:color w:val="auto"/>
                      <w:szCs w:val="21"/>
                      <w:vertAlign w:val="superscript"/>
                    </w:rPr>
                    <w:t>2</w:t>
                  </w:r>
                </w:p>
              </w:tc>
              <w:tc>
                <w:tcPr>
                  <w:tcW w:w="619" w:type="pct"/>
                  <w:vAlign w:val="center"/>
                </w:tcPr>
                <w:p w14:paraId="758883A9">
                  <w:pPr>
                    <w:autoSpaceDE w:val="0"/>
                    <w:autoSpaceDN w:val="0"/>
                    <w:adjustRightInd w:val="0"/>
                    <w:snapToGrid w:val="0"/>
                    <w:spacing w:line="276" w:lineRule="auto"/>
                    <w:jc w:val="center"/>
                    <w:rPr>
                      <w:color w:val="auto"/>
                      <w:szCs w:val="21"/>
                    </w:rPr>
                  </w:pPr>
                  <w:r>
                    <w:rPr>
                      <w:rFonts w:hint="eastAsia"/>
                      <w:color w:val="auto"/>
                      <w:szCs w:val="21"/>
                    </w:rPr>
                    <w:t>1</w:t>
                  </w:r>
                </w:p>
              </w:tc>
              <w:tc>
                <w:tcPr>
                  <w:tcW w:w="616" w:type="pct"/>
                  <w:vAlign w:val="center"/>
                </w:tcPr>
                <w:p w14:paraId="3AFB3681">
                  <w:pPr>
                    <w:autoSpaceDE w:val="0"/>
                    <w:autoSpaceDN w:val="0"/>
                    <w:adjustRightInd w:val="0"/>
                    <w:snapToGrid w:val="0"/>
                    <w:spacing w:line="276" w:lineRule="auto"/>
                    <w:jc w:val="center"/>
                    <w:rPr>
                      <w:color w:val="auto"/>
                      <w:szCs w:val="21"/>
                    </w:rPr>
                  </w:pPr>
                  <w:r>
                    <w:rPr>
                      <w:rFonts w:hint="eastAsia"/>
                      <w:color w:val="auto"/>
                      <w:szCs w:val="21"/>
                    </w:rPr>
                    <w:t>1</w:t>
                  </w:r>
                </w:p>
              </w:tc>
              <w:tc>
                <w:tcPr>
                  <w:tcW w:w="618" w:type="pct"/>
                  <w:vAlign w:val="center"/>
                </w:tcPr>
                <w:p w14:paraId="1E74F948">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11B5B63A">
                  <w:pPr>
                    <w:autoSpaceDE w:val="0"/>
                    <w:autoSpaceDN w:val="0"/>
                    <w:adjustRightInd w:val="0"/>
                    <w:snapToGrid w:val="0"/>
                    <w:spacing w:line="276" w:lineRule="auto"/>
                    <w:jc w:val="center"/>
                    <w:rPr>
                      <w:color w:val="auto"/>
                      <w:szCs w:val="21"/>
                    </w:rPr>
                  </w:pPr>
                  <w:r>
                    <w:rPr>
                      <w:rFonts w:hint="eastAsia"/>
                      <w:color w:val="auto"/>
                      <w:szCs w:val="21"/>
                    </w:rPr>
                    <w:t>/</w:t>
                  </w:r>
                </w:p>
              </w:tc>
            </w:tr>
            <w:tr w14:paraId="7100CFF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65D2F089">
                  <w:pPr>
                    <w:autoSpaceDE w:val="0"/>
                    <w:autoSpaceDN w:val="0"/>
                    <w:adjustRightInd w:val="0"/>
                    <w:snapToGrid w:val="0"/>
                    <w:spacing w:line="276" w:lineRule="auto"/>
                    <w:jc w:val="center"/>
                    <w:rPr>
                      <w:color w:val="auto"/>
                      <w:szCs w:val="21"/>
                    </w:rPr>
                  </w:pPr>
                  <w:r>
                    <w:rPr>
                      <w:rFonts w:hint="eastAsia"/>
                      <w:color w:val="auto"/>
                      <w:szCs w:val="21"/>
                    </w:rPr>
                    <w:t>7</w:t>
                  </w:r>
                </w:p>
              </w:tc>
              <w:tc>
                <w:tcPr>
                  <w:tcW w:w="614" w:type="pct"/>
                  <w:vMerge w:val="continue"/>
                  <w:vAlign w:val="center"/>
                </w:tcPr>
                <w:p w14:paraId="30122BC5">
                  <w:pPr>
                    <w:autoSpaceDE w:val="0"/>
                    <w:autoSpaceDN w:val="0"/>
                    <w:adjustRightInd w:val="0"/>
                    <w:snapToGrid w:val="0"/>
                    <w:spacing w:line="276" w:lineRule="auto"/>
                    <w:jc w:val="center"/>
                    <w:rPr>
                      <w:color w:val="auto"/>
                      <w:szCs w:val="21"/>
                    </w:rPr>
                  </w:pPr>
                </w:p>
              </w:tc>
              <w:tc>
                <w:tcPr>
                  <w:tcW w:w="561" w:type="pct"/>
                  <w:vAlign w:val="center"/>
                </w:tcPr>
                <w:p w14:paraId="49605CC0">
                  <w:pPr>
                    <w:autoSpaceDE w:val="0"/>
                    <w:autoSpaceDN w:val="0"/>
                    <w:adjustRightInd w:val="0"/>
                    <w:snapToGrid w:val="0"/>
                    <w:spacing w:line="276" w:lineRule="auto"/>
                    <w:jc w:val="center"/>
                    <w:rPr>
                      <w:color w:val="auto"/>
                      <w:szCs w:val="21"/>
                    </w:rPr>
                  </w:pPr>
                  <w:r>
                    <w:rPr>
                      <w:color w:val="auto"/>
                      <w:szCs w:val="21"/>
                    </w:rPr>
                    <w:t>风机</w:t>
                  </w:r>
                </w:p>
              </w:tc>
              <w:tc>
                <w:tcPr>
                  <w:tcW w:w="982" w:type="pct"/>
                  <w:gridSpan w:val="2"/>
                  <w:vAlign w:val="center"/>
                </w:tcPr>
                <w:p w14:paraId="0734F9A9">
                  <w:pPr>
                    <w:autoSpaceDE w:val="0"/>
                    <w:autoSpaceDN w:val="0"/>
                    <w:adjustRightInd w:val="0"/>
                    <w:snapToGrid w:val="0"/>
                    <w:spacing w:line="276" w:lineRule="auto"/>
                    <w:jc w:val="center"/>
                    <w:rPr>
                      <w:color w:val="auto"/>
                      <w:szCs w:val="21"/>
                    </w:rPr>
                  </w:pPr>
                  <w:r>
                    <w:rPr>
                      <w:rFonts w:hint="eastAsia"/>
                      <w:color w:val="auto"/>
                      <w:szCs w:val="21"/>
                    </w:rPr>
                    <w:t>/</w:t>
                  </w:r>
                </w:p>
              </w:tc>
              <w:tc>
                <w:tcPr>
                  <w:tcW w:w="619" w:type="pct"/>
                  <w:vAlign w:val="center"/>
                </w:tcPr>
                <w:p w14:paraId="2E1661E7">
                  <w:pPr>
                    <w:autoSpaceDE w:val="0"/>
                    <w:autoSpaceDN w:val="0"/>
                    <w:adjustRightInd w:val="0"/>
                    <w:snapToGrid w:val="0"/>
                    <w:spacing w:line="276" w:lineRule="auto"/>
                    <w:jc w:val="center"/>
                    <w:rPr>
                      <w:color w:val="auto"/>
                      <w:szCs w:val="21"/>
                    </w:rPr>
                  </w:pPr>
                  <w:r>
                    <w:rPr>
                      <w:rFonts w:hint="eastAsia"/>
                      <w:color w:val="auto"/>
                      <w:szCs w:val="21"/>
                    </w:rPr>
                    <w:t>4</w:t>
                  </w:r>
                </w:p>
              </w:tc>
              <w:tc>
                <w:tcPr>
                  <w:tcW w:w="616" w:type="pct"/>
                  <w:vAlign w:val="center"/>
                </w:tcPr>
                <w:p w14:paraId="1418B1CF">
                  <w:pPr>
                    <w:autoSpaceDE w:val="0"/>
                    <w:autoSpaceDN w:val="0"/>
                    <w:adjustRightInd w:val="0"/>
                    <w:snapToGrid w:val="0"/>
                    <w:spacing w:line="276" w:lineRule="auto"/>
                    <w:jc w:val="center"/>
                    <w:rPr>
                      <w:color w:val="auto"/>
                      <w:szCs w:val="21"/>
                    </w:rPr>
                  </w:pPr>
                  <w:r>
                    <w:rPr>
                      <w:rFonts w:hint="eastAsia"/>
                      <w:color w:val="auto"/>
                      <w:szCs w:val="21"/>
                    </w:rPr>
                    <w:t>4</w:t>
                  </w:r>
                </w:p>
              </w:tc>
              <w:tc>
                <w:tcPr>
                  <w:tcW w:w="618" w:type="pct"/>
                  <w:vAlign w:val="center"/>
                </w:tcPr>
                <w:p w14:paraId="30759B16">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78F4A441">
                  <w:pPr>
                    <w:autoSpaceDE w:val="0"/>
                    <w:autoSpaceDN w:val="0"/>
                    <w:adjustRightInd w:val="0"/>
                    <w:snapToGrid w:val="0"/>
                    <w:spacing w:line="276" w:lineRule="auto"/>
                    <w:jc w:val="center"/>
                    <w:rPr>
                      <w:color w:val="auto"/>
                      <w:szCs w:val="21"/>
                    </w:rPr>
                  </w:pPr>
                  <w:r>
                    <w:rPr>
                      <w:rFonts w:hint="eastAsia"/>
                      <w:color w:val="auto"/>
                      <w:szCs w:val="21"/>
                    </w:rPr>
                    <w:t>依托现有</w:t>
                  </w:r>
                </w:p>
              </w:tc>
            </w:tr>
            <w:tr w14:paraId="48E675D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3F2331E2">
                  <w:pPr>
                    <w:autoSpaceDE w:val="0"/>
                    <w:autoSpaceDN w:val="0"/>
                    <w:adjustRightInd w:val="0"/>
                    <w:snapToGrid w:val="0"/>
                    <w:spacing w:line="276" w:lineRule="auto"/>
                    <w:jc w:val="center"/>
                    <w:rPr>
                      <w:color w:val="auto"/>
                      <w:szCs w:val="21"/>
                    </w:rPr>
                  </w:pPr>
                  <w:r>
                    <w:rPr>
                      <w:rFonts w:hint="eastAsia"/>
                      <w:color w:val="auto"/>
                      <w:szCs w:val="21"/>
                    </w:rPr>
                    <w:t>8</w:t>
                  </w:r>
                </w:p>
              </w:tc>
              <w:tc>
                <w:tcPr>
                  <w:tcW w:w="614" w:type="pct"/>
                  <w:vMerge w:val="continue"/>
                  <w:vAlign w:val="center"/>
                </w:tcPr>
                <w:p w14:paraId="63CB70E8">
                  <w:pPr>
                    <w:autoSpaceDE w:val="0"/>
                    <w:autoSpaceDN w:val="0"/>
                    <w:adjustRightInd w:val="0"/>
                    <w:snapToGrid w:val="0"/>
                    <w:spacing w:line="276" w:lineRule="auto"/>
                    <w:jc w:val="center"/>
                    <w:rPr>
                      <w:color w:val="auto"/>
                      <w:szCs w:val="21"/>
                    </w:rPr>
                  </w:pPr>
                </w:p>
              </w:tc>
              <w:tc>
                <w:tcPr>
                  <w:tcW w:w="561" w:type="pct"/>
                  <w:vAlign w:val="center"/>
                </w:tcPr>
                <w:p w14:paraId="50747B67">
                  <w:pPr>
                    <w:autoSpaceDE w:val="0"/>
                    <w:autoSpaceDN w:val="0"/>
                    <w:adjustRightInd w:val="0"/>
                    <w:snapToGrid w:val="0"/>
                    <w:spacing w:line="276" w:lineRule="auto"/>
                    <w:jc w:val="center"/>
                    <w:rPr>
                      <w:color w:val="auto"/>
                      <w:szCs w:val="21"/>
                    </w:rPr>
                  </w:pPr>
                  <w:r>
                    <w:rPr>
                      <w:color w:val="auto"/>
                      <w:szCs w:val="21"/>
                    </w:rPr>
                    <w:t>燃烧系统</w:t>
                  </w:r>
                </w:p>
              </w:tc>
              <w:tc>
                <w:tcPr>
                  <w:tcW w:w="982" w:type="pct"/>
                  <w:gridSpan w:val="2"/>
                  <w:vAlign w:val="center"/>
                </w:tcPr>
                <w:p w14:paraId="7D77BDCC">
                  <w:pPr>
                    <w:autoSpaceDE w:val="0"/>
                    <w:autoSpaceDN w:val="0"/>
                    <w:adjustRightInd w:val="0"/>
                    <w:snapToGrid w:val="0"/>
                    <w:spacing w:line="276" w:lineRule="auto"/>
                    <w:jc w:val="center"/>
                    <w:rPr>
                      <w:color w:val="auto"/>
                      <w:szCs w:val="21"/>
                    </w:rPr>
                  </w:pPr>
                  <w:r>
                    <w:rPr>
                      <w:rFonts w:hint="eastAsia"/>
                      <w:color w:val="auto"/>
                      <w:szCs w:val="21"/>
                    </w:rPr>
                    <w:t>/</w:t>
                  </w:r>
                </w:p>
              </w:tc>
              <w:tc>
                <w:tcPr>
                  <w:tcW w:w="619" w:type="pct"/>
                  <w:vAlign w:val="center"/>
                </w:tcPr>
                <w:p w14:paraId="23008FA0">
                  <w:pPr>
                    <w:autoSpaceDE w:val="0"/>
                    <w:autoSpaceDN w:val="0"/>
                    <w:adjustRightInd w:val="0"/>
                    <w:snapToGrid w:val="0"/>
                    <w:spacing w:line="276" w:lineRule="auto"/>
                    <w:jc w:val="center"/>
                    <w:rPr>
                      <w:color w:val="auto"/>
                      <w:szCs w:val="21"/>
                    </w:rPr>
                  </w:pPr>
                  <w:r>
                    <w:rPr>
                      <w:rFonts w:hint="eastAsia"/>
                      <w:color w:val="auto"/>
                      <w:szCs w:val="21"/>
                    </w:rPr>
                    <w:t>4</w:t>
                  </w:r>
                </w:p>
              </w:tc>
              <w:tc>
                <w:tcPr>
                  <w:tcW w:w="616" w:type="pct"/>
                  <w:vAlign w:val="center"/>
                </w:tcPr>
                <w:p w14:paraId="75664F82">
                  <w:pPr>
                    <w:autoSpaceDE w:val="0"/>
                    <w:autoSpaceDN w:val="0"/>
                    <w:adjustRightInd w:val="0"/>
                    <w:snapToGrid w:val="0"/>
                    <w:spacing w:line="276" w:lineRule="auto"/>
                    <w:jc w:val="center"/>
                    <w:rPr>
                      <w:color w:val="auto"/>
                      <w:szCs w:val="21"/>
                    </w:rPr>
                  </w:pPr>
                  <w:r>
                    <w:rPr>
                      <w:rFonts w:hint="eastAsia"/>
                      <w:color w:val="auto"/>
                      <w:szCs w:val="21"/>
                    </w:rPr>
                    <w:t>4</w:t>
                  </w:r>
                </w:p>
              </w:tc>
              <w:tc>
                <w:tcPr>
                  <w:tcW w:w="618" w:type="pct"/>
                  <w:vAlign w:val="center"/>
                </w:tcPr>
                <w:p w14:paraId="761CFF01">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243B5E97">
                  <w:pPr>
                    <w:autoSpaceDE w:val="0"/>
                    <w:autoSpaceDN w:val="0"/>
                    <w:adjustRightInd w:val="0"/>
                    <w:snapToGrid w:val="0"/>
                    <w:spacing w:line="276" w:lineRule="auto"/>
                    <w:jc w:val="center"/>
                    <w:rPr>
                      <w:color w:val="auto"/>
                      <w:szCs w:val="21"/>
                    </w:rPr>
                  </w:pPr>
                  <w:r>
                    <w:rPr>
                      <w:rFonts w:hint="eastAsia"/>
                      <w:color w:val="auto"/>
                      <w:szCs w:val="21"/>
                    </w:rPr>
                    <w:t>依托现有</w:t>
                  </w:r>
                </w:p>
              </w:tc>
            </w:tr>
            <w:tr w14:paraId="61177F2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76C062B4">
                  <w:pPr>
                    <w:autoSpaceDE w:val="0"/>
                    <w:autoSpaceDN w:val="0"/>
                    <w:adjustRightInd w:val="0"/>
                    <w:snapToGrid w:val="0"/>
                    <w:spacing w:line="276" w:lineRule="auto"/>
                    <w:jc w:val="center"/>
                    <w:rPr>
                      <w:color w:val="auto"/>
                      <w:szCs w:val="21"/>
                    </w:rPr>
                  </w:pPr>
                  <w:r>
                    <w:rPr>
                      <w:rFonts w:hint="eastAsia"/>
                      <w:color w:val="auto"/>
                      <w:szCs w:val="21"/>
                    </w:rPr>
                    <w:t>9</w:t>
                  </w:r>
                </w:p>
              </w:tc>
              <w:tc>
                <w:tcPr>
                  <w:tcW w:w="614" w:type="pct"/>
                  <w:vAlign w:val="center"/>
                </w:tcPr>
                <w:p w14:paraId="13516C38">
                  <w:pPr>
                    <w:autoSpaceDE w:val="0"/>
                    <w:autoSpaceDN w:val="0"/>
                    <w:adjustRightInd w:val="0"/>
                    <w:snapToGrid w:val="0"/>
                    <w:spacing w:line="276" w:lineRule="auto"/>
                    <w:jc w:val="center"/>
                    <w:rPr>
                      <w:color w:val="auto"/>
                      <w:szCs w:val="21"/>
                    </w:rPr>
                  </w:pPr>
                  <w:r>
                    <w:rPr>
                      <w:color w:val="auto"/>
                      <w:szCs w:val="21"/>
                    </w:rPr>
                    <w:t>供料道输送</w:t>
                  </w:r>
                </w:p>
              </w:tc>
              <w:tc>
                <w:tcPr>
                  <w:tcW w:w="561" w:type="pct"/>
                  <w:vAlign w:val="center"/>
                </w:tcPr>
                <w:p w14:paraId="3B6531BE">
                  <w:pPr>
                    <w:autoSpaceDE w:val="0"/>
                    <w:autoSpaceDN w:val="0"/>
                    <w:adjustRightInd w:val="0"/>
                    <w:snapToGrid w:val="0"/>
                    <w:spacing w:line="276" w:lineRule="auto"/>
                    <w:jc w:val="center"/>
                    <w:rPr>
                      <w:color w:val="auto"/>
                      <w:szCs w:val="21"/>
                    </w:rPr>
                  </w:pPr>
                  <w:r>
                    <w:rPr>
                      <w:color w:val="auto"/>
                      <w:szCs w:val="21"/>
                    </w:rPr>
                    <w:t>辐射式全加热供料道</w:t>
                  </w:r>
                </w:p>
              </w:tc>
              <w:tc>
                <w:tcPr>
                  <w:tcW w:w="982" w:type="pct"/>
                  <w:gridSpan w:val="2"/>
                  <w:vAlign w:val="center"/>
                </w:tcPr>
                <w:p w14:paraId="656B17D4">
                  <w:pPr>
                    <w:autoSpaceDE w:val="0"/>
                    <w:autoSpaceDN w:val="0"/>
                    <w:adjustRightInd w:val="0"/>
                    <w:snapToGrid w:val="0"/>
                    <w:spacing w:line="276" w:lineRule="auto"/>
                    <w:jc w:val="center"/>
                    <w:rPr>
                      <w:color w:val="auto"/>
                      <w:szCs w:val="21"/>
                    </w:rPr>
                  </w:pPr>
                  <w:r>
                    <w:rPr>
                      <w:rFonts w:hint="eastAsia"/>
                      <w:color w:val="auto"/>
                      <w:szCs w:val="21"/>
                    </w:rPr>
                    <w:t>/</w:t>
                  </w:r>
                </w:p>
              </w:tc>
              <w:tc>
                <w:tcPr>
                  <w:tcW w:w="619" w:type="pct"/>
                  <w:vAlign w:val="center"/>
                </w:tcPr>
                <w:p w14:paraId="07D1B7E9">
                  <w:pPr>
                    <w:autoSpaceDE w:val="0"/>
                    <w:autoSpaceDN w:val="0"/>
                    <w:adjustRightInd w:val="0"/>
                    <w:snapToGrid w:val="0"/>
                    <w:spacing w:line="276" w:lineRule="auto"/>
                    <w:jc w:val="center"/>
                    <w:rPr>
                      <w:color w:val="auto"/>
                      <w:szCs w:val="21"/>
                    </w:rPr>
                  </w:pPr>
                  <w:r>
                    <w:rPr>
                      <w:rFonts w:hint="eastAsia"/>
                      <w:color w:val="auto"/>
                      <w:szCs w:val="21"/>
                    </w:rPr>
                    <w:t>18</w:t>
                  </w:r>
                </w:p>
              </w:tc>
              <w:tc>
                <w:tcPr>
                  <w:tcW w:w="616" w:type="pct"/>
                  <w:vAlign w:val="center"/>
                </w:tcPr>
                <w:p w14:paraId="2DE79954">
                  <w:pPr>
                    <w:autoSpaceDE w:val="0"/>
                    <w:autoSpaceDN w:val="0"/>
                    <w:adjustRightInd w:val="0"/>
                    <w:snapToGrid w:val="0"/>
                    <w:spacing w:line="276" w:lineRule="auto"/>
                    <w:jc w:val="center"/>
                    <w:rPr>
                      <w:color w:val="auto"/>
                      <w:szCs w:val="21"/>
                    </w:rPr>
                  </w:pPr>
                  <w:r>
                    <w:rPr>
                      <w:rFonts w:hint="eastAsia"/>
                      <w:color w:val="auto"/>
                      <w:szCs w:val="21"/>
                    </w:rPr>
                    <w:t>18</w:t>
                  </w:r>
                </w:p>
              </w:tc>
              <w:tc>
                <w:tcPr>
                  <w:tcW w:w="618" w:type="pct"/>
                  <w:vAlign w:val="center"/>
                </w:tcPr>
                <w:p w14:paraId="3C9C8ED5">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140F2CCE">
                  <w:pPr>
                    <w:autoSpaceDE w:val="0"/>
                    <w:autoSpaceDN w:val="0"/>
                    <w:adjustRightInd w:val="0"/>
                    <w:snapToGrid w:val="0"/>
                    <w:spacing w:line="276" w:lineRule="auto"/>
                    <w:jc w:val="center"/>
                    <w:rPr>
                      <w:color w:val="auto"/>
                      <w:szCs w:val="21"/>
                    </w:rPr>
                  </w:pPr>
                  <w:r>
                    <w:rPr>
                      <w:rFonts w:hint="eastAsia"/>
                      <w:color w:val="auto"/>
                      <w:szCs w:val="21"/>
                    </w:rPr>
                    <w:t>依托现有</w:t>
                  </w:r>
                </w:p>
              </w:tc>
            </w:tr>
            <w:tr w14:paraId="1CB536C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64D79E2F">
                  <w:pPr>
                    <w:autoSpaceDE w:val="0"/>
                    <w:autoSpaceDN w:val="0"/>
                    <w:adjustRightInd w:val="0"/>
                    <w:snapToGrid w:val="0"/>
                    <w:spacing w:line="276" w:lineRule="auto"/>
                    <w:jc w:val="center"/>
                    <w:rPr>
                      <w:color w:val="auto"/>
                      <w:szCs w:val="21"/>
                    </w:rPr>
                  </w:pPr>
                  <w:r>
                    <w:rPr>
                      <w:rFonts w:hint="eastAsia"/>
                      <w:color w:val="auto"/>
                      <w:szCs w:val="21"/>
                    </w:rPr>
                    <w:t>10</w:t>
                  </w:r>
                </w:p>
              </w:tc>
              <w:tc>
                <w:tcPr>
                  <w:tcW w:w="614" w:type="pct"/>
                  <w:vMerge w:val="restart"/>
                  <w:vAlign w:val="center"/>
                </w:tcPr>
                <w:p w14:paraId="71E0522A">
                  <w:pPr>
                    <w:autoSpaceDE w:val="0"/>
                    <w:autoSpaceDN w:val="0"/>
                    <w:adjustRightInd w:val="0"/>
                    <w:snapToGrid w:val="0"/>
                    <w:spacing w:line="276" w:lineRule="auto"/>
                    <w:jc w:val="center"/>
                    <w:rPr>
                      <w:color w:val="auto"/>
                      <w:szCs w:val="21"/>
                    </w:rPr>
                  </w:pPr>
                  <w:r>
                    <w:rPr>
                      <w:color w:val="auto"/>
                      <w:szCs w:val="21"/>
                    </w:rPr>
                    <w:t>成型</w:t>
                  </w:r>
                </w:p>
              </w:tc>
              <w:tc>
                <w:tcPr>
                  <w:tcW w:w="561" w:type="pct"/>
                  <w:vAlign w:val="center"/>
                </w:tcPr>
                <w:p w14:paraId="21BFE3B3">
                  <w:pPr>
                    <w:pStyle w:val="219"/>
                    <w:spacing w:line="276" w:lineRule="auto"/>
                    <w:jc w:val="center"/>
                    <w:rPr>
                      <w:rFonts w:cs="Times New Roman"/>
                      <w:color w:val="auto"/>
                      <w:sz w:val="21"/>
                      <w:szCs w:val="21"/>
                    </w:rPr>
                  </w:pPr>
                  <w:r>
                    <w:rPr>
                      <w:rFonts w:cs="Times New Roman"/>
                      <w:color w:val="auto"/>
                      <w:sz w:val="21"/>
                      <w:szCs w:val="21"/>
                    </w:rPr>
                    <w:t>鼓泡系统</w:t>
                  </w:r>
                </w:p>
              </w:tc>
              <w:tc>
                <w:tcPr>
                  <w:tcW w:w="982" w:type="pct"/>
                  <w:gridSpan w:val="2"/>
                  <w:vAlign w:val="center"/>
                </w:tcPr>
                <w:p w14:paraId="3F266F31">
                  <w:pPr>
                    <w:autoSpaceDE w:val="0"/>
                    <w:autoSpaceDN w:val="0"/>
                    <w:adjustRightInd w:val="0"/>
                    <w:snapToGrid w:val="0"/>
                    <w:spacing w:line="276" w:lineRule="auto"/>
                    <w:jc w:val="center"/>
                    <w:rPr>
                      <w:color w:val="auto"/>
                      <w:szCs w:val="21"/>
                    </w:rPr>
                  </w:pPr>
                  <w:r>
                    <w:rPr>
                      <w:color w:val="auto"/>
                      <w:szCs w:val="21"/>
                    </w:rPr>
                    <w:t>KCGP-Ⅱ</w:t>
                  </w:r>
                </w:p>
              </w:tc>
              <w:tc>
                <w:tcPr>
                  <w:tcW w:w="619" w:type="pct"/>
                  <w:vAlign w:val="center"/>
                </w:tcPr>
                <w:p w14:paraId="1E28D910">
                  <w:pPr>
                    <w:autoSpaceDE w:val="0"/>
                    <w:autoSpaceDN w:val="0"/>
                    <w:adjustRightInd w:val="0"/>
                    <w:snapToGrid w:val="0"/>
                    <w:spacing w:line="276" w:lineRule="auto"/>
                    <w:jc w:val="center"/>
                    <w:rPr>
                      <w:color w:val="auto"/>
                      <w:szCs w:val="21"/>
                    </w:rPr>
                  </w:pPr>
                  <w:r>
                    <w:rPr>
                      <w:rFonts w:hint="eastAsia"/>
                      <w:color w:val="auto"/>
                      <w:szCs w:val="21"/>
                    </w:rPr>
                    <w:t>1</w:t>
                  </w:r>
                </w:p>
              </w:tc>
              <w:tc>
                <w:tcPr>
                  <w:tcW w:w="616" w:type="pct"/>
                  <w:vAlign w:val="center"/>
                </w:tcPr>
                <w:p w14:paraId="58D17C8B">
                  <w:pPr>
                    <w:autoSpaceDE w:val="0"/>
                    <w:autoSpaceDN w:val="0"/>
                    <w:adjustRightInd w:val="0"/>
                    <w:snapToGrid w:val="0"/>
                    <w:spacing w:line="276" w:lineRule="auto"/>
                    <w:jc w:val="center"/>
                    <w:rPr>
                      <w:color w:val="auto"/>
                      <w:szCs w:val="21"/>
                    </w:rPr>
                  </w:pPr>
                  <w:r>
                    <w:rPr>
                      <w:rFonts w:hint="eastAsia"/>
                      <w:color w:val="auto"/>
                      <w:szCs w:val="21"/>
                    </w:rPr>
                    <w:t>1</w:t>
                  </w:r>
                </w:p>
              </w:tc>
              <w:tc>
                <w:tcPr>
                  <w:tcW w:w="618" w:type="pct"/>
                  <w:vAlign w:val="center"/>
                </w:tcPr>
                <w:p w14:paraId="7D9B4A51">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55388EC4">
                  <w:pPr>
                    <w:autoSpaceDE w:val="0"/>
                    <w:autoSpaceDN w:val="0"/>
                    <w:adjustRightInd w:val="0"/>
                    <w:snapToGrid w:val="0"/>
                    <w:spacing w:line="276" w:lineRule="auto"/>
                    <w:jc w:val="center"/>
                    <w:rPr>
                      <w:color w:val="auto"/>
                      <w:szCs w:val="21"/>
                    </w:rPr>
                  </w:pPr>
                  <w:r>
                    <w:rPr>
                      <w:rFonts w:hint="eastAsia"/>
                      <w:color w:val="auto"/>
                      <w:szCs w:val="21"/>
                    </w:rPr>
                    <w:t>依托现有</w:t>
                  </w:r>
                </w:p>
              </w:tc>
            </w:tr>
            <w:tr w14:paraId="2575428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77F3ECBD">
                  <w:pPr>
                    <w:autoSpaceDE w:val="0"/>
                    <w:autoSpaceDN w:val="0"/>
                    <w:adjustRightInd w:val="0"/>
                    <w:snapToGrid w:val="0"/>
                    <w:spacing w:line="276" w:lineRule="auto"/>
                    <w:jc w:val="center"/>
                    <w:rPr>
                      <w:color w:val="auto"/>
                      <w:szCs w:val="21"/>
                    </w:rPr>
                  </w:pPr>
                  <w:r>
                    <w:rPr>
                      <w:rFonts w:hint="eastAsia"/>
                      <w:color w:val="auto"/>
                      <w:szCs w:val="21"/>
                    </w:rPr>
                    <w:t>11</w:t>
                  </w:r>
                </w:p>
              </w:tc>
              <w:tc>
                <w:tcPr>
                  <w:tcW w:w="614" w:type="pct"/>
                  <w:vMerge w:val="continue"/>
                  <w:vAlign w:val="center"/>
                </w:tcPr>
                <w:p w14:paraId="13E71DA3">
                  <w:pPr>
                    <w:autoSpaceDE w:val="0"/>
                    <w:autoSpaceDN w:val="0"/>
                    <w:adjustRightInd w:val="0"/>
                    <w:snapToGrid w:val="0"/>
                    <w:spacing w:line="276" w:lineRule="auto"/>
                    <w:jc w:val="center"/>
                    <w:rPr>
                      <w:color w:val="auto"/>
                      <w:szCs w:val="21"/>
                    </w:rPr>
                  </w:pPr>
                </w:p>
              </w:tc>
              <w:tc>
                <w:tcPr>
                  <w:tcW w:w="561" w:type="pct"/>
                  <w:vAlign w:val="center"/>
                </w:tcPr>
                <w:p w14:paraId="7A2DEBF5">
                  <w:pPr>
                    <w:pStyle w:val="219"/>
                    <w:spacing w:line="276" w:lineRule="auto"/>
                    <w:jc w:val="center"/>
                    <w:rPr>
                      <w:rFonts w:cs="Times New Roman"/>
                      <w:color w:val="auto"/>
                      <w:sz w:val="21"/>
                      <w:szCs w:val="21"/>
                    </w:rPr>
                  </w:pPr>
                  <w:r>
                    <w:rPr>
                      <w:rFonts w:cs="Times New Roman"/>
                      <w:color w:val="auto"/>
                      <w:sz w:val="21"/>
                      <w:szCs w:val="21"/>
                    </w:rPr>
                    <w:t>供料机</w:t>
                  </w:r>
                </w:p>
              </w:tc>
              <w:tc>
                <w:tcPr>
                  <w:tcW w:w="982" w:type="pct"/>
                  <w:gridSpan w:val="2"/>
                  <w:vAlign w:val="center"/>
                </w:tcPr>
                <w:p w14:paraId="13FA77CF">
                  <w:pPr>
                    <w:autoSpaceDE w:val="0"/>
                    <w:autoSpaceDN w:val="0"/>
                    <w:adjustRightInd w:val="0"/>
                    <w:snapToGrid w:val="0"/>
                    <w:spacing w:line="276" w:lineRule="auto"/>
                    <w:jc w:val="center"/>
                    <w:rPr>
                      <w:color w:val="auto"/>
                      <w:szCs w:val="21"/>
                    </w:rPr>
                  </w:pPr>
                  <w:r>
                    <w:rPr>
                      <w:color w:val="auto"/>
                      <w:szCs w:val="21"/>
                    </w:rPr>
                    <w:t>D180</w:t>
                  </w:r>
                </w:p>
              </w:tc>
              <w:tc>
                <w:tcPr>
                  <w:tcW w:w="619" w:type="pct"/>
                  <w:vAlign w:val="center"/>
                </w:tcPr>
                <w:p w14:paraId="2B76ED03">
                  <w:pPr>
                    <w:autoSpaceDE w:val="0"/>
                    <w:autoSpaceDN w:val="0"/>
                    <w:adjustRightInd w:val="0"/>
                    <w:snapToGrid w:val="0"/>
                    <w:spacing w:line="276" w:lineRule="auto"/>
                    <w:jc w:val="center"/>
                    <w:rPr>
                      <w:color w:val="auto"/>
                      <w:szCs w:val="21"/>
                    </w:rPr>
                  </w:pPr>
                  <w:r>
                    <w:rPr>
                      <w:rFonts w:hint="eastAsia"/>
                      <w:color w:val="auto"/>
                      <w:szCs w:val="21"/>
                    </w:rPr>
                    <w:t>18</w:t>
                  </w:r>
                </w:p>
              </w:tc>
              <w:tc>
                <w:tcPr>
                  <w:tcW w:w="616" w:type="pct"/>
                  <w:vAlign w:val="center"/>
                </w:tcPr>
                <w:p w14:paraId="66055467">
                  <w:pPr>
                    <w:autoSpaceDE w:val="0"/>
                    <w:autoSpaceDN w:val="0"/>
                    <w:adjustRightInd w:val="0"/>
                    <w:snapToGrid w:val="0"/>
                    <w:spacing w:line="276" w:lineRule="auto"/>
                    <w:jc w:val="center"/>
                    <w:rPr>
                      <w:color w:val="auto"/>
                      <w:szCs w:val="21"/>
                    </w:rPr>
                  </w:pPr>
                  <w:r>
                    <w:rPr>
                      <w:rFonts w:hint="eastAsia"/>
                      <w:color w:val="auto"/>
                      <w:szCs w:val="21"/>
                    </w:rPr>
                    <w:t>18</w:t>
                  </w:r>
                </w:p>
              </w:tc>
              <w:tc>
                <w:tcPr>
                  <w:tcW w:w="618" w:type="pct"/>
                  <w:vAlign w:val="center"/>
                </w:tcPr>
                <w:p w14:paraId="36DBC019">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34FDF4AA">
                  <w:pPr>
                    <w:autoSpaceDE w:val="0"/>
                    <w:autoSpaceDN w:val="0"/>
                    <w:adjustRightInd w:val="0"/>
                    <w:snapToGrid w:val="0"/>
                    <w:spacing w:line="276" w:lineRule="auto"/>
                    <w:jc w:val="center"/>
                    <w:rPr>
                      <w:color w:val="auto"/>
                      <w:szCs w:val="21"/>
                    </w:rPr>
                  </w:pPr>
                  <w:r>
                    <w:rPr>
                      <w:rFonts w:hint="eastAsia"/>
                      <w:color w:val="auto"/>
                      <w:szCs w:val="21"/>
                    </w:rPr>
                    <w:t>依托现有</w:t>
                  </w:r>
                </w:p>
              </w:tc>
            </w:tr>
            <w:tr w14:paraId="6BC987F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61560049">
                  <w:pPr>
                    <w:autoSpaceDE w:val="0"/>
                    <w:autoSpaceDN w:val="0"/>
                    <w:adjustRightInd w:val="0"/>
                    <w:snapToGrid w:val="0"/>
                    <w:spacing w:line="276" w:lineRule="auto"/>
                    <w:jc w:val="center"/>
                    <w:rPr>
                      <w:color w:val="auto"/>
                      <w:szCs w:val="21"/>
                    </w:rPr>
                  </w:pPr>
                  <w:r>
                    <w:rPr>
                      <w:rFonts w:hint="eastAsia"/>
                      <w:color w:val="auto"/>
                      <w:szCs w:val="21"/>
                    </w:rPr>
                    <w:t>12</w:t>
                  </w:r>
                </w:p>
              </w:tc>
              <w:tc>
                <w:tcPr>
                  <w:tcW w:w="614" w:type="pct"/>
                  <w:vMerge w:val="continue"/>
                  <w:vAlign w:val="center"/>
                </w:tcPr>
                <w:p w14:paraId="3F4321E7">
                  <w:pPr>
                    <w:autoSpaceDE w:val="0"/>
                    <w:autoSpaceDN w:val="0"/>
                    <w:adjustRightInd w:val="0"/>
                    <w:snapToGrid w:val="0"/>
                    <w:spacing w:line="276" w:lineRule="auto"/>
                    <w:jc w:val="center"/>
                    <w:rPr>
                      <w:color w:val="auto"/>
                      <w:szCs w:val="21"/>
                    </w:rPr>
                  </w:pPr>
                </w:p>
              </w:tc>
              <w:tc>
                <w:tcPr>
                  <w:tcW w:w="561" w:type="pct"/>
                  <w:vAlign w:val="center"/>
                </w:tcPr>
                <w:p w14:paraId="6903E53D">
                  <w:pPr>
                    <w:pStyle w:val="219"/>
                    <w:spacing w:line="276" w:lineRule="auto"/>
                    <w:jc w:val="center"/>
                    <w:rPr>
                      <w:rFonts w:cs="Times New Roman"/>
                      <w:color w:val="auto"/>
                      <w:sz w:val="21"/>
                      <w:szCs w:val="21"/>
                    </w:rPr>
                  </w:pPr>
                  <w:r>
                    <w:rPr>
                      <w:rFonts w:cs="Times New Roman"/>
                      <w:color w:val="auto"/>
                      <w:sz w:val="21"/>
                      <w:szCs w:val="21"/>
                    </w:rPr>
                    <w:t>器皿吹制机</w:t>
                  </w:r>
                </w:p>
              </w:tc>
              <w:tc>
                <w:tcPr>
                  <w:tcW w:w="982" w:type="pct"/>
                  <w:gridSpan w:val="2"/>
                  <w:vAlign w:val="center"/>
                </w:tcPr>
                <w:p w14:paraId="1445EE59">
                  <w:pPr>
                    <w:autoSpaceDE w:val="0"/>
                    <w:autoSpaceDN w:val="0"/>
                    <w:adjustRightInd w:val="0"/>
                    <w:snapToGrid w:val="0"/>
                    <w:spacing w:line="276" w:lineRule="auto"/>
                    <w:jc w:val="center"/>
                    <w:rPr>
                      <w:color w:val="auto"/>
                      <w:szCs w:val="21"/>
                    </w:rPr>
                  </w:pPr>
                  <w:r>
                    <w:rPr>
                      <w:rFonts w:hint="eastAsia"/>
                      <w:color w:val="auto"/>
                      <w:szCs w:val="21"/>
                    </w:rPr>
                    <w:t>/</w:t>
                  </w:r>
                </w:p>
              </w:tc>
              <w:tc>
                <w:tcPr>
                  <w:tcW w:w="619" w:type="pct"/>
                  <w:vAlign w:val="center"/>
                </w:tcPr>
                <w:p w14:paraId="7A17C48D">
                  <w:pPr>
                    <w:autoSpaceDE w:val="0"/>
                    <w:autoSpaceDN w:val="0"/>
                    <w:adjustRightInd w:val="0"/>
                    <w:snapToGrid w:val="0"/>
                    <w:spacing w:line="276" w:lineRule="auto"/>
                    <w:jc w:val="center"/>
                    <w:rPr>
                      <w:color w:val="auto"/>
                      <w:szCs w:val="21"/>
                    </w:rPr>
                  </w:pPr>
                  <w:r>
                    <w:rPr>
                      <w:rFonts w:hint="eastAsia"/>
                      <w:color w:val="auto"/>
                      <w:szCs w:val="21"/>
                    </w:rPr>
                    <w:t>12</w:t>
                  </w:r>
                </w:p>
              </w:tc>
              <w:tc>
                <w:tcPr>
                  <w:tcW w:w="616" w:type="pct"/>
                  <w:vAlign w:val="center"/>
                </w:tcPr>
                <w:p w14:paraId="4A4670D6">
                  <w:pPr>
                    <w:autoSpaceDE w:val="0"/>
                    <w:autoSpaceDN w:val="0"/>
                    <w:adjustRightInd w:val="0"/>
                    <w:snapToGrid w:val="0"/>
                    <w:spacing w:line="276" w:lineRule="auto"/>
                    <w:jc w:val="center"/>
                    <w:rPr>
                      <w:color w:val="auto"/>
                      <w:szCs w:val="21"/>
                    </w:rPr>
                  </w:pPr>
                  <w:r>
                    <w:rPr>
                      <w:rFonts w:hint="eastAsia"/>
                      <w:color w:val="auto"/>
                      <w:szCs w:val="21"/>
                    </w:rPr>
                    <w:t>12</w:t>
                  </w:r>
                </w:p>
              </w:tc>
              <w:tc>
                <w:tcPr>
                  <w:tcW w:w="618" w:type="pct"/>
                  <w:vAlign w:val="center"/>
                </w:tcPr>
                <w:p w14:paraId="4BC7D47C">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42278220">
                  <w:pPr>
                    <w:autoSpaceDE w:val="0"/>
                    <w:autoSpaceDN w:val="0"/>
                    <w:adjustRightInd w:val="0"/>
                    <w:snapToGrid w:val="0"/>
                    <w:spacing w:line="276" w:lineRule="auto"/>
                    <w:jc w:val="center"/>
                    <w:rPr>
                      <w:color w:val="auto"/>
                      <w:szCs w:val="21"/>
                    </w:rPr>
                  </w:pPr>
                  <w:r>
                    <w:rPr>
                      <w:rFonts w:hint="eastAsia"/>
                      <w:color w:val="auto"/>
                      <w:szCs w:val="21"/>
                    </w:rPr>
                    <w:t>依托现有</w:t>
                  </w:r>
                </w:p>
              </w:tc>
            </w:tr>
            <w:tr w14:paraId="60D37F5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27E7DB29">
                  <w:pPr>
                    <w:autoSpaceDE w:val="0"/>
                    <w:autoSpaceDN w:val="0"/>
                    <w:adjustRightInd w:val="0"/>
                    <w:snapToGrid w:val="0"/>
                    <w:spacing w:line="276" w:lineRule="auto"/>
                    <w:jc w:val="center"/>
                    <w:rPr>
                      <w:color w:val="auto"/>
                      <w:szCs w:val="21"/>
                    </w:rPr>
                  </w:pPr>
                  <w:r>
                    <w:rPr>
                      <w:rFonts w:hint="eastAsia"/>
                      <w:color w:val="auto"/>
                      <w:szCs w:val="21"/>
                    </w:rPr>
                    <w:t>13</w:t>
                  </w:r>
                </w:p>
              </w:tc>
              <w:tc>
                <w:tcPr>
                  <w:tcW w:w="614" w:type="pct"/>
                  <w:vMerge w:val="continue"/>
                  <w:vAlign w:val="center"/>
                </w:tcPr>
                <w:p w14:paraId="71223D17">
                  <w:pPr>
                    <w:autoSpaceDE w:val="0"/>
                    <w:autoSpaceDN w:val="0"/>
                    <w:adjustRightInd w:val="0"/>
                    <w:snapToGrid w:val="0"/>
                    <w:spacing w:line="276" w:lineRule="auto"/>
                    <w:jc w:val="center"/>
                    <w:rPr>
                      <w:color w:val="auto"/>
                      <w:szCs w:val="21"/>
                    </w:rPr>
                  </w:pPr>
                </w:p>
              </w:tc>
              <w:tc>
                <w:tcPr>
                  <w:tcW w:w="561" w:type="pct"/>
                  <w:vAlign w:val="center"/>
                </w:tcPr>
                <w:p w14:paraId="0F701B3D">
                  <w:pPr>
                    <w:pStyle w:val="219"/>
                    <w:spacing w:line="276" w:lineRule="auto"/>
                    <w:jc w:val="center"/>
                    <w:rPr>
                      <w:rFonts w:cs="Times New Roman"/>
                      <w:color w:val="auto"/>
                      <w:sz w:val="21"/>
                      <w:szCs w:val="21"/>
                    </w:rPr>
                  </w:pPr>
                  <w:r>
                    <w:rPr>
                      <w:rFonts w:cs="Times New Roman"/>
                      <w:color w:val="auto"/>
                      <w:sz w:val="21"/>
                      <w:szCs w:val="21"/>
                    </w:rPr>
                    <w:t>行列式制瓶机</w:t>
                  </w:r>
                </w:p>
              </w:tc>
              <w:tc>
                <w:tcPr>
                  <w:tcW w:w="982" w:type="pct"/>
                  <w:gridSpan w:val="2"/>
                  <w:vAlign w:val="center"/>
                </w:tcPr>
                <w:p w14:paraId="4F26DB7F">
                  <w:pPr>
                    <w:autoSpaceDE w:val="0"/>
                    <w:autoSpaceDN w:val="0"/>
                    <w:adjustRightInd w:val="0"/>
                    <w:snapToGrid w:val="0"/>
                    <w:spacing w:line="276" w:lineRule="auto"/>
                    <w:jc w:val="center"/>
                    <w:rPr>
                      <w:color w:val="auto"/>
                      <w:szCs w:val="21"/>
                    </w:rPr>
                  </w:pPr>
                  <w:r>
                    <w:rPr>
                      <w:rFonts w:hint="eastAsia"/>
                      <w:color w:val="auto"/>
                      <w:szCs w:val="21"/>
                    </w:rPr>
                    <w:t>/</w:t>
                  </w:r>
                </w:p>
              </w:tc>
              <w:tc>
                <w:tcPr>
                  <w:tcW w:w="619" w:type="pct"/>
                  <w:vAlign w:val="center"/>
                </w:tcPr>
                <w:p w14:paraId="0D9FD6A4">
                  <w:pPr>
                    <w:autoSpaceDE w:val="0"/>
                    <w:autoSpaceDN w:val="0"/>
                    <w:adjustRightInd w:val="0"/>
                    <w:snapToGrid w:val="0"/>
                    <w:spacing w:line="276" w:lineRule="auto"/>
                    <w:jc w:val="center"/>
                    <w:rPr>
                      <w:color w:val="auto"/>
                      <w:szCs w:val="21"/>
                    </w:rPr>
                  </w:pPr>
                  <w:r>
                    <w:rPr>
                      <w:rFonts w:hint="eastAsia"/>
                      <w:color w:val="auto"/>
                      <w:szCs w:val="21"/>
                    </w:rPr>
                    <w:t>10</w:t>
                  </w:r>
                </w:p>
              </w:tc>
              <w:tc>
                <w:tcPr>
                  <w:tcW w:w="616" w:type="pct"/>
                  <w:vAlign w:val="center"/>
                </w:tcPr>
                <w:p w14:paraId="454C031C">
                  <w:pPr>
                    <w:autoSpaceDE w:val="0"/>
                    <w:autoSpaceDN w:val="0"/>
                    <w:adjustRightInd w:val="0"/>
                    <w:snapToGrid w:val="0"/>
                    <w:spacing w:line="276" w:lineRule="auto"/>
                    <w:jc w:val="center"/>
                    <w:rPr>
                      <w:color w:val="auto"/>
                      <w:szCs w:val="21"/>
                    </w:rPr>
                  </w:pPr>
                  <w:r>
                    <w:rPr>
                      <w:rFonts w:hint="eastAsia"/>
                      <w:color w:val="auto"/>
                      <w:szCs w:val="21"/>
                    </w:rPr>
                    <w:t>10</w:t>
                  </w:r>
                </w:p>
              </w:tc>
              <w:tc>
                <w:tcPr>
                  <w:tcW w:w="618" w:type="pct"/>
                  <w:vAlign w:val="center"/>
                </w:tcPr>
                <w:p w14:paraId="6877EEA4">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33F67CFB">
                  <w:pPr>
                    <w:autoSpaceDE w:val="0"/>
                    <w:autoSpaceDN w:val="0"/>
                    <w:adjustRightInd w:val="0"/>
                    <w:snapToGrid w:val="0"/>
                    <w:spacing w:line="276" w:lineRule="auto"/>
                    <w:jc w:val="center"/>
                    <w:rPr>
                      <w:color w:val="auto"/>
                      <w:szCs w:val="21"/>
                    </w:rPr>
                  </w:pPr>
                  <w:r>
                    <w:rPr>
                      <w:rFonts w:hint="eastAsia"/>
                      <w:color w:val="auto"/>
                      <w:szCs w:val="21"/>
                    </w:rPr>
                    <w:t>依托现有</w:t>
                  </w:r>
                </w:p>
              </w:tc>
            </w:tr>
            <w:tr w14:paraId="28413E4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38AC89D3">
                  <w:pPr>
                    <w:autoSpaceDE w:val="0"/>
                    <w:autoSpaceDN w:val="0"/>
                    <w:adjustRightInd w:val="0"/>
                    <w:snapToGrid w:val="0"/>
                    <w:spacing w:line="276" w:lineRule="auto"/>
                    <w:jc w:val="center"/>
                    <w:rPr>
                      <w:color w:val="auto"/>
                      <w:szCs w:val="21"/>
                    </w:rPr>
                  </w:pPr>
                  <w:r>
                    <w:rPr>
                      <w:rFonts w:hint="eastAsia"/>
                      <w:color w:val="auto"/>
                      <w:szCs w:val="21"/>
                    </w:rPr>
                    <w:t>14</w:t>
                  </w:r>
                </w:p>
              </w:tc>
              <w:tc>
                <w:tcPr>
                  <w:tcW w:w="614" w:type="pct"/>
                  <w:vMerge w:val="continue"/>
                  <w:vAlign w:val="center"/>
                </w:tcPr>
                <w:p w14:paraId="0765AD50">
                  <w:pPr>
                    <w:autoSpaceDE w:val="0"/>
                    <w:autoSpaceDN w:val="0"/>
                    <w:adjustRightInd w:val="0"/>
                    <w:snapToGrid w:val="0"/>
                    <w:spacing w:line="276" w:lineRule="auto"/>
                    <w:jc w:val="center"/>
                    <w:rPr>
                      <w:color w:val="auto"/>
                      <w:szCs w:val="21"/>
                    </w:rPr>
                  </w:pPr>
                </w:p>
              </w:tc>
              <w:tc>
                <w:tcPr>
                  <w:tcW w:w="561" w:type="pct"/>
                  <w:vAlign w:val="center"/>
                </w:tcPr>
                <w:p w14:paraId="7D2737FF">
                  <w:pPr>
                    <w:pStyle w:val="219"/>
                    <w:spacing w:line="276" w:lineRule="auto"/>
                    <w:jc w:val="center"/>
                    <w:rPr>
                      <w:rFonts w:cs="Times New Roman"/>
                      <w:color w:val="auto"/>
                      <w:sz w:val="21"/>
                      <w:szCs w:val="21"/>
                    </w:rPr>
                  </w:pPr>
                  <w:r>
                    <w:rPr>
                      <w:rFonts w:cs="Times New Roman"/>
                      <w:color w:val="auto"/>
                      <w:sz w:val="21"/>
                      <w:szCs w:val="21"/>
                    </w:rPr>
                    <w:t>弧线递送机</w:t>
                  </w:r>
                </w:p>
              </w:tc>
              <w:tc>
                <w:tcPr>
                  <w:tcW w:w="982" w:type="pct"/>
                  <w:gridSpan w:val="2"/>
                  <w:vAlign w:val="center"/>
                </w:tcPr>
                <w:p w14:paraId="3C65B0FB">
                  <w:pPr>
                    <w:autoSpaceDE w:val="0"/>
                    <w:autoSpaceDN w:val="0"/>
                    <w:adjustRightInd w:val="0"/>
                    <w:snapToGrid w:val="0"/>
                    <w:spacing w:line="276" w:lineRule="auto"/>
                    <w:jc w:val="center"/>
                    <w:rPr>
                      <w:color w:val="auto"/>
                      <w:szCs w:val="21"/>
                    </w:rPr>
                  </w:pPr>
                  <w:r>
                    <w:rPr>
                      <w:rFonts w:hint="eastAsia"/>
                      <w:color w:val="auto"/>
                      <w:szCs w:val="21"/>
                    </w:rPr>
                    <w:t>/</w:t>
                  </w:r>
                </w:p>
              </w:tc>
              <w:tc>
                <w:tcPr>
                  <w:tcW w:w="619" w:type="pct"/>
                  <w:vAlign w:val="center"/>
                </w:tcPr>
                <w:p w14:paraId="2EC6F388">
                  <w:pPr>
                    <w:autoSpaceDE w:val="0"/>
                    <w:autoSpaceDN w:val="0"/>
                    <w:adjustRightInd w:val="0"/>
                    <w:snapToGrid w:val="0"/>
                    <w:spacing w:line="276" w:lineRule="auto"/>
                    <w:jc w:val="center"/>
                    <w:rPr>
                      <w:color w:val="auto"/>
                      <w:szCs w:val="21"/>
                    </w:rPr>
                  </w:pPr>
                  <w:r>
                    <w:rPr>
                      <w:rFonts w:hint="eastAsia"/>
                      <w:color w:val="auto"/>
                      <w:szCs w:val="21"/>
                    </w:rPr>
                    <w:t>8</w:t>
                  </w:r>
                </w:p>
              </w:tc>
              <w:tc>
                <w:tcPr>
                  <w:tcW w:w="616" w:type="pct"/>
                  <w:vAlign w:val="center"/>
                </w:tcPr>
                <w:p w14:paraId="63263BF7">
                  <w:pPr>
                    <w:autoSpaceDE w:val="0"/>
                    <w:autoSpaceDN w:val="0"/>
                    <w:adjustRightInd w:val="0"/>
                    <w:snapToGrid w:val="0"/>
                    <w:spacing w:line="276" w:lineRule="auto"/>
                    <w:jc w:val="center"/>
                    <w:rPr>
                      <w:color w:val="auto"/>
                      <w:szCs w:val="21"/>
                    </w:rPr>
                  </w:pPr>
                  <w:r>
                    <w:rPr>
                      <w:rFonts w:hint="eastAsia"/>
                      <w:color w:val="auto"/>
                      <w:szCs w:val="21"/>
                    </w:rPr>
                    <w:t>8</w:t>
                  </w:r>
                </w:p>
              </w:tc>
              <w:tc>
                <w:tcPr>
                  <w:tcW w:w="618" w:type="pct"/>
                  <w:vAlign w:val="center"/>
                </w:tcPr>
                <w:p w14:paraId="1828A6F8">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7B3FE7A2">
                  <w:pPr>
                    <w:autoSpaceDE w:val="0"/>
                    <w:autoSpaceDN w:val="0"/>
                    <w:adjustRightInd w:val="0"/>
                    <w:snapToGrid w:val="0"/>
                    <w:spacing w:line="276" w:lineRule="auto"/>
                    <w:jc w:val="center"/>
                    <w:rPr>
                      <w:color w:val="auto"/>
                      <w:szCs w:val="21"/>
                    </w:rPr>
                  </w:pPr>
                  <w:r>
                    <w:rPr>
                      <w:rFonts w:hint="eastAsia"/>
                      <w:color w:val="auto"/>
                      <w:szCs w:val="21"/>
                    </w:rPr>
                    <w:t>依托现有</w:t>
                  </w:r>
                </w:p>
              </w:tc>
            </w:tr>
            <w:tr w14:paraId="7FB92D0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46EC588A">
                  <w:pPr>
                    <w:autoSpaceDE w:val="0"/>
                    <w:autoSpaceDN w:val="0"/>
                    <w:adjustRightInd w:val="0"/>
                    <w:snapToGrid w:val="0"/>
                    <w:spacing w:line="276" w:lineRule="auto"/>
                    <w:jc w:val="center"/>
                    <w:rPr>
                      <w:color w:val="auto"/>
                      <w:szCs w:val="21"/>
                    </w:rPr>
                  </w:pPr>
                  <w:r>
                    <w:rPr>
                      <w:rFonts w:hint="eastAsia"/>
                      <w:color w:val="auto"/>
                      <w:szCs w:val="21"/>
                    </w:rPr>
                    <w:t>15</w:t>
                  </w:r>
                </w:p>
              </w:tc>
              <w:tc>
                <w:tcPr>
                  <w:tcW w:w="614" w:type="pct"/>
                  <w:vMerge w:val="continue"/>
                  <w:vAlign w:val="center"/>
                </w:tcPr>
                <w:p w14:paraId="58E5A036">
                  <w:pPr>
                    <w:autoSpaceDE w:val="0"/>
                    <w:autoSpaceDN w:val="0"/>
                    <w:adjustRightInd w:val="0"/>
                    <w:snapToGrid w:val="0"/>
                    <w:spacing w:line="276" w:lineRule="auto"/>
                    <w:jc w:val="center"/>
                    <w:rPr>
                      <w:color w:val="auto"/>
                      <w:szCs w:val="21"/>
                    </w:rPr>
                  </w:pPr>
                </w:p>
              </w:tc>
              <w:tc>
                <w:tcPr>
                  <w:tcW w:w="561" w:type="pct"/>
                  <w:vAlign w:val="center"/>
                </w:tcPr>
                <w:p w14:paraId="46A2CAD3">
                  <w:pPr>
                    <w:pStyle w:val="219"/>
                    <w:spacing w:line="276" w:lineRule="auto"/>
                    <w:jc w:val="center"/>
                    <w:rPr>
                      <w:rFonts w:cs="Times New Roman"/>
                      <w:color w:val="auto"/>
                      <w:sz w:val="21"/>
                      <w:szCs w:val="21"/>
                    </w:rPr>
                  </w:pPr>
                  <w:r>
                    <w:rPr>
                      <w:rFonts w:cs="Times New Roman"/>
                      <w:color w:val="auto"/>
                      <w:sz w:val="21"/>
                      <w:szCs w:val="21"/>
                    </w:rPr>
                    <w:t>转瓶机</w:t>
                  </w:r>
                </w:p>
              </w:tc>
              <w:tc>
                <w:tcPr>
                  <w:tcW w:w="982" w:type="pct"/>
                  <w:gridSpan w:val="2"/>
                  <w:vAlign w:val="center"/>
                </w:tcPr>
                <w:p w14:paraId="1A3D96B4">
                  <w:pPr>
                    <w:autoSpaceDE w:val="0"/>
                    <w:autoSpaceDN w:val="0"/>
                    <w:adjustRightInd w:val="0"/>
                    <w:snapToGrid w:val="0"/>
                    <w:spacing w:line="276" w:lineRule="auto"/>
                    <w:jc w:val="center"/>
                    <w:rPr>
                      <w:color w:val="auto"/>
                      <w:szCs w:val="21"/>
                    </w:rPr>
                  </w:pPr>
                  <w:r>
                    <w:rPr>
                      <w:rFonts w:hint="eastAsia"/>
                      <w:color w:val="auto"/>
                      <w:szCs w:val="21"/>
                    </w:rPr>
                    <w:t>/</w:t>
                  </w:r>
                </w:p>
              </w:tc>
              <w:tc>
                <w:tcPr>
                  <w:tcW w:w="619" w:type="pct"/>
                  <w:vAlign w:val="center"/>
                </w:tcPr>
                <w:p w14:paraId="0F06DC46">
                  <w:pPr>
                    <w:autoSpaceDE w:val="0"/>
                    <w:autoSpaceDN w:val="0"/>
                    <w:adjustRightInd w:val="0"/>
                    <w:snapToGrid w:val="0"/>
                    <w:spacing w:line="276" w:lineRule="auto"/>
                    <w:jc w:val="center"/>
                    <w:rPr>
                      <w:color w:val="auto"/>
                      <w:szCs w:val="21"/>
                    </w:rPr>
                  </w:pPr>
                  <w:r>
                    <w:rPr>
                      <w:rFonts w:hint="eastAsia"/>
                      <w:color w:val="auto"/>
                      <w:szCs w:val="21"/>
                    </w:rPr>
                    <w:t>4</w:t>
                  </w:r>
                </w:p>
              </w:tc>
              <w:tc>
                <w:tcPr>
                  <w:tcW w:w="616" w:type="pct"/>
                  <w:vAlign w:val="center"/>
                </w:tcPr>
                <w:p w14:paraId="44D3592A">
                  <w:pPr>
                    <w:autoSpaceDE w:val="0"/>
                    <w:autoSpaceDN w:val="0"/>
                    <w:adjustRightInd w:val="0"/>
                    <w:snapToGrid w:val="0"/>
                    <w:spacing w:line="276" w:lineRule="auto"/>
                    <w:jc w:val="center"/>
                    <w:rPr>
                      <w:color w:val="auto"/>
                      <w:szCs w:val="21"/>
                    </w:rPr>
                  </w:pPr>
                  <w:r>
                    <w:rPr>
                      <w:rFonts w:hint="eastAsia"/>
                      <w:color w:val="auto"/>
                      <w:szCs w:val="21"/>
                    </w:rPr>
                    <w:t>4</w:t>
                  </w:r>
                </w:p>
              </w:tc>
              <w:tc>
                <w:tcPr>
                  <w:tcW w:w="618" w:type="pct"/>
                  <w:vAlign w:val="center"/>
                </w:tcPr>
                <w:p w14:paraId="6AAE2FFA">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4DD6DE78">
                  <w:pPr>
                    <w:autoSpaceDE w:val="0"/>
                    <w:autoSpaceDN w:val="0"/>
                    <w:adjustRightInd w:val="0"/>
                    <w:snapToGrid w:val="0"/>
                    <w:spacing w:line="276" w:lineRule="auto"/>
                    <w:jc w:val="center"/>
                    <w:rPr>
                      <w:color w:val="auto"/>
                      <w:szCs w:val="21"/>
                    </w:rPr>
                  </w:pPr>
                  <w:r>
                    <w:rPr>
                      <w:rFonts w:hint="eastAsia"/>
                      <w:color w:val="auto"/>
                      <w:szCs w:val="21"/>
                    </w:rPr>
                    <w:t>依托现有</w:t>
                  </w:r>
                </w:p>
              </w:tc>
            </w:tr>
            <w:tr w14:paraId="1A1851C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5B44B114">
                  <w:pPr>
                    <w:autoSpaceDE w:val="0"/>
                    <w:autoSpaceDN w:val="0"/>
                    <w:adjustRightInd w:val="0"/>
                    <w:snapToGrid w:val="0"/>
                    <w:spacing w:line="276" w:lineRule="auto"/>
                    <w:jc w:val="center"/>
                    <w:rPr>
                      <w:color w:val="auto"/>
                      <w:szCs w:val="21"/>
                    </w:rPr>
                  </w:pPr>
                  <w:r>
                    <w:rPr>
                      <w:rFonts w:hint="eastAsia"/>
                      <w:color w:val="auto"/>
                      <w:szCs w:val="21"/>
                    </w:rPr>
                    <w:t>16</w:t>
                  </w:r>
                </w:p>
              </w:tc>
              <w:tc>
                <w:tcPr>
                  <w:tcW w:w="614" w:type="pct"/>
                  <w:vMerge w:val="continue"/>
                  <w:vAlign w:val="center"/>
                </w:tcPr>
                <w:p w14:paraId="5259F107">
                  <w:pPr>
                    <w:autoSpaceDE w:val="0"/>
                    <w:autoSpaceDN w:val="0"/>
                    <w:adjustRightInd w:val="0"/>
                    <w:snapToGrid w:val="0"/>
                    <w:spacing w:line="276" w:lineRule="auto"/>
                    <w:jc w:val="center"/>
                    <w:rPr>
                      <w:color w:val="auto"/>
                      <w:szCs w:val="21"/>
                    </w:rPr>
                  </w:pPr>
                </w:p>
              </w:tc>
              <w:tc>
                <w:tcPr>
                  <w:tcW w:w="561" w:type="pct"/>
                  <w:vAlign w:val="center"/>
                </w:tcPr>
                <w:p w14:paraId="51A725B9">
                  <w:pPr>
                    <w:pStyle w:val="219"/>
                    <w:spacing w:line="276" w:lineRule="auto"/>
                    <w:jc w:val="center"/>
                    <w:rPr>
                      <w:rFonts w:cs="Times New Roman"/>
                      <w:color w:val="auto"/>
                      <w:sz w:val="21"/>
                      <w:szCs w:val="21"/>
                    </w:rPr>
                  </w:pPr>
                  <w:r>
                    <w:rPr>
                      <w:rFonts w:cs="Times New Roman"/>
                      <w:color w:val="auto"/>
                      <w:sz w:val="21"/>
                      <w:szCs w:val="21"/>
                    </w:rPr>
                    <w:t>横向输瓶机</w:t>
                  </w:r>
                </w:p>
              </w:tc>
              <w:tc>
                <w:tcPr>
                  <w:tcW w:w="982" w:type="pct"/>
                  <w:gridSpan w:val="2"/>
                  <w:vAlign w:val="center"/>
                </w:tcPr>
                <w:p w14:paraId="7D7910C8">
                  <w:pPr>
                    <w:autoSpaceDE w:val="0"/>
                    <w:autoSpaceDN w:val="0"/>
                    <w:adjustRightInd w:val="0"/>
                    <w:snapToGrid w:val="0"/>
                    <w:spacing w:line="276" w:lineRule="auto"/>
                    <w:jc w:val="center"/>
                    <w:rPr>
                      <w:color w:val="auto"/>
                      <w:szCs w:val="21"/>
                    </w:rPr>
                  </w:pPr>
                  <w:r>
                    <w:rPr>
                      <w:rFonts w:hint="eastAsia"/>
                      <w:color w:val="auto"/>
                      <w:szCs w:val="21"/>
                    </w:rPr>
                    <w:t>/</w:t>
                  </w:r>
                </w:p>
              </w:tc>
              <w:tc>
                <w:tcPr>
                  <w:tcW w:w="619" w:type="pct"/>
                  <w:vAlign w:val="center"/>
                </w:tcPr>
                <w:p w14:paraId="41BD5B9E">
                  <w:pPr>
                    <w:autoSpaceDE w:val="0"/>
                    <w:autoSpaceDN w:val="0"/>
                    <w:adjustRightInd w:val="0"/>
                    <w:snapToGrid w:val="0"/>
                    <w:spacing w:line="276" w:lineRule="auto"/>
                    <w:jc w:val="center"/>
                    <w:rPr>
                      <w:color w:val="auto"/>
                      <w:szCs w:val="21"/>
                    </w:rPr>
                  </w:pPr>
                  <w:r>
                    <w:rPr>
                      <w:rFonts w:hint="eastAsia"/>
                      <w:color w:val="auto"/>
                      <w:szCs w:val="21"/>
                    </w:rPr>
                    <w:t>8</w:t>
                  </w:r>
                </w:p>
              </w:tc>
              <w:tc>
                <w:tcPr>
                  <w:tcW w:w="616" w:type="pct"/>
                  <w:vAlign w:val="center"/>
                </w:tcPr>
                <w:p w14:paraId="1FD45E4E">
                  <w:pPr>
                    <w:autoSpaceDE w:val="0"/>
                    <w:autoSpaceDN w:val="0"/>
                    <w:adjustRightInd w:val="0"/>
                    <w:snapToGrid w:val="0"/>
                    <w:spacing w:line="276" w:lineRule="auto"/>
                    <w:jc w:val="center"/>
                    <w:rPr>
                      <w:color w:val="auto"/>
                      <w:szCs w:val="21"/>
                    </w:rPr>
                  </w:pPr>
                  <w:r>
                    <w:rPr>
                      <w:rFonts w:hint="eastAsia"/>
                      <w:color w:val="auto"/>
                      <w:szCs w:val="21"/>
                    </w:rPr>
                    <w:t>8</w:t>
                  </w:r>
                </w:p>
              </w:tc>
              <w:tc>
                <w:tcPr>
                  <w:tcW w:w="618" w:type="pct"/>
                  <w:vAlign w:val="center"/>
                </w:tcPr>
                <w:p w14:paraId="6AF7A0F3">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03BDB898">
                  <w:pPr>
                    <w:autoSpaceDE w:val="0"/>
                    <w:autoSpaceDN w:val="0"/>
                    <w:adjustRightInd w:val="0"/>
                    <w:snapToGrid w:val="0"/>
                    <w:spacing w:line="276" w:lineRule="auto"/>
                    <w:jc w:val="center"/>
                    <w:rPr>
                      <w:color w:val="auto"/>
                      <w:szCs w:val="21"/>
                    </w:rPr>
                  </w:pPr>
                  <w:r>
                    <w:rPr>
                      <w:rFonts w:hint="eastAsia"/>
                      <w:color w:val="auto"/>
                      <w:szCs w:val="21"/>
                    </w:rPr>
                    <w:t>依托现有</w:t>
                  </w:r>
                </w:p>
              </w:tc>
            </w:tr>
            <w:tr w14:paraId="57D86AC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662491B6">
                  <w:pPr>
                    <w:autoSpaceDE w:val="0"/>
                    <w:autoSpaceDN w:val="0"/>
                    <w:adjustRightInd w:val="0"/>
                    <w:snapToGrid w:val="0"/>
                    <w:spacing w:line="276" w:lineRule="auto"/>
                    <w:jc w:val="center"/>
                    <w:rPr>
                      <w:color w:val="auto"/>
                      <w:szCs w:val="21"/>
                    </w:rPr>
                  </w:pPr>
                  <w:r>
                    <w:rPr>
                      <w:rFonts w:hint="eastAsia"/>
                      <w:color w:val="auto"/>
                      <w:szCs w:val="21"/>
                    </w:rPr>
                    <w:t>17</w:t>
                  </w:r>
                </w:p>
              </w:tc>
              <w:tc>
                <w:tcPr>
                  <w:tcW w:w="614" w:type="pct"/>
                  <w:vAlign w:val="center"/>
                </w:tcPr>
                <w:p w14:paraId="1FE3B952">
                  <w:pPr>
                    <w:autoSpaceDE w:val="0"/>
                    <w:autoSpaceDN w:val="0"/>
                    <w:adjustRightInd w:val="0"/>
                    <w:snapToGrid w:val="0"/>
                    <w:spacing w:line="276" w:lineRule="auto"/>
                    <w:jc w:val="center"/>
                    <w:rPr>
                      <w:color w:val="auto"/>
                      <w:szCs w:val="21"/>
                    </w:rPr>
                  </w:pPr>
                  <w:r>
                    <w:rPr>
                      <w:color w:val="auto"/>
                      <w:szCs w:val="21"/>
                    </w:rPr>
                    <w:t>喷涂</w:t>
                  </w:r>
                </w:p>
              </w:tc>
              <w:tc>
                <w:tcPr>
                  <w:tcW w:w="561" w:type="pct"/>
                  <w:vAlign w:val="center"/>
                </w:tcPr>
                <w:p w14:paraId="11289B76">
                  <w:pPr>
                    <w:pStyle w:val="219"/>
                    <w:spacing w:line="276" w:lineRule="auto"/>
                    <w:jc w:val="center"/>
                    <w:rPr>
                      <w:rFonts w:cs="Times New Roman"/>
                      <w:color w:val="auto"/>
                      <w:sz w:val="21"/>
                      <w:szCs w:val="21"/>
                    </w:rPr>
                  </w:pPr>
                  <w:r>
                    <w:rPr>
                      <w:rFonts w:cs="Times New Roman"/>
                      <w:color w:val="auto"/>
                      <w:sz w:val="21"/>
                      <w:szCs w:val="21"/>
                    </w:rPr>
                    <w:t>热端喷涂装置</w:t>
                  </w:r>
                </w:p>
              </w:tc>
              <w:tc>
                <w:tcPr>
                  <w:tcW w:w="982" w:type="pct"/>
                  <w:gridSpan w:val="2"/>
                  <w:vAlign w:val="center"/>
                </w:tcPr>
                <w:p w14:paraId="2DAD9AF7">
                  <w:pPr>
                    <w:autoSpaceDE w:val="0"/>
                    <w:autoSpaceDN w:val="0"/>
                    <w:adjustRightInd w:val="0"/>
                    <w:snapToGrid w:val="0"/>
                    <w:spacing w:line="276" w:lineRule="auto"/>
                    <w:jc w:val="center"/>
                    <w:rPr>
                      <w:color w:val="auto"/>
                      <w:szCs w:val="21"/>
                    </w:rPr>
                  </w:pPr>
                  <w:r>
                    <w:rPr>
                      <w:rFonts w:hint="eastAsia"/>
                      <w:color w:val="auto"/>
                      <w:szCs w:val="21"/>
                    </w:rPr>
                    <w:t>容积200kg</w:t>
                  </w:r>
                </w:p>
              </w:tc>
              <w:tc>
                <w:tcPr>
                  <w:tcW w:w="619" w:type="pct"/>
                  <w:vAlign w:val="center"/>
                </w:tcPr>
                <w:p w14:paraId="4AD16AB5">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0F6E68A5">
                  <w:pPr>
                    <w:autoSpaceDE w:val="0"/>
                    <w:autoSpaceDN w:val="0"/>
                    <w:adjustRightInd w:val="0"/>
                    <w:snapToGrid w:val="0"/>
                    <w:spacing w:line="276" w:lineRule="auto"/>
                    <w:jc w:val="center"/>
                    <w:rPr>
                      <w:color w:val="auto"/>
                      <w:szCs w:val="21"/>
                    </w:rPr>
                  </w:pPr>
                  <w:r>
                    <w:rPr>
                      <w:rFonts w:hint="eastAsia"/>
                      <w:color w:val="auto"/>
                      <w:szCs w:val="21"/>
                    </w:rPr>
                    <w:t>2</w:t>
                  </w:r>
                </w:p>
              </w:tc>
              <w:tc>
                <w:tcPr>
                  <w:tcW w:w="618" w:type="pct"/>
                  <w:vAlign w:val="center"/>
                </w:tcPr>
                <w:p w14:paraId="1A8B6280">
                  <w:pPr>
                    <w:autoSpaceDE w:val="0"/>
                    <w:autoSpaceDN w:val="0"/>
                    <w:adjustRightInd w:val="0"/>
                    <w:snapToGrid w:val="0"/>
                    <w:spacing w:line="276" w:lineRule="auto"/>
                    <w:jc w:val="center"/>
                    <w:rPr>
                      <w:color w:val="auto"/>
                      <w:szCs w:val="21"/>
                    </w:rPr>
                  </w:pPr>
                  <w:r>
                    <w:rPr>
                      <w:rFonts w:hint="eastAsia"/>
                      <w:color w:val="auto"/>
                      <w:szCs w:val="21"/>
                    </w:rPr>
                    <w:t>+2</w:t>
                  </w:r>
                </w:p>
              </w:tc>
              <w:tc>
                <w:tcPr>
                  <w:tcW w:w="616" w:type="pct"/>
                  <w:vAlign w:val="center"/>
                </w:tcPr>
                <w:p w14:paraId="05C41E7C">
                  <w:pPr>
                    <w:autoSpaceDE w:val="0"/>
                    <w:autoSpaceDN w:val="0"/>
                    <w:adjustRightInd w:val="0"/>
                    <w:snapToGrid w:val="0"/>
                    <w:spacing w:line="276" w:lineRule="auto"/>
                    <w:jc w:val="center"/>
                    <w:rPr>
                      <w:color w:val="auto"/>
                      <w:szCs w:val="21"/>
                    </w:rPr>
                  </w:pPr>
                  <w:r>
                    <w:rPr>
                      <w:rFonts w:hint="eastAsia"/>
                      <w:color w:val="auto"/>
                      <w:szCs w:val="21"/>
                    </w:rPr>
                    <w:t>本次新增</w:t>
                  </w:r>
                </w:p>
              </w:tc>
            </w:tr>
            <w:tr w14:paraId="1E5BA88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68D0E74E">
                  <w:pPr>
                    <w:autoSpaceDE w:val="0"/>
                    <w:autoSpaceDN w:val="0"/>
                    <w:adjustRightInd w:val="0"/>
                    <w:snapToGrid w:val="0"/>
                    <w:spacing w:line="276" w:lineRule="auto"/>
                    <w:jc w:val="center"/>
                    <w:rPr>
                      <w:color w:val="auto"/>
                      <w:szCs w:val="21"/>
                    </w:rPr>
                  </w:pPr>
                  <w:r>
                    <w:rPr>
                      <w:rFonts w:hint="eastAsia"/>
                      <w:color w:val="auto"/>
                      <w:szCs w:val="21"/>
                    </w:rPr>
                    <w:t>18</w:t>
                  </w:r>
                </w:p>
              </w:tc>
              <w:tc>
                <w:tcPr>
                  <w:tcW w:w="614" w:type="pct"/>
                  <w:vMerge w:val="restart"/>
                  <w:vAlign w:val="center"/>
                </w:tcPr>
                <w:p w14:paraId="0278CA75">
                  <w:pPr>
                    <w:autoSpaceDE w:val="0"/>
                    <w:autoSpaceDN w:val="0"/>
                    <w:adjustRightInd w:val="0"/>
                    <w:snapToGrid w:val="0"/>
                    <w:spacing w:line="276" w:lineRule="auto"/>
                    <w:jc w:val="center"/>
                    <w:rPr>
                      <w:color w:val="auto"/>
                      <w:szCs w:val="21"/>
                    </w:rPr>
                  </w:pPr>
                  <w:r>
                    <w:rPr>
                      <w:color w:val="auto"/>
                      <w:szCs w:val="21"/>
                    </w:rPr>
                    <w:t>退火</w:t>
                  </w:r>
                </w:p>
              </w:tc>
              <w:tc>
                <w:tcPr>
                  <w:tcW w:w="561" w:type="pct"/>
                  <w:vAlign w:val="center"/>
                </w:tcPr>
                <w:p w14:paraId="4E9E35EF">
                  <w:pPr>
                    <w:pStyle w:val="219"/>
                    <w:spacing w:line="276" w:lineRule="auto"/>
                    <w:jc w:val="center"/>
                    <w:rPr>
                      <w:rFonts w:cs="Times New Roman"/>
                      <w:color w:val="auto"/>
                      <w:sz w:val="21"/>
                      <w:szCs w:val="21"/>
                    </w:rPr>
                  </w:pPr>
                  <w:r>
                    <w:rPr>
                      <w:rFonts w:cs="Times New Roman"/>
                      <w:color w:val="auto"/>
                      <w:sz w:val="21"/>
                      <w:szCs w:val="21"/>
                    </w:rPr>
                    <w:t>退火窑</w:t>
                  </w:r>
                </w:p>
              </w:tc>
              <w:tc>
                <w:tcPr>
                  <w:tcW w:w="982" w:type="pct"/>
                  <w:gridSpan w:val="2"/>
                  <w:vAlign w:val="center"/>
                </w:tcPr>
                <w:p w14:paraId="2E6F4E24">
                  <w:pPr>
                    <w:autoSpaceDE w:val="0"/>
                    <w:autoSpaceDN w:val="0"/>
                    <w:adjustRightInd w:val="0"/>
                    <w:snapToGrid w:val="0"/>
                    <w:spacing w:line="276" w:lineRule="auto"/>
                    <w:jc w:val="center"/>
                    <w:rPr>
                      <w:color w:val="auto"/>
                      <w:szCs w:val="21"/>
                    </w:rPr>
                  </w:pPr>
                  <w:r>
                    <w:rPr>
                      <w:color w:val="auto"/>
                      <w:szCs w:val="21"/>
                    </w:rPr>
                    <w:t>电加热</w:t>
                  </w:r>
                </w:p>
              </w:tc>
              <w:tc>
                <w:tcPr>
                  <w:tcW w:w="619" w:type="pct"/>
                  <w:vAlign w:val="center"/>
                </w:tcPr>
                <w:p w14:paraId="3FA3F83D">
                  <w:pPr>
                    <w:autoSpaceDE w:val="0"/>
                    <w:autoSpaceDN w:val="0"/>
                    <w:adjustRightInd w:val="0"/>
                    <w:snapToGrid w:val="0"/>
                    <w:spacing w:line="276" w:lineRule="auto"/>
                    <w:jc w:val="center"/>
                    <w:rPr>
                      <w:color w:val="auto"/>
                      <w:szCs w:val="21"/>
                    </w:rPr>
                  </w:pPr>
                  <w:r>
                    <w:rPr>
                      <w:rFonts w:hint="eastAsia"/>
                      <w:color w:val="auto"/>
                      <w:szCs w:val="21"/>
                    </w:rPr>
                    <w:t>21</w:t>
                  </w:r>
                </w:p>
              </w:tc>
              <w:tc>
                <w:tcPr>
                  <w:tcW w:w="616" w:type="pct"/>
                  <w:vAlign w:val="center"/>
                </w:tcPr>
                <w:p w14:paraId="2DE7B6CE">
                  <w:pPr>
                    <w:autoSpaceDE w:val="0"/>
                    <w:autoSpaceDN w:val="0"/>
                    <w:adjustRightInd w:val="0"/>
                    <w:snapToGrid w:val="0"/>
                    <w:spacing w:line="276" w:lineRule="auto"/>
                    <w:jc w:val="center"/>
                    <w:rPr>
                      <w:color w:val="auto"/>
                      <w:szCs w:val="21"/>
                    </w:rPr>
                  </w:pPr>
                  <w:r>
                    <w:rPr>
                      <w:rFonts w:hint="eastAsia"/>
                      <w:color w:val="auto"/>
                      <w:szCs w:val="21"/>
                    </w:rPr>
                    <w:t>21</w:t>
                  </w:r>
                </w:p>
              </w:tc>
              <w:tc>
                <w:tcPr>
                  <w:tcW w:w="618" w:type="pct"/>
                  <w:vAlign w:val="center"/>
                </w:tcPr>
                <w:p w14:paraId="21351D68">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5DAA22C7">
                  <w:pPr>
                    <w:autoSpaceDE w:val="0"/>
                    <w:autoSpaceDN w:val="0"/>
                    <w:adjustRightInd w:val="0"/>
                    <w:snapToGrid w:val="0"/>
                    <w:spacing w:line="276" w:lineRule="auto"/>
                    <w:jc w:val="center"/>
                    <w:rPr>
                      <w:color w:val="auto"/>
                      <w:szCs w:val="21"/>
                    </w:rPr>
                  </w:pPr>
                  <w:r>
                    <w:rPr>
                      <w:rFonts w:hint="eastAsia"/>
                      <w:color w:val="auto"/>
                      <w:szCs w:val="21"/>
                    </w:rPr>
                    <w:t>依托现有</w:t>
                  </w:r>
                </w:p>
              </w:tc>
            </w:tr>
            <w:tr w14:paraId="53B026B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13C7AD52">
                  <w:pPr>
                    <w:autoSpaceDE w:val="0"/>
                    <w:autoSpaceDN w:val="0"/>
                    <w:adjustRightInd w:val="0"/>
                    <w:snapToGrid w:val="0"/>
                    <w:spacing w:line="276" w:lineRule="auto"/>
                    <w:jc w:val="center"/>
                    <w:rPr>
                      <w:color w:val="auto"/>
                      <w:szCs w:val="21"/>
                    </w:rPr>
                  </w:pPr>
                  <w:r>
                    <w:rPr>
                      <w:rFonts w:hint="eastAsia"/>
                      <w:color w:val="auto"/>
                      <w:szCs w:val="21"/>
                    </w:rPr>
                    <w:t>19</w:t>
                  </w:r>
                </w:p>
              </w:tc>
              <w:tc>
                <w:tcPr>
                  <w:tcW w:w="614" w:type="pct"/>
                  <w:vMerge w:val="continue"/>
                  <w:vAlign w:val="center"/>
                </w:tcPr>
                <w:p w14:paraId="163967EA">
                  <w:pPr>
                    <w:autoSpaceDE w:val="0"/>
                    <w:autoSpaceDN w:val="0"/>
                    <w:adjustRightInd w:val="0"/>
                    <w:snapToGrid w:val="0"/>
                    <w:spacing w:line="276" w:lineRule="auto"/>
                    <w:jc w:val="center"/>
                    <w:rPr>
                      <w:color w:val="auto"/>
                      <w:szCs w:val="21"/>
                    </w:rPr>
                  </w:pPr>
                </w:p>
              </w:tc>
              <w:tc>
                <w:tcPr>
                  <w:tcW w:w="561" w:type="pct"/>
                  <w:vAlign w:val="center"/>
                </w:tcPr>
                <w:p w14:paraId="008A9B12">
                  <w:pPr>
                    <w:pStyle w:val="219"/>
                    <w:spacing w:line="276" w:lineRule="auto"/>
                    <w:jc w:val="center"/>
                    <w:rPr>
                      <w:rFonts w:cs="Times New Roman"/>
                      <w:color w:val="auto"/>
                      <w:sz w:val="21"/>
                      <w:szCs w:val="21"/>
                    </w:rPr>
                  </w:pPr>
                  <w:r>
                    <w:rPr>
                      <w:rFonts w:cs="Times New Roman"/>
                      <w:color w:val="auto"/>
                      <w:sz w:val="21"/>
                      <w:szCs w:val="21"/>
                    </w:rPr>
                    <w:t>单臂曲线推瓶机</w:t>
                  </w:r>
                </w:p>
              </w:tc>
              <w:tc>
                <w:tcPr>
                  <w:tcW w:w="982" w:type="pct"/>
                  <w:gridSpan w:val="2"/>
                  <w:vAlign w:val="center"/>
                </w:tcPr>
                <w:p w14:paraId="4579FEE5">
                  <w:pPr>
                    <w:autoSpaceDE w:val="0"/>
                    <w:autoSpaceDN w:val="0"/>
                    <w:adjustRightInd w:val="0"/>
                    <w:snapToGrid w:val="0"/>
                    <w:spacing w:line="276" w:lineRule="auto"/>
                    <w:jc w:val="center"/>
                    <w:rPr>
                      <w:color w:val="auto"/>
                      <w:szCs w:val="21"/>
                    </w:rPr>
                  </w:pPr>
                  <w:r>
                    <w:rPr>
                      <w:rFonts w:hint="eastAsia"/>
                      <w:color w:val="auto"/>
                      <w:szCs w:val="21"/>
                    </w:rPr>
                    <w:t>/</w:t>
                  </w:r>
                </w:p>
              </w:tc>
              <w:tc>
                <w:tcPr>
                  <w:tcW w:w="619" w:type="pct"/>
                  <w:vAlign w:val="center"/>
                </w:tcPr>
                <w:p w14:paraId="03F006E4">
                  <w:pPr>
                    <w:autoSpaceDE w:val="0"/>
                    <w:autoSpaceDN w:val="0"/>
                    <w:adjustRightInd w:val="0"/>
                    <w:snapToGrid w:val="0"/>
                    <w:spacing w:line="276" w:lineRule="auto"/>
                    <w:jc w:val="center"/>
                    <w:rPr>
                      <w:color w:val="auto"/>
                      <w:szCs w:val="21"/>
                    </w:rPr>
                  </w:pPr>
                  <w:r>
                    <w:rPr>
                      <w:rFonts w:hint="eastAsia"/>
                      <w:color w:val="auto"/>
                      <w:szCs w:val="21"/>
                    </w:rPr>
                    <w:t>10</w:t>
                  </w:r>
                </w:p>
              </w:tc>
              <w:tc>
                <w:tcPr>
                  <w:tcW w:w="616" w:type="pct"/>
                  <w:vAlign w:val="center"/>
                </w:tcPr>
                <w:p w14:paraId="7555C969">
                  <w:pPr>
                    <w:autoSpaceDE w:val="0"/>
                    <w:autoSpaceDN w:val="0"/>
                    <w:adjustRightInd w:val="0"/>
                    <w:snapToGrid w:val="0"/>
                    <w:spacing w:line="276" w:lineRule="auto"/>
                    <w:jc w:val="center"/>
                    <w:rPr>
                      <w:color w:val="auto"/>
                      <w:szCs w:val="21"/>
                    </w:rPr>
                  </w:pPr>
                  <w:r>
                    <w:rPr>
                      <w:rFonts w:hint="eastAsia"/>
                      <w:color w:val="auto"/>
                      <w:szCs w:val="21"/>
                    </w:rPr>
                    <w:t>10</w:t>
                  </w:r>
                </w:p>
              </w:tc>
              <w:tc>
                <w:tcPr>
                  <w:tcW w:w="618" w:type="pct"/>
                  <w:vAlign w:val="center"/>
                </w:tcPr>
                <w:p w14:paraId="35CFAE2E">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56AC9957">
                  <w:pPr>
                    <w:autoSpaceDE w:val="0"/>
                    <w:autoSpaceDN w:val="0"/>
                    <w:adjustRightInd w:val="0"/>
                    <w:snapToGrid w:val="0"/>
                    <w:spacing w:line="276" w:lineRule="auto"/>
                    <w:jc w:val="center"/>
                    <w:rPr>
                      <w:color w:val="auto"/>
                      <w:szCs w:val="21"/>
                    </w:rPr>
                  </w:pPr>
                  <w:r>
                    <w:rPr>
                      <w:rFonts w:hint="eastAsia"/>
                      <w:color w:val="auto"/>
                      <w:szCs w:val="21"/>
                    </w:rPr>
                    <w:t>依托现有</w:t>
                  </w:r>
                </w:p>
              </w:tc>
            </w:tr>
            <w:tr w14:paraId="44A7807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0F30F70D">
                  <w:pPr>
                    <w:autoSpaceDE w:val="0"/>
                    <w:autoSpaceDN w:val="0"/>
                    <w:adjustRightInd w:val="0"/>
                    <w:snapToGrid w:val="0"/>
                    <w:spacing w:line="276" w:lineRule="auto"/>
                    <w:jc w:val="center"/>
                    <w:rPr>
                      <w:color w:val="auto"/>
                      <w:szCs w:val="21"/>
                    </w:rPr>
                  </w:pPr>
                  <w:r>
                    <w:rPr>
                      <w:rFonts w:hint="eastAsia"/>
                      <w:color w:val="auto"/>
                      <w:szCs w:val="21"/>
                    </w:rPr>
                    <w:t>20</w:t>
                  </w:r>
                </w:p>
              </w:tc>
              <w:tc>
                <w:tcPr>
                  <w:tcW w:w="614" w:type="pct"/>
                  <w:vAlign w:val="center"/>
                </w:tcPr>
                <w:p w14:paraId="2527850C">
                  <w:pPr>
                    <w:autoSpaceDE w:val="0"/>
                    <w:autoSpaceDN w:val="0"/>
                    <w:adjustRightInd w:val="0"/>
                    <w:snapToGrid w:val="0"/>
                    <w:spacing w:line="276" w:lineRule="auto"/>
                    <w:jc w:val="center"/>
                    <w:rPr>
                      <w:color w:val="auto"/>
                      <w:szCs w:val="21"/>
                    </w:rPr>
                  </w:pPr>
                  <w:r>
                    <w:rPr>
                      <w:color w:val="auto"/>
                      <w:szCs w:val="21"/>
                    </w:rPr>
                    <w:t>检验包装</w:t>
                  </w:r>
                </w:p>
              </w:tc>
              <w:tc>
                <w:tcPr>
                  <w:tcW w:w="561" w:type="pct"/>
                  <w:vAlign w:val="center"/>
                </w:tcPr>
                <w:p w14:paraId="76C341B0">
                  <w:pPr>
                    <w:pStyle w:val="219"/>
                    <w:spacing w:line="276" w:lineRule="auto"/>
                    <w:jc w:val="center"/>
                    <w:rPr>
                      <w:rFonts w:cs="Times New Roman"/>
                      <w:color w:val="auto"/>
                      <w:sz w:val="21"/>
                      <w:szCs w:val="21"/>
                    </w:rPr>
                  </w:pPr>
                  <w:r>
                    <w:rPr>
                      <w:rFonts w:cs="Times New Roman"/>
                      <w:color w:val="auto"/>
                      <w:sz w:val="21"/>
                      <w:szCs w:val="21"/>
                    </w:rPr>
                    <w:t>包装机</w:t>
                  </w:r>
                </w:p>
              </w:tc>
              <w:tc>
                <w:tcPr>
                  <w:tcW w:w="982" w:type="pct"/>
                  <w:gridSpan w:val="2"/>
                  <w:vAlign w:val="center"/>
                </w:tcPr>
                <w:p w14:paraId="40C848CE">
                  <w:pPr>
                    <w:autoSpaceDE w:val="0"/>
                    <w:autoSpaceDN w:val="0"/>
                    <w:adjustRightInd w:val="0"/>
                    <w:snapToGrid w:val="0"/>
                    <w:spacing w:line="276" w:lineRule="auto"/>
                    <w:jc w:val="center"/>
                    <w:rPr>
                      <w:color w:val="auto"/>
                      <w:szCs w:val="21"/>
                    </w:rPr>
                  </w:pPr>
                  <w:r>
                    <w:rPr>
                      <w:color w:val="auto"/>
                      <w:szCs w:val="21"/>
                    </w:rPr>
                    <w:t>T1650F-L</w:t>
                  </w:r>
                </w:p>
              </w:tc>
              <w:tc>
                <w:tcPr>
                  <w:tcW w:w="619" w:type="pct"/>
                  <w:vAlign w:val="center"/>
                </w:tcPr>
                <w:p w14:paraId="1B8D4018">
                  <w:pPr>
                    <w:autoSpaceDE w:val="0"/>
                    <w:autoSpaceDN w:val="0"/>
                    <w:adjustRightInd w:val="0"/>
                    <w:snapToGrid w:val="0"/>
                    <w:spacing w:line="276" w:lineRule="auto"/>
                    <w:jc w:val="center"/>
                    <w:rPr>
                      <w:color w:val="auto"/>
                      <w:szCs w:val="21"/>
                    </w:rPr>
                  </w:pPr>
                  <w:r>
                    <w:rPr>
                      <w:rFonts w:hint="eastAsia"/>
                      <w:color w:val="auto"/>
                      <w:szCs w:val="21"/>
                    </w:rPr>
                    <w:t>8</w:t>
                  </w:r>
                </w:p>
              </w:tc>
              <w:tc>
                <w:tcPr>
                  <w:tcW w:w="616" w:type="pct"/>
                  <w:vAlign w:val="center"/>
                </w:tcPr>
                <w:p w14:paraId="48F57F5B">
                  <w:pPr>
                    <w:autoSpaceDE w:val="0"/>
                    <w:autoSpaceDN w:val="0"/>
                    <w:adjustRightInd w:val="0"/>
                    <w:snapToGrid w:val="0"/>
                    <w:spacing w:line="276" w:lineRule="auto"/>
                    <w:jc w:val="center"/>
                    <w:rPr>
                      <w:color w:val="auto"/>
                      <w:szCs w:val="21"/>
                    </w:rPr>
                  </w:pPr>
                  <w:r>
                    <w:rPr>
                      <w:rFonts w:hint="eastAsia"/>
                      <w:color w:val="auto"/>
                      <w:szCs w:val="21"/>
                    </w:rPr>
                    <w:t>8</w:t>
                  </w:r>
                </w:p>
              </w:tc>
              <w:tc>
                <w:tcPr>
                  <w:tcW w:w="618" w:type="pct"/>
                  <w:vAlign w:val="center"/>
                </w:tcPr>
                <w:p w14:paraId="0B74782C">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37303CB0">
                  <w:pPr>
                    <w:autoSpaceDE w:val="0"/>
                    <w:autoSpaceDN w:val="0"/>
                    <w:adjustRightInd w:val="0"/>
                    <w:snapToGrid w:val="0"/>
                    <w:spacing w:line="276" w:lineRule="auto"/>
                    <w:jc w:val="center"/>
                    <w:rPr>
                      <w:color w:val="auto"/>
                      <w:szCs w:val="21"/>
                    </w:rPr>
                  </w:pPr>
                  <w:r>
                    <w:rPr>
                      <w:rFonts w:hint="eastAsia"/>
                      <w:color w:val="auto"/>
                      <w:szCs w:val="21"/>
                    </w:rPr>
                    <w:t>依托现有</w:t>
                  </w:r>
                </w:p>
              </w:tc>
            </w:tr>
            <w:tr w14:paraId="1674DF5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2CD6B0D6">
                  <w:pPr>
                    <w:autoSpaceDE w:val="0"/>
                    <w:autoSpaceDN w:val="0"/>
                    <w:adjustRightInd w:val="0"/>
                    <w:snapToGrid w:val="0"/>
                    <w:spacing w:line="276" w:lineRule="auto"/>
                    <w:jc w:val="center"/>
                    <w:rPr>
                      <w:color w:val="auto"/>
                      <w:szCs w:val="21"/>
                    </w:rPr>
                  </w:pPr>
                  <w:r>
                    <w:rPr>
                      <w:rFonts w:hint="eastAsia"/>
                      <w:color w:val="auto"/>
                      <w:szCs w:val="21"/>
                    </w:rPr>
                    <w:t>21</w:t>
                  </w:r>
                </w:p>
              </w:tc>
              <w:tc>
                <w:tcPr>
                  <w:tcW w:w="614" w:type="pct"/>
                  <w:vAlign w:val="center"/>
                </w:tcPr>
                <w:p w14:paraId="00C8C78B">
                  <w:pPr>
                    <w:autoSpaceDE w:val="0"/>
                    <w:autoSpaceDN w:val="0"/>
                    <w:adjustRightInd w:val="0"/>
                    <w:snapToGrid w:val="0"/>
                    <w:spacing w:line="276" w:lineRule="auto"/>
                    <w:jc w:val="center"/>
                    <w:rPr>
                      <w:color w:val="auto"/>
                      <w:szCs w:val="21"/>
                    </w:rPr>
                  </w:pPr>
                  <w:r>
                    <w:rPr>
                      <w:rFonts w:hint="eastAsia"/>
                      <w:color w:val="auto"/>
                      <w:szCs w:val="21"/>
                    </w:rPr>
                    <w:t>/</w:t>
                  </w:r>
                </w:p>
              </w:tc>
              <w:tc>
                <w:tcPr>
                  <w:tcW w:w="561" w:type="pct"/>
                  <w:vAlign w:val="center"/>
                </w:tcPr>
                <w:p w14:paraId="6028D428">
                  <w:pPr>
                    <w:autoSpaceDE w:val="0"/>
                    <w:autoSpaceDN w:val="0"/>
                    <w:adjustRightInd w:val="0"/>
                    <w:snapToGrid w:val="0"/>
                    <w:spacing w:line="276" w:lineRule="auto"/>
                    <w:jc w:val="center"/>
                    <w:rPr>
                      <w:color w:val="auto"/>
                      <w:szCs w:val="21"/>
                    </w:rPr>
                  </w:pPr>
                  <w:r>
                    <w:rPr>
                      <w:color w:val="auto"/>
                      <w:szCs w:val="21"/>
                    </w:rPr>
                    <w:t>离心通风机</w:t>
                  </w:r>
                </w:p>
              </w:tc>
              <w:tc>
                <w:tcPr>
                  <w:tcW w:w="982" w:type="pct"/>
                  <w:gridSpan w:val="2"/>
                  <w:vAlign w:val="center"/>
                </w:tcPr>
                <w:p w14:paraId="4B8BFE0A">
                  <w:pPr>
                    <w:autoSpaceDE w:val="0"/>
                    <w:autoSpaceDN w:val="0"/>
                    <w:adjustRightInd w:val="0"/>
                    <w:snapToGrid w:val="0"/>
                    <w:spacing w:line="276" w:lineRule="auto"/>
                    <w:jc w:val="center"/>
                    <w:rPr>
                      <w:color w:val="auto"/>
                      <w:szCs w:val="21"/>
                    </w:rPr>
                  </w:pPr>
                  <w:r>
                    <w:rPr>
                      <w:rFonts w:hint="eastAsia"/>
                      <w:color w:val="auto"/>
                      <w:szCs w:val="21"/>
                    </w:rPr>
                    <w:t>/</w:t>
                  </w:r>
                </w:p>
              </w:tc>
              <w:tc>
                <w:tcPr>
                  <w:tcW w:w="619" w:type="pct"/>
                  <w:vAlign w:val="center"/>
                </w:tcPr>
                <w:p w14:paraId="059FFE13">
                  <w:pPr>
                    <w:autoSpaceDE w:val="0"/>
                    <w:autoSpaceDN w:val="0"/>
                    <w:adjustRightInd w:val="0"/>
                    <w:snapToGrid w:val="0"/>
                    <w:spacing w:line="276" w:lineRule="auto"/>
                    <w:jc w:val="center"/>
                    <w:rPr>
                      <w:color w:val="auto"/>
                      <w:szCs w:val="21"/>
                    </w:rPr>
                  </w:pPr>
                  <w:r>
                    <w:rPr>
                      <w:rFonts w:hint="eastAsia"/>
                      <w:color w:val="auto"/>
                      <w:szCs w:val="21"/>
                    </w:rPr>
                    <w:t>16</w:t>
                  </w:r>
                </w:p>
              </w:tc>
              <w:tc>
                <w:tcPr>
                  <w:tcW w:w="616" w:type="pct"/>
                  <w:vAlign w:val="center"/>
                </w:tcPr>
                <w:p w14:paraId="77317137">
                  <w:pPr>
                    <w:autoSpaceDE w:val="0"/>
                    <w:autoSpaceDN w:val="0"/>
                    <w:adjustRightInd w:val="0"/>
                    <w:snapToGrid w:val="0"/>
                    <w:spacing w:line="276" w:lineRule="auto"/>
                    <w:jc w:val="center"/>
                    <w:rPr>
                      <w:color w:val="auto"/>
                      <w:szCs w:val="21"/>
                    </w:rPr>
                  </w:pPr>
                  <w:r>
                    <w:rPr>
                      <w:rFonts w:hint="eastAsia"/>
                      <w:color w:val="auto"/>
                      <w:szCs w:val="21"/>
                    </w:rPr>
                    <w:t>16</w:t>
                  </w:r>
                </w:p>
              </w:tc>
              <w:tc>
                <w:tcPr>
                  <w:tcW w:w="618" w:type="pct"/>
                  <w:vAlign w:val="center"/>
                </w:tcPr>
                <w:p w14:paraId="1182F058">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07D39226">
                  <w:pPr>
                    <w:autoSpaceDE w:val="0"/>
                    <w:autoSpaceDN w:val="0"/>
                    <w:adjustRightInd w:val="0"/>
                    <w:snapToGrid w:val="0"/>
                    <w:spacing w:line="276" w:lineRule="auto"/>
                    <w:jc w:val="center"/>
                    <w:rPr>
                      <w:color w:val="auto"/>
                      <w:szCs w:val="21"/>
                    </w:rPr>
                  </w:pPr>
                  <w:r>
                    <w:rPr>
                      <w:rFonts w:hint="eastAsia"/>
                      <w:color w:val="auto"/>
                      <w:szCs w:val="21"/>
                    </w:rPr>
                    <w:t>依托现有</w:t>
                  </w:r>
                </w:p>
              </w:tc>
            </w:tr>
            <w:tr w14:paraId="1BA42F2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43D8293B">
                  <w:pPr>
                    <w:autoSpaceDE w:val="0"/>
                    <w:autoSpaceDN w:val="0"/>
                    <w:adjustRightInd w:val="0"/>
                    <w:snapToGrid w:val="0"/>
                    <w:spacing w:line="276" w:lineRule="auto"/>
                    <w:jc w:val="center"/>
                    <w:rPr>
                      <w:color w:val="auto"/>
                      <w:szCs w:val="21"/>
                    </w:rPr>
                  </w:pPr>
                  <w:r>
                    <w:rPr>
                      <w:rFonts w:hint="eastAsia"/>
                      <w:color w:val="auto"/>
                      <w:szCs w:val="21"/>
                    </w:rPr>
                    <w:t>22</w:t>
                  </w:r>
                </w:p>
              </w:tc>
              <w:tc>
                <w:tcPr>
                  <w:tcW w:w="614" w:type="pct"/>
                  <w:vAlign w:val="center"/>
                </w:tcPr>
                <w:p w14:paraId="3E139EAF">
                  <w:pPr>
                    <w:autoSpaceDE w:val="0"/>
                    <w:autoSpaceDN w:val="0"/>
                    <w:adjustRightInd w:val="0"/>
                    <w:snapToGrid w:val="0"/>
                    <w:spacing w:line="276" w:lineRule="auto"/>
                    <w:jc w:val="center"/>
                    <w:rPr>
                      <w:color w:val="auto"/>
                      <w:szCs w:val="21"/>
                    </w:rPr>
                  </w:pPr>
                  <w:r>
                    <w:rPr>
                      <w:rFonts w:hint="eastAsia"/>
                      <w:color w:val="auto"/>
                      <w:szCs w:val="21"/>
                    </w:rPr>
                    <w:t>/</w:t>
                  </w:r>
                </w:p>
              </w:tc>
              <w:tc>
                <w:tcPr>
                  <w:tcW w:w="561" w:type="pct"/>
                  <w:vAlign w:val="center"/>
                </w:tcPr>
                <w:p w14:paraId="7DA01B3B">
                  <w:pPr>
                    <w:autoSpaceDE w:val="0"/>
                    <w:autoSpaceDN w:val="0"/>
                    <w:adjustRightInd w:val="0"/>
                    <w:snapToGrid w:val="0"/>
                    <w:spacing w:line="276" w:lineRule="auto"/>
                    <w:jc w:val="center"/>
                    <w:rPr>
                      <w:color w:val="auto"/>
                      <w:szCs w:val="21"/>
                    </w:rPr>
                  </w:pPr>
                  <w:r>
                    <w:rPr>
                      <w:color w:val="auto"/>
                      <w:szCs w:val="21"/>
                    </w:rPr>
                    <w:t>风机</w:t>
                  </w:r>
                </w:p>
              </w:tc>
              <w:tc>
                <w:tcPr>
                  <w:tcW w:w="982" w:type="pct"/>
                  <w:gridSpan w:val="2"/>
                  <w:vAlign w:val="center"/>
                </w:tcPr>
                <w:p w14:paraId="71FCCCD4">
                  <w:pPr>
                    <w:autoSpaceDE w:val="0"/>
                    <w:autoSpaceDN w:val="0"/>
                    <w:adjustRightInd w:val="0"/>
                    <w:snapToGrid w:val="0"/>
                    <w:spacing w:line="276" w:lineRule="auto"/>
                    <w:jc w:val="center"/>
                    <w:rPr>
                      <w:color w:val="auto"/>
                      <w:szCs w:val="21"/>
                    </w:rPr>
                  </w:pPr>
                  <w:r>
                    <w:rPr>
                      <w:rFonts w:hint="eastAsia"/>
                      <w:color w:val="auto"/>
                      <w:szCs w:val="21"/>
                    </w:rPr>
                    <w:t>5.5kW</w:t>
                  </w:r>
                </w:p>
              </w:tc>
              <w:tc>
                <w:tcPr>
                  <w:tcW w:w="619" w:type="pct"/>
                  <w:vAlign w:val="center"/>
                </w:tcPr>
                <w:p w14:paraId="1450DCF8">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3063318D">
                  <w:pPr>
                    <w:autoSpaceDE w:val="0"/>
                    <w:autoSpaceDN w:val="0"/>
                    <w:adjustRightInd w:val="0"/>
                    <w:snapToGrid w:val="0"/>
                    <w:spacing w:line="276" w:lineRule="auto"/>
                    <w:jc w:val="center"/>
                    <w:rPr>
                      <w:color w:val="auto"/>
                      <w:szCs w:val="21"/>
                    </w:rPr>
                  </w:pPr>
                  <w:r>
                    <w:rPr>
                      <w:rFonts w:hint="eastAsia"/>
                      <w:color w:val="auto"/>
                      <w:szCs w:val="21"/>
                    </w:rPr>
                    <w:t>2</w:t>
                  </w:r>
                </w:p>
              </w:tc>
              <w:tc>
                <w:tcPr>
                  <w:tcW w:w="618" w:type="pct"/>
                  <w:vAlign w:val="center"/>
                </w:tcPr>
                <w:p w14:paraId="53EF9F00">
                  <w:pPr>
                    <w:autoSpaceDE w:val="0"/>
                    <w:autoSpaceDN w:val="0"/>
                    <w:adjustRightInd w:val="0"/>
                    <w:snapToGrid w:val="0"/>
                    <w:spacing w:line="276" w:lineRule="auto"/>
                    <w:jc w:val="center"/>
                    <w:rPr>
                      <w:color w:val="auto"/>
                      <w:szCs w:val="21"/>
                    </w:rPr>
                  </w:pPr>
                  <w:r>
                    <w:rPr>
                      <w:rFonts w:hint="eastAsia"/>
                      <w:color w:val="auto"/>
                      <w:szCs w:val="21"/>
                    </w:rPr>
                    <w:t>+2</w:t>
                  </w:r>
                </w:p>
              </w:tc>
              <w:tc>
                <w:tcPr>
                  <w:tcW w:w="616" w:type="pct"/>
                  <w:vAlign w:val="center"/>
                </w:tcPr>
                <w:p w14:paraId="46B0D281">
                  <w:pPr>
                    <w:autoSpaceDE w:val="0"/>
                    <w:autoSpaceDN w:val="0"/>
                    <w:adjustRightInd w:val="0"/>
                    <w:snapToGrid w:val="0"/>
                    <w:spacing w:line="276" w:lineRule="auto"/>
                    <w:jc w:val="center"/>
                    <w:rPr>
                      <w:color w:val="auto"/>
                      <w:szCs w:val="21"/>
                    </w:rPr>
                  </w:pPr>
                  <w:r>
                    <w:rPr>
                      <w:rFonts w:hint="eastAsia"/>
                      <w:color w:val="auto"/>
                      <w:szCs w:val="21"/>
                    </w:rPr>
                    <w:t>本次新增</w:t>
                  </w:r>
                </w:p>
              </w:tc>
            </w:tr>
            <w:tr w14:paraId="047E017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9"/>
                  <w:vAlign w:val="center"/>
                </w:tcPr>
                <w:p w14:paraId="1441DD08">
                  <w:pPr>
                    <w:autoSpaceDE w:val="0"/>
                    <w:autoSpaceDN w:val="0"/>
                    <w:adjustRightInd w:val="0"/>
                    <w:snapToGrid w:val="0"/>
                    <w:spacing w:line="276" w:lineRule="auto"/>
                    <w:jc w:val="center"/>
                    <w:rPr>
                      <w:b/>
                      <w:color w:val="auto"/>
                      <w:szCs w:val="21"/>
                    </w:rPr>
                  </w:pPr>
                  <w:r>
                    <w:rPr>
                      <w:b/>
                      <w:color w:val="auto"/>
                      <w:szCs w:val="21"/>
                    </w:rPr>
                    <w:t>玻璃制品深加工生产线</w:t>
                  </w:r>
                </w:p>
              </w:tc>
            </w:tr>
            <w:tr w14:paraId="4019F45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60532688">
                  <w:pPr>
                    <w:autoSpaceDE w:val="0"/>
                    <w:autoSpaceDN w:val="0"/>
                    <w:adjustRightInd w:val="0"/>
                    <w:snapToGrid w:val="0"/>
                    <w:spacing w:line="276" w:lineRule="auto"/>
                    <w:jc w:val="center"/>
                    <w:rPr>
                      <w:color w:val="auto"/>
                      <w:szCs w:val="21"/>
                    </w:rPr>
                  </w:pPr>
                  <w:r>
                    <w:rPr>
                      <w:rFonts w:hint="eastAsia"/>
                      <w:color w:val="auto"/>
                      <w:szCs w:val="21"/>
                    </w:rPr>
                    <w:t>23</w:t>
                  </w:r>
                </w:p>
              </w:tc>
              <w:tc>
                <w:tcPr>
                  <w:tcW w:w="614" w:type="pct"/>
                  <w:vAlign w:val="center"/>
                </w:tcPr>
                <w:p w14:paraId="237CBE99">
                  <w:pPr>
                    <w:autoSpaceDE w:val="0"/>
                    <w:autoSpaceDN w:val="0"/>
                    <w:adjustRightInd w:val="0"/>
                    <w:snapToGrid w:val="0"/>
                    <w:spacing w:line="276" w:lineRule="auto"/>
                    <w:jc w:val="center"/>
                    <w:rPr>
                      <w:color w:val="auto"/>
                      <w:szCs w:val="21"/>
                    </w:rPr>
                  </w:pPr>
                  <w:r>
                    <w:rPr>
                      <w:rFonts w:hint="eastAsia"/>
                      <w:color w:val="auto"/>
                      <w:szCs w:val="21"/>
                    </w:rPr>
                    <w:t>喷涂</w:t>
                  </w:r>
                </w:p>
              </w:tc>
              <w:tc>
                <w:tcPr>
                  <w:tcW w:w="771" w:type="pct"/>
                  <w:gridSpan w:val="2"/>
                  <w:vAlign w:val="center"/>
                </w:tcPr>
                <w:p w14:paraId="27368127">
                  <w:pPr>
                    <w:pStyle w:val="219"/>
                    <w:spacing w:line="276" w:lineRule="auto"/>
                    <w:jc w:val="center"/>
                    <w:rPr>
                      <w:rFonts w:cs="Times New Roman"/>
                      <w:color w:val="auto"/>
                      <w:sz w:val="21"/>
                      <w:szCs w:val="21"/>
                    </w:rPr>
                  </w:pPr>
                  <w:r>
                    <w:rPr>
                      <w:rFonts w:cs="Times New Roman"/>
                      <w:color w:val="auto"/>
                      <w:sz w:val="21"/>
                      <w:szCs w:val="21"/>
                    </w:rPr>
                    <w:t>喷涂烘道</w:t>
                  </w:r>
                </w:p>
              </w:tc>
              <w:tc>
                <w:tcPr>
                  <w:tcW w:w="772" w:type="pct"/>
                  <w:vAlign w:val="center"/>
                </w:tcPr>
                <w:p w14:paraId="16B2FB8B">
                  <w:pPr>
                    <w:autoSpaceDE w:val="0"/>
                    <w:autoSpaceDN w:val="0"/>
                    <w:adjustRightInd w:val="0"/>
                    <w:snapToGrid w:val="0"/>
                    <w:spacing w:line="276" w:lineRule="auto"/>
                    <w:jc w:val="center"/>
                    <w:rPr>
                      <w:color w:val="auto"/>
                      <w:szCs w:val="21"/>
                    </w:rPr>
                  </w:pPr>
                  <w:r>
                    <w:rPr>
                      <w:rFonts w:hint="eastAsia"/>
                      <w:color w:val="auto"/>
                      <w:szCs w:val="21"/>
                    </w:rPr>
                    <w:t>/</w:t>
                  </w:r>
                </w:p>
              </w:tc>
              <w:tc>
                <w:tcPr>
                  <w:tcW w:w="619" w:type="pct"/>
                  <w:vAlign w:val="center"/>
                </w:tcPr>
                <w:p w14:paraId="289742FD">
                  <w:pPr>
                    <w:autoSpaceDE w:val="0"/>
                    <w:autoSpaceDN w:val="0"/>
                    <w:adjustRightInd w:val="0"/>
                    <w:snapToGrid w:val="0"/>
                    <w:spacing w:line="276" w:lineRule="auto"/>
                    <w:jc w:val="center"/>
                    <w:rPr>
                      <w:color w:val="auto"/>
                      <w:szCs w:val="21"/>
                    </w:rPr>
                  </w:pPr>
                  <w:r>
                    <w:rPr>
                      <w:rFonts w:hint="eastAsia"/>
                      <w:color w:val="auto"/>
                      <w:szCs w:val="21"/>
                    </w:rPr>
                    <w:t>2</w:t>
                  </w:r>
                </w:p>
              </w:tc>
              <w:tc>
                <w:tcPr>
                  <w:tcW w:w="616" w:type="pct"/>
                  <w:vAlign w:val="center"/>
                </w:tcPr>
                <w:p w14:paraId="25BAC7CF">
                  <w:pPr>
                    <w:autoSpaceDE w:val="0"/>
                    <w:autoSpaceDN w:val="0"/>
                    <w:adjustRightInd w:val="0"/>
                    <w:snapToGrid w:val="0"/>
                    <w:spacing w:line="276" w:lineRule="auto"/>
                    <w:jc w:val="center"/>
                    <w:rPr>
                      <w:color w:val="auto"/>
                      <w:szCs w:val="21"/>
                    </w:rPr>
                  </w:pPr>
                  <w:r>
                    <w:rPr>
                      <w:rFonts w:hint="eastAsia"/>
                      <w:color w:val="auto"/>
                      <w:szCs w:val="21"/>
                    </w:rPr>
                    <w:t>2</w:t>
                  </w:r>
                </w:p>
              </w:tc>
              <w:tc>
                <w:tcPr>
                  <w:tcW w:w="618" w:type="pct"/>
                  <w:vAlign w:val="center"/>
                </w:tcPr>
                <w:p w14:paraId="03E7757A">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62B73D7B">
                  <w:pPr>
                    <w:autoSpaceDE w:val="0"/>
                    <w:autoSpaceDN w:val="0"/>
                    <w:adjustRightInd w:val="0"/>
                    <w:snapToGrid w:val="0"/>
                    <w:spacing w:line="276" w:lineRule="auto"/>
                    <w:jc w:val="center"/>
                    <w:rPr>
                      <w:color w:val="auto"/>
                      <w:szCs w:val="21"/>
                    </w:rPr>
                  </w:pPr>
                  <w:r>
                    <w:rPr>
                      <w:rFonts w:hint="eastAsia"/>
                      <w:color w:val="auto"/>
                      <w:szCs w:val="21"/>
                    </w:rPr>
                    <w:t>/</w:t>
                  </w:r>
                </w:p>
              </w:tc>
            </w:tr>
            <w:tr w14:paraId="2E9F4A9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5FBBFB6F">
                  <w:pPr>
                    <w:autoSpaceDE w:val="0"/>
                    <w:autoSpaceDN w:val="0"/>
                    <w:adjustRightInd w:val="0"/>
                    <w:snapToGrid w:val="0"/>
                    <w:spacing w:line="276" w:lineRule="auto"/>
                    <w:jc w:val="center"/>
                    <w:rPr>
                      <w:color w:val="auto"/>
                      <w:szCs w:val="21"/>
                    </w:rPr>
                  </w:pPr>
                  <w:r>
                    <w:rPr>
                      <w:rFonts w:hint="eastAsia"/>
                      <w:color w:val="auto"/>
                      <w:szCs w:val="21"/>
                    </w:rPr>
                    <w:t>24</w:t>
                  </w:r>
                </w:p>
              </w:tc>
              <w:tc>
                <w:tcPr>
                  <w:tcW w:w="614" w:type="pct"/>
                  <w:vAlign w:val="center"/>
                </w:tcPr>
                <w:p w14:paraId="796F8FBB">
                  <w:pPr>
                    <w:autoSpaceDE w:val="0"/>
                    <w:autoSpaceDN w:val="0"/>
                    <w:adjustRightInd w:val="0"/>
                    <w:snapToGrid w:val="0"/>
                    <w:spacing w:line="276" w:lineRule="auto"/>
                    <w:jc w:val="center"/>
                    <w:rPr>
                      <w:color w:val="auto"/>
                      <w:szCs w:val="21"/>
                    </w:rPr>
                  </w:pPr>
                  <w:r>
                    <w:rPr>
                      <w:rFonts w:hint="eastAsia"/>
                      <w:color w:val="auto"/>
                      <w:szCs w:val="21"/>
                    </w:rPr>
                    <w:t>印花</w:t>
                  </w:r>
                </w:p>
              </w:tc>
              <w:tc>
                <w:tcPr>
                  <w:tcW w:w="771" w:type="pct"/>
                  <w:gridSpan w:val="2"/>
                  <w:vAlign w:val="center"/>
                </w:tcPr>
                <w:p w14:paraId="37979B9F">
                  <w:pPr>
                    <w:pStyle w:val="219"/>
                    <w:spacing w:line="276" w:lineRule="auto"/>
                    <w:jc w:val="center"/>
                    <w:rPr>
                      <w:rFonts w:cs="Times New Roman"/>
                      <w:color w:val="auto"/>
                      <w:sz w:val="21"/>
                      <w:szCs w:val="21"/>
                    </w:rPr>
                  </w:pPr>
                  <w:r>
                    <w:rPr>
                      <w:rFonts w:cs="Times New Roman"/>
                      <w:color w:val="auto"/>
                      <w:sz w:val="21"/>
                      <w:szCs w:val="21"/>
                    </w:rPr>
                    <w:t>印花机</w:t>
                  </w:r>
                </w:p>
              </w:tc>
              <w:tc>
                <w:tcPr>
                  <w:tcW w:w="772" w:type="pct"/>
                  <w:vAlign w:val="center"/>
                </w:tcPr>
                <w:p w14:paraId="01B1BCE5">
                  <w:pPr>
                    <w:autoSpaceDE w:val="0"/>
                    <w:autoSpaceDN w:val="0"/>
                    <w:adjustRightInd w:val="0"/>
                    <w:snapToGrid w:val="0"/>
                    <w:spacing w:line="276" w:lineRule="auto"/>
                    <w:jc w:val="center"/>
                    <w:rPr>
                      <w:color w:val="auto"/>
                      <w:szCs w:val="21"/>
                    </w:rPr>
                  </w:pPr>
                  <w:r>
                    <w:rPr>
                      <w:rFonts w:hint="eastAsia"/>
                      <w:color w:val="auto"/>
                      <w:szCs w:val="21"/>
                    </w:rPr>
                    <w:t>/</w:t>
                  </w:r>
                </w:p>
              </w:tc>
              <w:tc>
                <w:tcPr>
                  <w:tcW w:w="619" w:type="pct"/>
                  <w:vAlign w:val="center"/>
                </w:tcPr>
                <w:p w14:paraId="568ABEE0">
                  <w:pPr>
                    <w:autoSpaceDE w:val="0"/>
                    <w:autoSpaceDN w:val="0"/>
                    <w:adjustRightInd w:val="0"/>
                    <w:snapToGrid w:val="0"/>
                    <w:spacing w:line="276" w:lineRule="auto"/>
                    <w:jc w:val="center"/>
                    <w:rPr>
                      <w:color w:val="auto"/>
                      <w:szCs w:val="21"/>
                    </w:rPr>
                  </w:pPr>
                  <w:r>
                    <w:rPr>
                      <w:rFonts w:hint="eastAsia"/>
                      <w:color w:val="auto"/>
                      <w:szCs w:val="21"/>
                    </w:rPr>
                    <w:t>2</w:t>
                  </w:r>
                </w:p>
              </w:tc>
              <w:tc>
                <w:tcPr>
                  <w:tcW w:w="616" w:type="pct"/>
                  <w:vAlign w:val="center"/>
                </w:tcPr>
                <w:p w14:paraId="530635F2">
                  <w:pPr>
                    <w:autoSpaceDE w:val="0"/>
                    <w:autoSpaceDN w:val="0"/>
                    <w:adjustRightInd w:val="0"/>
                    <w:snapToGrid w:val="0"/>
                    <w:spacing w:line="276" w:lineRule="auto"/>
                    <w:jc w:val="center"/>
                    <w:rPr>
                      <w:color w:val="auto"/>
                      <w:szCs w:val="21"/>
                    </w:rPr>
                  </w:pPr>
                  <w:r>
                    <w:rPr>
                      <w:rFonts w:hint="eastAsia"/>
                      <w:color w:val="auto"/>
                      <w:szCs w:val="21"/>
                    </w:rPr>
                    <w:t>2</w:t>
                  </w:r>
                </w:p>
              </w:tc>
              <w:tc>
                <w:tcPr>
                  <w:tcW w:w="618" w:type="pct"/>
                  <w:vAlign w:val="center"/>
                </w:tcPr>
                <w:p w14:paraId="113E35B2">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6299C60E">
                  <w:pPr>
                    <w:autoSpaceDE w:val="0"/>
                    <w:autoSpaceDN w:val="0"/>
                    <w:adjustRightInd w:val="0"/>
                    <w:snapToGrid w:val="0"/>
                    <w:spacing w:line="276" w:lineRule="auto"/>
                    <w:jc w:val="center"/>
                    <w:rPr>
                      <w:color w:val="auto"/>
                      <w:szCs w:val="21"/>
                    </w:rPr>
                  </w:pPr>
                  <w:r>
                    <w:rPr>
                      <w:rFonts w:hint="eastAsia"/>
                      <w:color w:val="auto"/>
                      <w:szCs w:val="21"/>
                    </w:rPr>
                    <w:t>/</w:t>
                  </w:r>
                </w:p>
              </w:tc>
            </w:tr>
            <w:tr w14:paraId="37C32C3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557E013C">
                  <w:pPr>
                    <w:autoSpaceDE w:val="0"/>
                    <w:autoSpaceDN w:val="0"/>
                    <w:adjustRightInd w:val="0"/>
                    <w:snapToGrid w:val="0"/>
                    <w:spacing w:line="276" w:lineRule="auto"/>
                    <w:jc w:val="center"/>
                    <w:rPr>
                      <w:color w:val="auto"/>
                      <w:szCs w:val="21"/>
                    </w:rPr>
                  </w:pPr>
                  <w:r>
                    <w:rPr>
                      <w:rFonts w:hint="eastAsia"/>
                      <w:color w:val="auto"/>
                      <w:szCs w:val="21"/>
                    </w:rPr>
                    <w:t>25</w:t>
                  </w:r>
                </w:p>
              </w:tc>
              <w:tc>
                <w:tcPr>
                  <w:tcW w:w="614" w:type="pct"/>
                  <w:vAlign w:val="center"/>
                </w:tcPr>
                <w:p w14:paraId="440085F1">
                  <w:pPr>
                    <w:autoSpaceDE w:val="0"/>
                    <w:autoSpaceDN w:val="0"/>
                    <w:adjustRightInd w:val="0"/>
                    <w:snapToGrid w:val="0"/>
                    <w:spacing w:line="276" w:lineRule="auto"/>
                    <w:jc w:val="center"/>
                    <w:rPr>
                      <w:color w:val="auto"/>
                      <w:szCs w:val="21"/>
                    </w:rPr>
                  </w:pPr>
                  <w:r>
                    <w:rPr>
                      <w:rFonts w:hint="eastAsia"/>
                      <w:color w:val="auto"/>
                      <w:szCs w:val="21"/>
                    </w:rPr>
                    <w:t>玻璃釉料融化</w:t>
                  </w:r>
                </w:p>
              </w:tc>
              <w:tc>
                <w:tcPr>
                  <w:tcW w:w="771" w:type="pct"/>
                  <w:gridSpan w:val="2"/>
                  <w:vAlign w:val="center"/>
                </w:tcPr>
                <w:p w14:paraId="4D39459C">
                  <w:pPr>
                    <w:pStyle w:val="219"/>
                    <w:spacing w:line="276" w:lineRule="auto"/>
                    <w:jc w:val="center"/>
                    <w:rPr>
                      <w:rFonts w:cs="Times New Roman"/>
                      <w:color w:val="auto"/>
                      <w:sz w:val="21"/>
                      <w:szCs w:val="21"/>
                    </w:rPr>
                  </w:pPr>
                  <w:r>
                    <w:rPr>
                      <w:rFonts w:cs="Times New Roman"/>
                      <w:color w:val="auto"/>
                      <w:sz w:val="21"/>
                      <w:szCs w:val="21"/>
                    </w:rPr>
                    <w:t>烘箱</w:t>
                  </w:r>
                </w:p>
              </w:tc>
              <w:tc>
                <w:tcPr>
                  <w:tcW w:w="772" w:type="pct"/>
                  <w:vAlign w:val="center"/>
                </w:tcPr>
                <w:p w14:paraId="1AB07F55">
                  <w:pPr>
                    <w:autoSpaceDE w:val="0"/>
                    <w:autoSpaceDN w:val="0"/>
                    <w:adjustRightInd w:val="0"/>
                    <w:snapToGrid w:val="0"/>
                    <w:spacing w:line="276" w:lineRule="auto"/>
                    <w:jc w:val="center"/>
                    <w:rPr>
                      <w:color w:val="auto"/>
                      <w:szCs w:val="21"/>
                    </w:rPr>
                  </w:pPr>
                  <w:r>
                    <w:rPr>
                      <w:rFonts w:hint="eastAsia"/>
                      <w:color w:val="auto"/>
                      <w:szCs w:val="21"/>
                    </w:rPr>
                    <w:t>/</w:t>
                  </w:r>
                </w:p>
              </w:tc>
              <w:tc>
                <w:tcPr>
                  <w:tcW w:w="619" w:type="pct"/>
                  <w:vAlign w:val="center"/>
                </w:tcPr>
                <w:p w14:paraId="34CC9E11">
                  <w:pPr>
                    <w:autoSpaceDE w:val="0"/>
                    <w:autoSpaceDN w:val="0"/>
                    <w:adjustRightInd w:val="0"/>
                    <w:snapToGrid w:val="0"/>
                    <w:spacing w:line="276" w:lineRule="auto"/>
                    <w:jc w:val="center"/>
                    <w:rPr>
                      <w:color w:val="auto"/>
                      <w:szCs w:val="21"/>
                    </w:rPr>
                  </w:pPr>
                  <w:r>
                    <w:rPr>
                      <w:rFonts w:hint="eastAsia"/>
                      <w:color w:val="auto"/>
                      <w:szCs w:val="21"/>
                    </w:rPr>
                    <w:t>1</w:t>
                  </w:r>
                </w:p>
              </w:tc>
              <w:tc>
                <w:tcPr>
                  <w:tcW w:w="616" w:type="pct"/>
                  <w:vAlign w:val="center"/>
                </w:tcPr>
                <w:p w14:paraId="7165ADB5">
                  <w:pPr>
                    <w:autoSpaceDE w:val="0"/>
                    <w:autoSpaceDN w:val="0"/>
                    <w:adjustRightInd w:val="0"/>
                    <w:snapToGrid w:val="0"/>
                    <w:spacing w:line="276" w:lineRule="auto"/>
                    <w:jc w:val="center"/>
                    <w:rPr>
                      <w:color w:val="auto"/>
                      <w:szCs w:val="21"/>
                    </w:rPr>
                  </w:pPr>
                  <w:r>
                    <w:rPr>
                      <w:rFonts w:hint="eastAsia"/>
                      <w:color w:val="auto"/>
                      <w:szCs w:val="21"/>
                    </w:rPr>
                    <w:t>1</w:t>
                  </w:r>
                </w:p>
              </w:tc>
              <w:tc>
                <w:tcPr>
                  <w:tcW w:w="618" w:type="pct"/>
                  <w:vAlign w:val="center"/>
                </w:tcPr>
                <w:p w14:paraId="69931095">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3009F82B">
                  <w:pPr>
                    <w:autoSpaceDE w:val="0"/>
                    <w:autoSpaceDN w:val="0"/>
                    <w:adjustRightInd w:val="0"/>
                    <w:snapToGrid w:val="0"/>
                    <w:spacing w:line="276" w:lineRule="auto"/>
                    <w:jc w:val="center"/>
                    <w:rPr>
                      <w:color w:val="auto"/>
                      <w:szCs w:val="21"/>
                    </w:rPr>
                  </w:pPr>
                  <w:r>
                    <w:rPr>
                      <w:rFonts w:hint="eastAsia"/>
                      <w:color w:val="auto"/>
                      <w:szCs w:val="21"/>
                    </w:rPr>
                    <w:t>/</w:t>
                  </w:r>
                </w:p>
              </w:tc>
            </w:tr>
            <w:tr w14:paraId="27F7058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74" w:type="pct"/>
                  <w:vAlign w:val="center"/>
                </w:tcPr>
                <w:p w14:paraId="72C90C24">
                  <w:pPr>
                    <w:autoSpaceDE w:val="0"/>
                    <w:autoSpaceDN w:val="0"/>
                    <w:adjustRightInd w:val="0"/>
                    <w:snapToGrid w:val="0"/>
                    <w:spacing w:line="276" w:lineRule="auto"/>
                    <w:jc w:val="center"/>
                    <w:rPr>
                      <w:color w:val="auto"/>
                      <w:szCs w:val="21"/>
                    </w:rPr>
                  </w:pPr>
                  <w:r>
                    <w:rPr>
                      <w:rFonts w:hint="eastAsia"/>
                      <w:color w:val="auto"/>
                      <w:szCs w:val="21"/>
                    </w:rPr>
                    <w:t>26</w:t>
                  </w:r>
                </w:p>
              </w:tc>
              <w:tc>
                <w:tcPr>
                  <w:tcW w:w="614" w:type="pct"/>
                  <w:vAlign w:val="center"/>
                </w:tcPr>
                <w:p w14:paraId="1347B3EA">
                  <w:pPr>
                    <w:autoSpaceDE w:val="0"/>
                    <w:autoSpaceDN w:val="0"/>
                    <w:adjustRightInd w:val="0"/>
                    <w:snapToGrid w:val="0"/>
                    <w:spacing w:line="276" w:lineRule="auto"/>
                    <w:jc w:val="center"/>
                    <w:rPr>
                      <w:color w:val="auto"/>
                      <w:szCs w:val="21"/>
                    </w:rPr>
                  </w:pPr>
                  <w:r>
                    <w:rPr>
                      <w:rFonts w:hint="eastAsia"/>
                      <w:color w:val="auto"/>
                      <w:szCs w:val="21"/>
                    </w:rPr>
                    <w:t>烘烤</w:t>
                  </w:r>
                </w:p>
              </w:tc>
              <w:tc>
                <w:tcPr>
                  <w:tcW w:w="771" w:type="pct"/>
                  <w:gridSpan w:val="2"/>
                  <w:vAlign w:val="center"/>
                </w:tcPr>
                <w:p w14:paraId="14174011">
                  <w:pPr>
                    <w:pStyle w:val="219"/>
                    <w:spacing w:line="276" w:lineRule="auto"/>
                    <w:jc w:val="center"/>
                    <w:rPr>
                      <w:rFonts w:cs="Times New Roman"/>
                      <w:color w:val="auto"/>
                      <w:sz w:val="21"/>
                      <w:szCs w:val="21"/>
                    </w:rPr>
                  </w:pPr>
                  <w:r>
                    <w:rPr>
                      <w:rFonts w:cs="Times New Roman"/>
                      <w:color w:val="auto"/>
                      <w:sz w:val="21"/>
                      <w:szCs w:val="21"/>
                    </w:rPr>
                    <w:t>烤花炉</w:t>
                  </w:r>
                </w:p>
              </w:tc>
              <w:tc>
                <w:tcPr>
                  <w:tcW w:w="772" w:type="pct"/>
                  <w:vAlign w:val="center"/>
                </w:tcPr>
                <w:p w14:paraId="21136627">
                  <w:pPr>
                    <w:autoSpaceDE w:val="0"/>
                    <w:autoSpaceDN w:val="0"/>
                    <w:adjustRightInd w:val="0"/>
                    <w:snapToGrid w:val="0"/>
                    <w:spacing w:line="276" w:lineRule="auto"/>
                    <w:jc w:val="center"/>
                    <w:rPr>
                      <w:color w:val="auto"/>
                      <w:szCs w:val="21"/>
                    </w:rPr>
                  </w:pPr>
                  <w:r>
                    <w:rPr>
                      <w:rFonts w:hint="eastAsia"/>
                      <w:color w:val="auto"/>
                      <w:szCs w:val="21"/>
                    </w:rPr>
                    <w:t>/</w:t>
                  </w:r>
                </w:p>
              </w:tc>
              <w:tc>
                <w:tcPr>
                  <w:tcW w:w="619" w:type="pct"/>
                  <w:vAlign w:val="center"/>
                </w:tcPr>
                <w:p w14:paraId="6C2003E9">
                  <w:pPr>
                    <w:autoSpaceDE w:val="0"/>
                    <w:autoSpaceDN w:val="0"/>
                    <w:adjustRightInd w:val="0"/>
                    <w:snapToGrid w:val="0"/>
                    <w:spacing w:line="276" w:lineRule="auto"/>
                    <w:jc w:val="center"/>
                    <w:rPr>
                      <w:color w:val="auto"/>
                      <w:szCs w:val="21"/>
                    </w:rPr>
                  </w:pPr>
                  <w:r>
                    <w:rPr>
                      <w:rFonts w:hint="eastAsia"/>
                      <w:color w:val="auto"/>
                      <w:szCs w:val="21"/>
                    </w:rPr>
                    <w:t>2</w:t>
                  </w:r>
                </w:p>
              </w:tc>
              <w:tc>
                <w:tcPr>
                  <w:tcW w:w="616" w:type="pct"/>
                  <w:vAlign w:val="center"/>
                </w:tcPr>
                <w:p w14:paraId="2B107133">
                  <w:pPr>
                    <w:autoSpaceDE w:val="0"/>
                    <w:autoSpaceDN w:val="0"/>
                    <w:adjustRightInd w:val="0"/>
                    <w:snapToGrid w:val="0"/>
                    <w:spacing w:line="276" w:lineRule="auto"/>
                    <w:jc w:val="center"/>
                    <w:rPr>
                      <w:color w:val="auto"/>
                      <w:szCs w:val="21"/>
                    </w:rPr>
                  </w:pPr>
                  <w:r>
                    <w:rPr>
                      <w:rFonts w:hint="eastAsia"/>
                      <w:color w:val="auto"/>
                      <w:szCs w:val="21"/>
                    </w:rPr>
                    <w:t>2</w:t>
                  </w:r>
                </w:p>
              </w:tc>
              <w:tc>
                <w:tcPr>
                  <w:tcW w:w="618" w:type="pct"/>
                  <w:vAlign w:val="center"/>
                </w:tcPr>
                <w:p w14:paraId="7D9DED3F">
                  <w:pPr>
                    <w:autoSpaceDE w:val="0"/>
                    <w:autoSpaceDN w:val="0"/>
                    <w:adjustRightInd w:val="0"/>
                    <w:snapToGrid w:val="0"/>
                    <w:spacing w:line="276" w:lineRule="auto"/>
                    <w:jc w:val="center"/>
                    <w:rPr>
                      <w:color w:val="auto"/>
                      <w:szCs w:val="21"/>
                    </w:rPr>
                  </w:pPr>
                  <w:r>
                    <w:rPr>
                      <w:rFonts w:hint="eastAsia"/>
                      <w:color w:val="auto"/>
                      <w:szCs w:val="21"/>
                    </w:rPr>
                    <w:t>0</w:t>
                  </w:r>
                </w:p>
              </w:tc>
              <w:tc>
                <w:tcPr>
                  <w:tcW w:w="616" w:type="pct"/>
                  <w:vAlign w:val="center"/>
                </w:tcPr>
                <w:p w14:paraId="37A907D0">
                  <w:pPr>
                    <w:autoSpaceDE w:val="0"/>
                    <w:autoSpaceDN w:val="0"/>
                    <w:adjustRightInd w:val="0"/>
                    <w:snapToGrid w:val="0"/>
                    <w:spacing w:line="276" w:lineRule="auto"/>
                    <w:jc w:val="center"/>
                    <w:rPr>
                      <w:color w:val="auto"/>
                      <w:szCs w:val="21"/>
                    </w:rPr>
                  </w:pPr>
                  <w:r>
                    <w:rPr>
                      <w:rFonts w:hint="eastAsia"/>
                      <w:color w:val="auto"/>
                      <w:szCs w:val="21"/>
                    </w:rPr>
                    <w:t>/</w:t>
                  </w:r>
                </w:p>
              </w:tc>
            </w:tr>
          </w:tbl>
          <w:p w14:paraId="5D54D27D">
            <w:pPr>
              <w:spacing w:line="360" w:lineRule="auto"/>
              <w:ind w:firstLine="482" w:firstLineChars="200"/>
              <w:rPr>
                <w:b/>
                <w:color w:val="auto"/>
                <w:sz w:val="24"/>
              </w:rPr>
            </w:pPr>
            <w:r>
              <w:rPr>
                <w:rFonts w:hint="eastAsia"/>
                <w:b/>
                <w:color w:val="auto"/>
                <w:sz w:val="24"/>
              </w:rPr>
              <w:t>6</w:t>
            </w:r>
            <w:r>
              <w:rPr>
                <w:b/>
                <w:color w:val="auto"/>
                <w:sz w:val="24"/>
              </w:rPr>
              <w:t>、</w:t>
            </w:r>
            <w:r>
              <w:rPr>
                <w:rFonts w:hint="eastAsia"/>
                <w:b/>
                <w:color w:val="auto"/>
                <w:sz w:val="24"/>
              </w:rPr>
              <w:t>主要原辅材料、能源消耗及原辅材料理化性质</w:t>
            </w:r>
          </w:p>
          <w:p w14:paraId="20DEAAA3">
            <w:pPr>
              <w:spacing w:line="360" w:lineRule="auto"/>
              <w:ind w:firstLine="480" w:firstLineChars="200"/>
              <w:rPr>
                <w:color w:val="auto"/>
                <w:sz w:val="24"/>
              </w:rPr>
            </w:pPr>
            <w:r>
              <w:rPr>
                <w:rFonts w:hint="eastAsia"/>
                <w:color w:val="auto"/>
                <w:sz w:val="24"/>
              </w:rPr>
              <w:t>（1）主要原辅材料及能源消耗</w:t>
            </w:r>
          </w:p>
          <w:p w14:paraId="7FA698C4">
            <w:pPr>
              <w:pStyle w:val="219"/>
              <w:jc w:val="center"/>
              <w:rPr>
                <w:rFonts w:eastAsia="黑体" w:cs="Times New Roman"/>
                <w:color w:val="auto"/>
              </w:rPr>
            </w:pPr>
            <w:r>
              <w:rPr>
                <w:rFonts w:hAnsi="黑体" w:eastAsia="黑体" w:cs="Times New Roman"/>
                <w:color w:val="auto"/>
              </w:rPr>
              <w:t>表</w:t>
            </w:r>
            <w:r>
              <w:rPr>
                <w:rFonts w:hint="eastAsia" w:eastAsia="黑体" w:cs="Times New Roman"/>
                <w:color w:val="auto"/>
              </w:rPr>
              <w:t>15</w:t>
            </w:r>
            <w:r>
              <w:rPr>
                <w:rFonts w:eastAsia="黑体" w:cs="Times New Roman"/>
                <w:color w:val="auto"/>
              </w:rPr>
              <w:t xml:space="preserve">  </w:t>
            </w:r>
            <w:r>
              <w:rPr>
                <w:rFonts w:hAnsi="黑体" w:eastAsia="黑体" w:cs="Times New Roman"/>
                <w:color w:val="auto"/>
              </w:rPr>
              <w:t>主要原辅材料及能源消耗一览表</w:t>
            </w:r>
          </w:p>
          <w:tbl>
            <w:tblPr>
              <w:tblStyle w:val="35"/>
              <w:tblW w:w="8162"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47"/>
              <w:gridCol w:w="708"/>
              <w:gridCol w:w="709"/>
              <w:gridCol w:w="851"/>
              <w:gridCol w:w="992"/>
              <w:gridCol w:w="850"/>
              <w:gridCol w:w="851"/>
              <w:gridCol w:w="709"/>
              <w:gridCol w:w="708"/>
              <w:gridCol w:w="631"/>
              <w:gridCol w:w="606"/>
            </w:tblGrid>
            <w:tr w14:paraId="66450D2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14:paraId="01FC3F01">
                  <w:pPr>
                    <w:autoSpaceDE w:val="0"/>
                    <w:autoSpaceDN w:val="0"/>
                    <w:adjustRightInd w:val="0"/>
                    <w:snapToGrid w:val="0"/>
                    <w:spacing w:line="276" w:lineRule="auto"/>
                    <w:jc w:val="center"/>
                    <w:rPr>
                      <w:b/>
                      <w:color w:val="auto"/>
                      <w:szCs w:val="21"/>
                    </w:rPr>
                  </w:pPr>
                  <w:r>
                    <w:rPr>
                      <w:b/>
                      <w:color w:val="auto"/>
                      <w:szCs w:val="21"/>
                    </w:rPr>
                    <w:t>序号</w:t>
                  </w:r>
                </w:p>
              </w:tc>
              <w:tc>
                <w:tcPr>
                  <w:tcW w:w="708" w:type="dxa"/>
                  <w:vAlign w:val="center"/>
                </w:tcPr>
                <w:p w14:paraId="14513DA1">
                  <w:pPr>
                    <w:autoSpaceDE w:val="0"/>
                    <w:autoSpaceDN w:val="0"/>
                    <w:adjustRightInd w:val="0"/>
                    <w:snapToGrid w:val="0"/>
                    <w:spacing w:line="276" w:lineRule="auto"/>
                    <w:jc w:val="center"/>
                    <w:rPr>
                      <w:b/>
                      <w:color w:val="auto"/>
                      <w:szCs w:val="21"/>
                    </w:rPr>
                  </w:pPr>
                  <w:r>
                    <w:rPr>
                      <w:b/>
                      <w:color w:val="auto"/>
                      <w:szCs w:val="21"/>
                    </w:rPr>
                    <w:t>名称</w:t>
                  </w:r>
                </w:p>
              </w:tc>
              <w:tc>
                <w:tcPr>
                  <w:tcW w:w="709" w:type="dxa"/>
                  <w:vAlign w:val="center"/>
                </w:tcPr>
                <w:p w14:paraId="586884BF">
                  <w:pPr>
                    <w:autoSpaceDE w:val="0"/>
                    <w:autoSpaceDN w:val="0"/>
                    <w:adjustRightInd w:val="0"/>
                    <w:snapToGrid w:val="0"/>
                    <w:spacing w:line="276" w:lineRule="auto"/>
                    <w:jc w:val="center"/>
                    <w:rPr>
                      <w:b/>
                      <w:color w:val="auto"/>
                      <w:szCs w:val="21"/>
                    </w:rPr>
                  </w:pPr>
                  <w:r>
                    <w:rPr>
                      <w:b/>
                      <w:color w:val="auto"/>
                      <w:szCs w:val="21"/>
                    </w:rPr>
                    <w:t>性状</w:t>
                  </w:r>
                </w:p>
              </w:tc>
              <w:tc>
                <w:tcPr>
                  <w:tcW w:w="851" w:type="dxa"/>
                  <w:vAlign w:val="center"/>
                </w:tcPr>
                <w:p w14:paraId="4BAC9C73">
                  <w:pPr>
                    <w:autoSpaceDE w:val="0"/>
                    <w:autoSpaceDN w:val="0"/>
                    <w:adjustRightInd w:val="0"/>
                    <w:snapToGrid w:val="0"/>
                    <w:spacing w:line="276" w:lineRule="auto"/>
                    <w:jc w:val="center"/>
                    <w:rPr>
                      <w:b/>
                      <w:color w:val="auto"/>
                      <w:szCs w:val="21"/>
                    </w:rPr>
                  </w:pPr>
                  <w:r>
                    <w:rPr>
                      <w:b/>
                      <w:color w:val="auto"/>
                      <w:szCs w:val="21"/>
                    </w:rPr>
                    <w:t>规格、包装方式</w:t>
                  </w:r>
                </w:p>
              </w:tc>
              <w:tc>
                <w:tcPr>
                  <w:tcW w:w="992" w:type="dxa"/>
                  <w:vAlign w:val="center"/>
                </w:tcPr>
                <w:p w14:paraId="137F6410">
                  <w:pPr>
                    <w:autoSpaceDE w:val="0"/>
                    <w:autoSpaceDN w:val="0"/>
                    <w:adjustRightInd w:val="0"/>
                    <w:snapToGrid w:val="0"/>
                    <w:spacing w:line="276" w:lineRule="auto"/>
                    <w:jc w:val="center"/>
                    <w:rPr>
                      <w:b/>
                      <w:color w:val="auto"/>
                      <w:szCs w:val="21"/>
                    </w:rPr>
                  </w:pPr>
                  <w:r>
                    <w:rPr>
                      <w:b/>
                      <w:color w:val="auto"/>
                      <w:szCs w:val="21"/>
                    </w:rPr>
                    <w:t>改建前年消耗量（t/a）</w:t>
                  </w:r>
                </w:p>
              </w:tc>
              <w:tc>
                <w:tcPr>
                  <w:tcW w:w="850" w:type="dxa"/>
                  <w:vAlign w:val="center"/>
                </w:tcPr>
                <w:p w14:paraId="38D06D38">
                  <w:pPr>
                    <w:autoSpaceDE w:val="0"/>
                    <w:autoSpaceDN w:val="0"/>
                    <w:adjustRightInd w:val="0"/>
                    <w:snapToGrid w:val="0"/>
                    <w:spacing w:line="276" w:lineRule="auto"/>
                    <w:jc w:val="center"/>
                    <w:rPr>
                      <w:b/>
                      <w:color w:val="auto"/>
                      <w:szCs w:val="21"/>
                    </w:rPr>
                  </w:pPr>
                  <w:r>
                    <w:rPr>
                      <w:b/>
                      <w:color w:val="auto"/>
                      <w:szCs w:val="21"/>
                    </w:rPr>
                    <w:t>改建后年消耗量（t/a）</w:t>
                  </w:r>
                </w:p>
              </w:tc>
              <w:tc>
                <w:tcPr>
                  <w:tcW w:w="851" w:type="dxa"/>
                  <w:vAlign w:val="center"/>
                </w:tcPr>
                <w:p w14:paraId="3A3F326C">
                  <w:pPr>
                    <w:autoSpaceDE w:val="0"/>
                    <w:autoSpaceDN w:val="0"/>
                    <w:adjustRightInd w:val="0"/>
                    <w:snapToGrid w:val="0"/>
                    <w:spacing w:line="276" w:lineRule="auto"/>
                    <w:jc w:val="center"/>
                    <w:rPr>
                      <w:b/>
                      <w:color w:val="auto"/>
                      <w:szCs w:val="21"/>
                    </w:rPr>
                  </w:pPr>
                  <w:r>
                    <w:rPr>
                      <w:b/>
                      <w:color w:val="auto"/>
                      <w:szCs w:val="21"/>
                    </w:rPr>
                    <w:t>增减量（t/a）</w:t>
                  </w:r>
                </w:p>
              </w:tc>
              <w:tc>
                <w:tcPr>
                  <w:tcW w:w="709" w:type="dxa"/>
                  <w:vAlign w:val="center"/>
                </w:tcPr>
                <w:p w14:paraId="48A5567C">
                  <w:pPr>
                    <w:autoSpaceDE w:val="0"/>
                    <w:autoSpaceDN w:val="0"/>
                    <w:adjustRightInd w:val="0"/>
                    <w:snapToGrid w:val="0"/>
                    <w:spacing w:line="276" w:lineRule="auto"/>
                    <w:jc w:val="center"/>
                    <w:rPr>
                      <w:b/>
                      <w:color w:val="auto"/>
                      <w:szCs w:val="21"/>
                    </w:rPr>
                  </w:pPr>
                  <w:r>
                    <w:rPr>
                      <w:b/>
                      <w:color w:val="auto"/>
                      <w:szCs w:val="21"/>
                    </w:rPr>
                    <w:t>最大储存量（t）</w:t>
                  </w:r>
                </w:p>
              </w:tc>
              <w:tc>
                <w:tcPr>
                  <w:tcW w:w="708" w:type="dxa"/>
                  <w:vAlign w:val="center"/>
                </w:tcPr>
                <w:p w14:paraId="28BC3E6D">
                  <w:pPr>
                    <w:autoSpaceDE w:val="0"/>
                    <w:autoSpaceDN w:val="0"/>
                    <w:adjustRightInd w:val="0"/>
                    <w:snapToGrid w:val="0"/>
                    <w:spacing w:line="276" w:lineRule="auto"/>
                    <w:jc w:val="center"/>
                    <w:rPr>
                      <w:b/>
                      <w:color w:val="auto"/>
                      <w:szCs w:val="21"/>
                    </w:rPr>
                  </w:pPr>
                  <w:r>
                    <w:rPr>
                      <w:b/>
                      <w:color w:val="auto"/>
                      <w:szCs w:val="21"/>
                    </w:rPr>
                    <w:t>转运周期</w:t>
                  </w:r>
                </w:p>
              </w:tc>
              <w:tc>
                <w:tcPr>
                  <w:tcW w:w="631" w:type="dxa"/>
                  <w:vAlign w:val="center"/>
                </w:tcPr>
                <w:p w14:paraId="3259FB53">
                  <w:pPr>
                    <w:autoSpaceDE w:val="0"/>
                    <w:autoSpaceDN w:val="0"/>
                    <w:adjustRightInd w:val="0"/>
                    <w:snapToGrid w:val="0"/>
                    <w:spacing w:line="276" w:lineRule="auto"/>
                    <w:jc w:val="center"/>
                    <w:rPr>
                      <w:b/>
                      <w:color w:val="auto"/>
                      <w:szCs w:val="21"/>
                    </w:rPr>
                  </w:pPr>
                  <w:r>
                    <w:rPr>
                      <w:b/>
                      <w:color w:val="auto"/>
                      <w:szCs w:val="21"/>
                    </w:rPr>
                    <w:t>储存位置</w:t>
                  </w:r>
                </w:p>
              </w:tc>
              <w:tc>
                <w:tcPr>
                  <w:tcW w:w="606" w:type="dxa"/>
                  <w:vAlign w:val="center"/>
                </w:tcPr>
                <w:p w14:paraId="7E59085B">
                  <w:pPr>
                    <w:autoSpaceDE w:val="0"/>
                    <w:autoSpaceDN w:val="0"/>
                    <w:adjustRightInd w:val="0"/>
                    <w:snapToGrid w:val="0"/>
                    <w:spacing w:line="276" w:lineRule="auto"/>
                    <w:jc w:val="center"/>
                    <w:rPr>
                      <w:b/>
                      <w:color w:val="auto"/>
                      <w:szCs w:val="21"/>
                    </w:rPr>
                  </w:pPr>
                  <w:r>
                    <w:rPr>
                      <w:b/>
                      <w:color w:val="auto"/>
                      <w:szCs w:val="21"/>
                    </w:rPr>
                    <w:t>备注</w:t>
                  </w:r>
                </w:p>
              </w:tc>
            </w:tr>
            <w:tr w14:paraId="63B0682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162" w:type="dxa"/>
                  <w:gridSpan w:val="11"/>
                  <w:vAlign w:val="center"/>
                </w:tcPr>
                <w:p w14:paraId="2A4970A7">
                  <w:pPr>
                    <w:autoSpaceDE w:val="0"/>
                    <w:autoSpaceDN w:val="0"/>
                    <w:adjustRightInd w:val="0"/>
                    <w:snapToGrid w:val="0"/>
                    <w:spacing w:line="276" w:lineRule="auto"/>
                    <w:jc w:val="center"/>
                    <w:rPr>
                      <w:b/>
                      <w:color w:val="auto"/>
                      <w:szCs w:val="21"/>
                    </w:rPr>
                  </w:pPr>
                  <w:r>
                    <w:rPr>
                      <w:b/>
                      <w:color w:val="auto"/>
                      <w:szCs w:val="21"/>
                    </w:rPr>
                    <w:t>玻璃生产原辅材料消耗</w:t>
                  </w:r>
                </w:p>
              </w:tc>
            </w:tr>
            <w:tr w14:paraId="572170E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14:paraId="42E42367">
                  <w:pPr>
                    <w:autoSpaceDE w:val="0"/>
                    <w:autoSpaceDN w:val="0"/>
                    <w:adjustRightInd w:val="0"/>
                    <w:snapToGrid w:val="0"/>
                    <w:spacing w:line="276" w:lineRule="auto"/>
                    <w:jc w:val="center"/>
                    <w:rPr>
                      <w:color w:val="auto"/>
                      <w:szCs w:val="21"/>
                    </w:rPr>
                  </w:pPr>
                  <w:r>
                    <w:rPr>
                      <w:rFonts w:hint="eastAsia"/>
                      <w:color w:val="auto"/>
                      <w:szCs w:val="21"/>
                    </w:rPr>
                    <w:t>1</w:t>
                  </w:r>
                </w:p>
              </w:tc>
              <w:tc>
                <w:tcPr>
                  <w:tcW w:w="708" w:type="dxa"/>
                  <w:vAlign w:val="center"/>
                </w:tcPr>
                <w:p w14:paraId="4EC1FCF2">
                  <w:pPr>
                    <w:autoSpaceDE w:val="0"/>
                    <w:autoSpaceDN w:val="0"/>
                    <w:adjustRightInd w:val="0"/>
                    <w:snapToGrid w:val="0"/>
                    <w:spacing w:line="276" w:lineRule="auto"/>
                    <w:jc w:val="center"/>
                    <w:rPr>
                      <w:color w:val="auto"/>
                      <w:szCs w:val="21"/>
                    </w:rPr>
                  </w:pPr>
                  <w:r>
                    <w:rPr>
                      <w:color w:val="auto"/>
                      <w:szCs w:val="21"/>
                    </w:rPr>
                    <w:t>石英砂</w:t>
                  </w:r>
                </w:p>
              </w:tc>
              <w:tc>
                <w:tcPr>
                  <w:tcW w:w="709" w:type="dxa"/>
                  <w:vAlign w:val="center"/>
                </w:tcPr>
                <w:p w14:paraId="5E22AC62">
                  <w:pPr>
                    <w:autoSpaceDE w:val="0"/>
                    <w:autoSpaceDN w:val="0"/>
                    <w:adjustRightInd w:val="0"/>
                    <w:snapToGrid w:val="0"/>
                    <w:spacing w:line="276" w:lineRule="auto"/>
                    <w:jc w:val="center"/>
                    <w:rPr>
                      <w:color w:val="auto"/>
                      <w:szCs w:val="21"/>
                    </w:rPr>
                  </w:pPr>
                  <w:r>
                    <w:rPr>
                      <w:color w:val="auto"/>
                      <w:szCs w:val="21"/>
                    </w:rPr>
                    <w:t>固态</w:t>
                  </w:r>
                </w:p>
              </w:tc>
              <w:tc>
                <w:tcPr>
                  <w:tcW w:w="851" w:type="dxa"/>
                  <w:vAlign w:val="center"/>
                </w:tcPr>
                <w:p w14:paraId="7897CE28">
                  <w:pPr>
                    <w:autoSpaceDE w:val="0"/>
                    <w:autoSpaceDN w:val="0"/>
                    <w:adjustRightInd w:val="0"/>
                    <w:snapToGrid w:val="0"/>
                    <w:spacing w:line="276" w:lineRule="auto"/>
                    <w:jc w:val="center"/>
                    <w:rPr>
                      <w:color w:val="auto"/>
                      <w:szCs w:val="21"/>
                    </w:rPr>
                  </w:pPr>
                  <w:r>
                    <w:rPr>
                      <w:color w:val="auto"/>
                      <w:szCs w:val="21"/>
                    </w:rPr>
                    <w:t>吨袋</w:t>
                  </w:r>
                </w:p>
              </w:tc>
              <w:tc>
                <w:tcPr>
                  <w:tcW w:w="992" w:type="dxa"/>
                  <w:vAlign w:val="center"/>
                </w:tcPr>
                <w:p w14:paraId="670187B8">
                  <w:pPr>
                    <w:autoSpaceDE w:val="0"/>
                    <w:autoSpaceDN w:val="0"/>
                    <w:adjustRightInd w:val="0"/>
                    <w:snapToGrid w:val="0"/>
                    <w:spacing w:line="276" w:lineRule="auto"/>
                    <w:jc w:val="center"/>
                    <w:rPr>
                      <w:color w:val="auto"/>
                      <w:szCs w:val="21"/>
                    </w:rPr>
                  </w:pPr>
                  <w:r>
                    <w:rPr>
                      <w:rFonts w:hint="eastAsia"/>
                      <w:color w:val="auto"/>
                      <w:szCs w:val="21"/>
                    </w:rPr>
                    <w:t>140854</w:t>
                  </w:r>
                </w:p>
              </w:tc>
              <w:tc>
                <w:tcPr>
                  <w:tcW w:w="850" w:type="dxa"/>
                  <w:vAlign w:val="center"/>
                </w:tcPr>
                <w:p w14:paraId="6CDCE1FB">
                  <w:pPr>
                    <w:autoSpaceDE w:val="0"/>
                    <w:autoSpaceDN w:val="0"/>
                    <w:adjustRightInd w:val="0"/>
                    <w:snapToGrid w:val="0"/>
                    <w:spacing w:line="276" w:lineRule="auto"/>
                    <w:jc w:val="center"/>
                    <w:rPr>
                      <w:color w:val="auto"/>
                      <w:szCs w:val="21"/>
                    </w:rPr>
                  </w:pPr>
                  <w:r>
                    <w:rPr>
                      <w:rFonts w:hint="eastAsia"/>
                      <w:color w:val="auto"/>
                      <w:szCs w:val="21"/>
                    </w:rPr>
                    <w:t>140854</w:t>
                  </w:r>
                </w:p>
              </w:tc>
              <w:tc>
                <w:tcPr>
                  <w:tcW w:w="851" w:type="dxa"/>
                  <w:vAlign w:val="center"/>
                </w:tcPr>
                <w:p w14:paraId="26F223BA">
                  <w:pPr>
                    <w:autoSpaceDE w:val="0"/>
                    <w:autoSpaceDN w:val="0"/>
                    <w:adjustRightInd w:val="0"/>
                    <w:snapToGrid w:val="0"/>
                    <w:spacing w:line="276" w:lineRule="auto"/>
                    <w:jc w:val="center"/>
                    <w:rPr>
                      <w:color w:val="auto"/>
                      <w:szCs w:val="21"/>
                    </w:rPr>
                  </w:pPr>
                  <w:r>
                    <w:rPr>
                      <w:rFonts w:hint="eastAsia"/>
                      <w:color w:val="auto"/>
                      <w:szCs w:val="21"/>
                    </w:rPr>
                    <w:t>0</w:t>
                  </w:r>
                </w:p>
              </w:tc>
              <w:tc>
                <w:tcPr>
                  <w:tcW w:w="709" w:type="dxa"/>
                  <w:vAlign w:val="center"/>
                </w:tcPr>
                <w:p w14:paraId="75A47962">
                  <w:pPr>
                    <w:autoSpaceDE w:val="0"/>
                    <w:autoSpaceDN w:val="0"/>
                    <w:adjustRightInd w:val="0"/>
                    <w:snapToGrid w:val="0"/>
                    <w:spacing w:line="276" w:lineRule="auto"/>
                    <w:jc w:val="center"/>
                    <w:rPr>
                      <w:color w:val="auto"/>
                      <w:szCs w:val="21"/>
                    </w:rPr>
                  </w:pPr>
                  <w:r>
                    <w:rPr>
                      <w:rFonts w:hint="eastAsia"/>
                      <w:color w:val="auto"/>
                      <w:szCs w:val="21"/>
                    </w:rPr>
                    <w:t>4000</w:t>
                  </w:r>
                </w:p>
              </w:tc>
              <w:tc>
                <w:tcPr>
                  <w:tcW w:w="708" w:type="dxa"/>
                  <w:vAlign w:val="center"/>
                </w:tcPr>
                <w:p w14:paraId="2112A231">
                  <w:pPr>
                    <w:autoSpaceDE w:val="0"/>
                    <w:autoSpaceDN w:val="0"/>
                    <w:adjustRightInd w:val="0"/>
                    <w:snapToGrid w:val="0"/>
                    <w:spacing w:line="276" w:lineRule="auto"/>
                    <w:jc w:val="center"/>
                    <w:rPr>
                      <w:color w:val="auto"/>
                      <w:szCs w:val="21"/>
                    </w:rPr>
                  </w:pPr>
                  <w:r>
                    <w:rPr>
                      <w:rFonts w:hint="eastAsia"/>
                      <w:color w:val="auto"/>
                      <w:szCs w:val="21"/>
                    </w:rPr>
                    <w:t>10d</w:t>
                  </w:r>
                </w:p>
              </w:tc>
              <w:tc>
                <w:tcPr>
                  <w:tcW w:w="631" w:type="dxa"/>
                  <w:vAlign w:val="center"/>
                </w:tcPr>
                <w:p w14:paraId="2BB0265A">
                  <w:pPr>
                    <w:autoSpaceDE w:val="0"/>
                    <w:autoSpaceDN w:val="0"/>
                    <w:adjustRightInd w:val="0"/>
                    <w:snapToGrid w:val="0"/>
                    <w:spacing w:line="276" w:lineRule="auto"/>
                    <w:jc w:val="center"/>
                    <w:rPr>
                      <w:color w:val="auto"/>
                      <w:szCs w:val="21"/>
                    </w:rPr>
                  </w:pPr>
                  <w:r>
                    <w:rPr>
                      <w:color w:val="auto"/>
                      <w:szCs w:val="21"/>
                    </w:rPr>
                    <w:t>配料中心</w:t>
                  </w:r>
                </w:p>
              </w:tc>
              <w:tc>
                <w:tcPr>
                  <w:tcW w:w="606" w:type="dxa"/>
                  <w:vAlign w:val="center"/>
                </w:tcPr>
                <w:p w14:paraId="0B725D41">
                  <w:pPr>
                    <w:autoSpaceDE w:val="0"/>
                    <w:autoSpaceDN w:val="0"/>
                    <w:adjustRightInd w:val="0"/>
                    <w:snapToGrid w:val="0"/>
                    <w:spacing w:line="276" w:lineRule="auto"/>
                    <w:jc w:val="center"/>
                    <w:rPr>
                      <w:color w:val="auto"/>
                      <w:szCs w:val="21"/>
                    </w:rPr>
                  </w:pPr>
                  <w:r>
                    <w:rPr>
                      <w:color w:val="auto"/>
                      <w:szCs w:val="21"/>
                    </w:rPr>
                    <w:t>外购</w:t>
                  </w:r>
                </w:p>
              </w:tc>
            </w:tr>
            <w:tr w14:paraId="66050AE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14:paraId="17EBAC50">
                  <w:pPr>
                    <w:autoSpaceDE w:val="0"/>
                    <w:autoSpaceDN w:val="0"/>
                    <w:adjustRightInd w:val="0"/>
                    <w:snapToGrid w:val="0"/>
                    <w:spacing w:line="276" w:lineRule="auto"/>
                    <w:jc w:val="center"/>
                    <w:rPr>
                      <w:color w:val="auto"/>
                      <w:szCs w:val="21"/>
                    </w:rPr>
                  </w:pPr>
                  <w:r>
                    <w:rPr>
                      <w:rFonts w:hint="eastAsia"/>
                      <w:color w:val="auto"/>
                      <w:szCs w:val="21"/>
                    </w:rPr>
                    <w:t>2</w:t>
                  </w:r>
                </w:p>
              </w:tc>
              <w:tc>
                <w:tcPr>
                  <w:tcW w:w="708" w:type="dxa"/>
                  <w:vAlign w:val="center"/>
                </w:tcPr>
                <w:p w14:paraId="2892B6EE">
                  <w:pPr>
                    <w:autoSpaceDE w:val="0"/>
                    <w:autoSpaceDN w:val="0"/>
                    <w:adjustRightInd w:val="0"/>
                    <w:snapToGrid w:val="0"/>
                    <w:spacing w:line="276" w:lineRule="auto"/>
                    <w:jc w:val="center"/>
                    <w:rPr>
                      <w:color w:val="auto"/>
                      <w:szCs w:val="21"/>
                    </w:rPr>
                  </w:pPr>
                  <w:r>
                    <w:rPr>
                      <w:color w:val="auto"/>
                      <w:szCs w:val="21"/>
                    </w:rPr>
                    <w:t>纯碱</w:t>
                  </w:r>
                </w:p>
              </w:tc>
              <w:tc>
                <w:tcPr>
                  <w:tcW w:w="709" w:type="dxa"/>
                  <w:vAlign w:val="center"/>
                </w:tcPr>
                <w:p w14:paraId="12E0D9BD">
                  <w:pPr>
                    <w:autoSpaceDE w:val="0"/>
                    <w:autoSpaceDN w:val="0"/>
                    <w:adjustRightInd w:val="0"/>
                    <w:snapToGrid w:val="0"/>
                    <w:spacing w:line="276" w:lineRule="auto"/>
                    <w:jc w:val="center"/>
                    <w:rPr>
                      <w:color w:val="auto"/>
                      <w:szCs w:val="21"/>
                    </w:rPr>
                  </w:pPr>
                  <w:r>
                    <w:rPr>
                      <w:color w:val="auto"/>
                      <w:szCs w:val="21"/>
                    </w:rPr>
                    <w:t>固态</w:t>
                  </w:r>
                </w:p>
              </w:tc>
              <w:tc>
                <w:tcPr>
                  <w:tcW w:w="851" w:type="dxa"/>
                  <w:vAlign w:val="center"/>
                </w:tcPr>
                <w:p w14:paraId="37E4FFDF">
                  <w:pPr>
                    <w:autoSpaceDE w:val="0"/>
                    <w:autoSpaceDN w:val="0"/>
                    <w:adjustRightInd w:val="0"/>
                    <w:snapToGrid w:val="0"/>
                    <w:spacing w:line="276" w:lineRule="auto"/>
                    <w:jc w:val="center"/>
                    <w:rPr>
                      <w:color w:val="auto"/>
                      <w:szCs w:val="21"/>
                    </w:rPr>
                  </w:pPr>
                  <w:r>
                    <w:rPr>
                      <w:color w:val="auto"/>
                      <w:szCs w:val="21"/>
                    </w:rPr>
                    <w:t>吨袋</w:t>
                  </w:r>
                </w:p>
              </w:tc>
              <w:tc>
                <w:tcPr>
                  <w:tcW w:w="992" w:type="dxa"/>
                  <w:vAlign w:val="center"/>
                </w:tcPr>
                <w:p w14:paraId="72A95FD3">
                  <w:pPr>
                    <w:autoSpaceDE w:val="0"/>
                    <w:autoSpaceDN w:val="0"/>
                    <w:adjustRightInd w:val="0"/>
                    <w:snapToGrid w:val="0"/>
                    <w:spacing w:line="276" w:lineRule="auto"/>
                    <w:jc w:val="center"/>
                    <w:rPr>
                      <w:color w:val="auto"/>
                      <w:szCs w:val="21"/>
                    </w:rPr>
                  </w:pPr>
                  <w:r>
                    <w:rPr>
                      <w:rFonts w:hint="eastAsia"/>
                      <w:color w:val="auto"/>
                      <w:szCs w:val="21"/>
                    </w:rPr>
                    <w:t>30183</w:t>
                  </w:r>
                </w:p>
              </w:tc>
              <w:tc>
                <w:tcPr>
                  <w:tcW w:w="850" w:type="dxa"/>
                  <w:vAlign w:val="center"/>
                </w:tcPr>
                <w:p w14:paraId="03875535">
                  <w:pPr>
                    <w:autoSpaceDE w:val="0"/>
                    <w:autoSpaceDN w:val="0"/>
                    <w:adjustRightInd w:val="0"/>
                    <w:snapToGrid w:val="0"/>
                    <w:spacing w:line="276" w:lineRule="auto"/>
                    <w:jc w:val="center"/>
                    <w:rPr>
                      <w:color w:val="auto"/>
                      <w:szCs w:val="21"/>
                    </w:rPr>
                  </w:pPr>
                  <w:r>
                    <w:rPr>
                      <w:rFonts w:hint="eastAsia"/>
                      <w:color w:val="auto"/>
                      <w:szCs w:val="21"/>
                    </w:rPr>
                    <w:t>30183</w:t>
                  </w:r>
                </w:p>
              </w:tc>
              <w:tc>
                <w:tcPr>
                  <w:tcW w:w="851" w:type="dxa"/>
                  <w:vAlign w:val="center"/>
                </w:tcPr>
                <w:p w14:paraId="7DE07B75">
                  <w:pPr>
                    <w:autoSpaceDE w:val="0"/>
                    <w:autoSpaceDN w:val="0"/>
                    <w:adjustRightInd w:val="0"/>
                    <w:snapToGrid w:val="0"/>
                    <w:spacing w:line="276" w:lineRule="auto"/>
                    <w:jc w:val="center"/>
                    <w:rPr>
                      <w:color w:val="auto"/>
                      <w:szCs w:val="21"/>
                    </w:rPr>
                  </w:pPr>
                  <w:r>
                    <w:rPr>
                      <w:rFonts w:hint="eastAsia"/>
                      <w:color w:val="auto"/>
                      <w:szCs w:val="21"/>
                    </w:rPr>
                    <w:t>0</w:t>
                  </w:r>
                </w:p>
              </w:tc>
              <w:tc>
                <w:tcPr>
                  <w:tcW w:w="709" w:type="dxa"/>
                  <w:vAlign w:val="center"/>
                </w:tcPr>
                <w:p w14:paraId="635BB8D6">
                  <w:pPr>
                    <w:autoSpaceDE w:val="0"/>
                    <w:autoSpaceDN w:val="0"/>
                    <w:adjustRightInd w:val="0"/>
                    <w:snapToGrid w:val="0"/>
                    <w:spacing w:line="276" w:lineRule="auto"/>
                    <w:jc w:val="center"/>
                    <w:rPr>
                      <w:color w:val="auto"/>
                      <w:szCs w:val="21"/>
                    </w:rPr>
                  </w:pPr>
                  <w:r>
                    <w:rPr>
                      <w:rFonts w:hint="eastAsia"/>
                      <w:color w:val="auto"/>
                      <w:szCs w:val="21"/>
                    </w:rPr>
                    <w:t>800</w:t>
                  </w:r>
                </w:p>
              </w:tc>
              <w:tc>
                <w:tcPr>
                  <w:tcW w:w="708" w:type="dxa"/>
                  <w:vAlign w:val="center"/>
                </w:tcPr>
                <w:p w14:paraId="7D75D9C8">
                  <w:pPr>
                    <w:autoSpaceDE w:val="0"/>
                    <w:autoSpaceDN w:val="0"/>
                    <w:adjustRightInd w:val="0"/>
                    <w:snapToGrid w:val="0"/>
                    <w:spacing w:line="276" w:lineRule="auto"/>
                    <w:jc w:val="center"/>
                    <w:rPr>
                      <w:color w:val="auto"/>
                      <w:szCs w:val="21"/>
                    </w:rPr>
                  </w:pPr>
                  <w:r>
                    <w:rPr>
                      <w:rFonts w:hint="eastAsia"/>
                      <w:color w:val="auto"/>
                      <w:szCs w:val="21"/>
                    </w:rPr>
                    <w:t>10d</w:t>
                  </w:r>
                </w:p>
              </w:tc>
              <w:tc>
                <w:tcPr>
                  <w:tcW w:w="631" w:type="dxa"/>
                  <w:vAlign w:val="center"/>
                </w:tcPr>
                <w:p w14:paraId="456DC1B4">
                  <w:pPr>
                    <w:autoSpaceDE w:val="0"/>
                    <w:autoSpaceDN w:val="0"/>
                    <w:adjustRightInd w:val="0"/>
                    <w:snapToGrid w:val="0"/>
                    <w:spacing w:line="276" w:lineRule="auto"/>
                    <w:jc w:val="center"/>
                    <w:rPr>
                      <w:color w:val="auto"/>
                      <w:szCs w:val="21"/>
                    </w:rPr>
                  </w:pPr>
                  <w:r>
                    <w:rPr>
                      <w:color w:val="auto"/>
                      <w:szCs w:val="21"/>
                    </w:rPr>
                    <w:t>配料中心</w:t>
                  </w:r>
                </w:p>
              </w:tc>
              <w:tc>
                <w:tcPr>
                  <w:tcW w:w="606" w:type="dxa"/>
                  <w:vAlign w:val="center"/>
                </w:tcPr>
                <w:p w14:paraId="5A6C49BE">
                  <w:pPr>
                    <w:autoSpaceDE w:val="0"/>
                    <w:autoSpaceDN w:val="0"/>
                    <w:adjustRightInd w:val="0"/>
                    <w:snapToGrid w:val="0"/>
                    <w:spacing w:line="276" w:lineRule="auto"/>
                    <w:jc w:val="center"/>
                    <w:rPr>
                      <w:color w:val="auto"/>
                      <w:szCs w:val="21"/>
                    </w:rPr>
                  </w:pPr>
                  <w:r>
                    <w:rPr>
                      <w:color w:val="auto"/>
                      <w:szCs w:val="21"/>
                    </w:rPr>
                    <w:t>外购</w:t>
                  </w:r>
                </w:p>
              </w:tc>
            </w:tr>
            <w:tr w14:paraId="5BB1EEF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14:paraId="15841FCD">
                  <w:pPr>
                    <w:autoSpaceDE w:val="0"/>
                    <w:autoSpaceDN w:val="0"/>
                    <w:adjustRightInd w:val="0"/>
                    <w:snapToGrid w:val="0"/>
                    <w:spacing w:line="276" w:lineRule="auto"/>
                    <w:jc w:val="center"/>
                    <w:rPr>
                      <w:color w:val="auto"/>
                      <w:szCs w:val="21"/>
                    </w:rPr>
                  </w:pPr>
                  <w:r>
                    <w:rPr>
                      <w:rFonts w:hint="eastAsia"/>
                      <w:color w:val="auto"/>
                      <w:szCs w:val="21"/>
                    </w:rPr>
                    <w:t>3</w:t>
                  </w:r>
                </w:p>
              </w:tc>
              <w:tc>
                <w:tcPr>
                  <w:tcW w:w="708" w:type="dxa"/>
                  <w:vAlign w:val="center"/>
                </w:tcPr>
                <w:p w14:paraId="5AF9BBBE">
                  <w:pPr>
                    <w:autoSpaceDE w:val="0"/>
                    <w:autoSpaceDN w:val="0"/>
                    <w:adjustRightInd w:val="0"/>
                    <w:snapToGrid w:val="0"/>
                    <w:spacing w:line="276" w:lineRule="auto"/>
                    <w:jc w:val="center"/>
                    <w:rPr>
                      <w:color w:val="auto"/>
                      <w:szCs w:val="21"/>
                    </w:rPr>
                  </w:pPr>
                  <w:r>
                    <w:rPr>
                      <w:color w:val="auto"/>
                      <w:szCs w:val="21"/>
                    </w:rPr>
                    <w:t>长石</w:t>
                  </w:r>
                </w:p>
              </w:tc>
              <w:tc>
                <w:tcPr>
                  <w:tcW w:w="709" w:type="dxa"/>
                  <w:vAlign w:val="center"/>
                </w:tcPr>
                <w:p w14:paraId="439B3597">
                  <w:pPr>
                    <w:autoSpaceDE w:val="0"/>
                    <w:autoSpaceDN w:val="0"/>
                    <w:adjustRightInd w:val="0"/>
                    <w:snapToGrid w:val="0"/>
                    <w:spacing w:line="276" w:lineRule="auto"/>
                    <w:jc w:val="center"/>
                    <w:rPr>
                      <w:color w:val="auto"/>
                      <w:szCs w:val="21"/>
                    </w:rPr>
                  </w:pPr>
                  <w:r>
                    <w:rPr>
                      <w:color w:val="auto"/>
                      <w:szCs w:val="21"/>
                    </w:rPr>
                    <w:t>固态</w:t>
                  </w:r>
                </w:p>
              </w:tc>
              <w:tc>
                <w:tcPr>
                  <w:tcW w:w="851" w:type="dxa"/>
                  <w:vAlign w:val="center"/>
                </w:tcPr>
                <w:p w14:paraId="7DED18FB">
                  <w:pPr>
                    <w:autoSpaceDE w:val="0"/>
                    <w:autoSpaceDN w:val="0"/>
                    <w:adjustRightInd w:val="0"/>
                    <w:snapToGrid w:val="0"/>
                    <w:spacing w:line="276" w:lineRule="auto"/>
                    <w:jc w:val="center"/>
                    <w:rPr>
                      <w:color w:val="auto"/>
                      <w:szCs w:val="21"/>
                    </w:rPr>
                  </w:pPr>
                  <w:r>
                    <w:rPr>
                      <w:color w:val="auto"/>
                      <w:szCs w:val="21"/>
                    </w:rPr>
                    <w:t>吨袋</w:t>
                  </w:r>
                </w:p>
              </w:tc>
              <w:tc>
                <w:tcPr>
                  <w:tcW w:w="992" w:type="dxa"/>
                  <w:vAlign w:val="center"/>
                </w:tcPr>
                <w:p w14:paraId="29DFC4EC">
                  <w:pPr>
                    <w:autoSpaceDE w:val="0"/>
                    <w:autoSpaceDN w:val="0"/>
                    <w:adjustRightInd w:val="0"/>
                    <w:snapToGrid w:val="0"/>
                    <w:spacing w:line="276" w:lineRule="auto"/>
                    <w:jc w:val="center"/>
                    <w:rPr>
                      <w:color w:val="auto"/>
                      <w:szCs w:val="21"/>
                    </w:rPr>
                  </w:pPr>
                  <w:r>
                    <w:rPr>
                      <w:rFonts w:hint="eastAsia"/>
                      <w:color w:val="auto"/>
                      <w:szCs w:val="21"/>
                    </w:rPr>
                    <w:t>2414</w:t>
                  </w:r>
                </w:p>
              </w:tc>
              <w:tc>
                <w:tcPr>
                  <w:tcW w:w="850" w:type="dxa"/>
                  <w:vAlign w:val="center"/>
                </w:tcPr>
                <w:p w14:paraId="5A2B855B">
                  <w:pPr>
                    <w:autoSpaceDE w:val="0"/>
                    <w:autoSpaceDN w:val="0"/>
                    <w:adjustRightInd w:val="0"/>
                    <w:snapToGrid w:val="0"/>
                    <w:spacing w:line="276" w:lineRule="auto"/>
                    <w:jc w:val="center"/>
                    <w:rPr>
                      <w:color w:val="auto"/>
                      <w:szCs w:val="21"/>
                    </w:rPr>
                  </w:pPr>
                  <w:r>
                    <w:rPr>
                      <w:rFonts w:hint="eastAsia"/>
                      <w:color w:val="auto"/>
                      <w:szCs w:val="21"/>
                    </w:rPr>
                    <w:t>2414</w:t>
                  </w:r>
                </w:p>
              </w:tc>
              <w:tc>
                <w:tcPr>
                  <w:tcW w:w="851" w:type="dxa"/>
                  <w:vAlign w:val="center"/>
                </w:tcPr>
                <w:p w14:paraId="5AE464BA">
                  <w:pPr>
                    <w:autoSpaceDE w:val="0"/>
                    <w:autoSpaceDN w:val="0"/>
                    <w:adjustRightInd w:val="0"/>
                    <w:snapToGrid w:val="0"/>
                    <w:spacing w:line="276" w:lineRule="auto"/>
                    <w:jc w:val="center"/>
                    <w:rPr>
                      <w:color w:val="auto"/>
                      <w:szCs w:val="21"/>
                    </w:rPr>
                  </w:pPr>
                  <w:r>
                    <w:rPr>
                      <w:rFonts w:hint="eastAsia"/>
                      <w:color w:val="auto"/>
                      <w:szCs w:val="21"/>
                    </w:rPr>
                    <w:t>0</w:t>
                  </w:r>
                </w:p>
              </w:tc>
              <w:tc>
                <w:tcPr>
                  <w:tcW w:w="709" w:type="dxa"/>
                  <w:vAlign w:val="center"/>
                </w:tcPr>
                <w:p w14:paraId="69A37087">
                  <w:pPr>
                    <w:autoSpaceDE w:val="0"/>
                    <w:autoSpaceDN w:val="0"/>
                    <w:adjustRightInd w:val="0"/>
                    <w:snapToGrid w:val="0"/>
                    <w:spacing w:line="276" w:lineRule="auto"/>
                    <w:jc w:val="center"/>
                    <w:rPr>
                      <w:color w:val="auto"/>
                      <w:szCs w:val="21"/>
                    </w:rPr>
                  </w:pPr>
                  <w:r>
                    <w:rPr>
                      <w:rFonts w:hint="eastAsia"/>
                      <w:color w:val="auto"/>
                      <w:szCs w:val="21"/>
                    </w:rPr>
                    <w:t>70</w:t>
                  </w:r>
                </w:p>
              </w:tc>
              <w:tc>
                <w:tcPr>
                  <w:tcW w:w="708" w:type="dxa"/>
                  <w:vAlign w:val="center"/>
                </w:tcPr>
                <w:p w14:paraId="3EF57D85">
                  <w:pPr>
                    <w:autoSpaceDE w:val="0"/>
                    <w:autoSpaceDN w:val="0"/>
                    <w:adjustRightInd w:val="0"/>
                    <w:snapToGrid w:val="0"/>
                    <w:spacing w:line="276" w:lineRule="auto"/>
                    <w:jc w:val="center"/>
                    <w:rPr>
                      <w:color w:val="auto"/>
                      <w:szCs w:val="21"/>
                    </w:rPr>
                  </w:pPr>
                  <w:r>
                    <w:rPr>
                      <w:rFonts w:hint="eastAsia"/>
                      <w:color w:val="auto"/>
                      <w:szCs w:val="21"/>
                    </w:rPr>
                    <w:t>10d</w:t>
                  </w:r>
                </w:p>
              </w:tc>
              <w:tc>
                <w:tcPr>
                  <w:tcW w:w="631" w:type="dxa"/>
                  <w:vAlign w:val="center"/>
                </w:tcPr>
                <w:p w14:paraId="429E0679">
                  <w:pPr>
                    <w:autoSpaceDE w:val="0"/>
                    <w:autoSpaceDN w:val="0"/>
                    <w:adjustRightInd w:val="0"/>
                    <w:snapToGrid w:val="0"/>
                    <w:spacing w:line="276" w:lineRule="auto"/>
                    <w:jc w:val="center"/>
                    <w:rPr>
                      <w:color w:val="auto"/>
                      <w:szCs w:val="21"/>
                    </w:rPr>
                  </w:pPr>
                  <w:r>
                    <w:rPr>
                      <w:color w:val="auto"/>
                      <w:szCs w:val="21"/>
                    </w:rPr>
                    <w:t>配料中心</w:t>
                  </w:r>
                </w:p>
              </w:tc>
              <w:tc>
                <w:tcPr>
                  <w:tcW w:w="606" w:type="dxa"/>
                  <w:vAlign w:val="center"/>
                </w:tcPr>
                <w:p w14:paraId="4A427339">
                  <w:pPr>
                    <w:autoSpaceDE w:val="0"/>
                    <w:autoSpaceDN w:val="0"/>
                    <w:adjustRightInd w:val="0"/>
                    <w:snapToGrid w:val="0"/>
                    <w:spacing w:line="276" w:lineRule="auto"/>
                    <w:jc w:val="center"/>
                    <w:rPr>
                      <w:color w:val="auto"/>
                      <w:szCs w:val="21"/>
                    </w:rPr>
                  </w:pPr>
                  <w:r>
                    <w:rPr>
                      <w:color w:val="auto"/>
                      <w:szCs w:val="21"/>
                    </w:rPr>
                    <w:t>外购</w:t>
                  </w:r>
                </w:p>
              </w:tc>
            </w:tr>
            <w:tr w14:paraId="1DC4CD6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14:paraId="3A1FC276">
                  <w:pPr>
                    <w:autoSpaceDE w:val="0"/>
                    <w:autoSpaceDN w:val="0"/>
                    <w:adjustRightInd w:val="0"/>
                    <w:snapToGrid w:val="0"/>
                    <w:spacing w:line="276" w:lineRule="auto"/>
                    <w:jc w:val="center"/>
                    <w:rPr>
                      <w:color w:val="auto"/>
                      <w:szCs w:val="21"/>
                    </w:rPr>
                  </w:pPr>
                  <w:r>
                    <w:rPr>
                      <w:rFonts w:hint="eastAsia"/>
                      <w:color w:val="auto"/>
                      <w:szCs w:val="21"/>
                    </w:rPr>
                    <w:t>4</w:t>
                  </w:r>
                </w:p>
              </w:tc>
              <w:tc>
                <w:tcPr>
                  <w:tcW w:w="708" w:type="dxa"/>
                  <w:vAlign w:val="center"/>
                </w:tcPr>
                <w:p w14:paraId="396D8726">
                  <w:pPr>
                    <w:autoSpaceDE w:val="0"/>
                    <w:autoSpaceDN w:val="0"/>
                    <w:adjustRightInd w:val="0"/>
                    <w:snapToGrid w:val="0"/>
                    <w:spacing w:line="276" w:lineRule="auto"/>
                    <w:jc w:val="center"/>
                    <w:rPr>
                      <w:color w:val="auto"/>
                      <w:szCs w:val="21"/>
                    </w:rPr>
                  </w:pPr>
                  <w:r>
                    <w:rPr>
                      <w:color w:val="auto"/>
                      <w:szCs w:val="21"/>
                    </w:rPr>
                    <w:t>方解石</w:t>
                  </w:r>
                </w:p>
              </w:tc>
              <w:tc>
                <w:tcPr>
                  <w:tcW w:w="709" w:type="dxa"/>
                  <w:vAlign w:val="center"/>
                </w:tcPr>
                <w:p w14:paraId="099D7849">
                  <w:pPr>
                    <w:autoSpaceDE w:val="0"/>
                    <w:autoSpaceDN w:val="0"/>
                    <w:adjustRightInd w:val="0"/>
                    <w:snapToGrid w:val="0"/>
                    <w:spacing w:line="276" w:lineRule="auto"/>
                    <w:jc w:val="center"/>
                    <w:rPr>
                      <w:color w:val="auto"/>
                      <w:szCs w:val="21"/>
                    </w:rPr>
                  </w:pPr>
                  <w:r>
                    <w:rPr>
                      <w:color w:val="auto"/>
                      <w:szCs w:val="21"/>
                    </w:rPr>
                    <w:t>固态</w:t>
                  </w:r>
                </w:p>
              </w:tc>
              <w:tc>
                <w:tcPr>
                  <w:tcW w:w="851" w:type="dxa"/>
                  <w:vAlign w:val="center"/>
                </w:tcPr>
                <w:p w14:paraId="3E486564">
                  <w:pPr>
                    <w:autoSpaceDE w:val="0"/>
                    <w:autoSpaceDN w:val="0"/>
                    <w:adjustRightInd w:val="0"/>
                    <w:snapToGrid w:val="0"/>
                    <w:spacing w:line="276" w:lineRule="auto"/>
                    <w:jc w:val="center"/>
                    <w:rPr>
                      <w:color w:val="auto"/>
                      <w:szCs w:val="21"/>
                    </w:rPr>
                  </w:pPr>
                  <w:r>
                    <w:rPr>
                      <w:color w:val="auto"/>
                      <w:szCs w:val="21"/>
                    </w:rPr>
                    <w:t>吨袋</w:t>
                  </w:r>
                </w:p>
              </w:tc>
              <w:tc>
                <w:tcPr>
                  <w:tcW w:w="992" w:type="dxa"/>
                  <w:vAlign w:val="center"/>
                </w:tcPr>
                <w:p w14:paraId="71F4BB23">
                  <w:pPr>
                    <w:autoSpaceDE w:val="0"/>
                    <w:autoSpaceDN w:val="0"/>
                    <w:adjustRightInd w:val="0"/>
                    <w:snapToGrid w:val="0"/>
                    <w:spacing w:line="276" w:lineRule="auto"/>
                    <w:jc w:val="center"/>
                    <w:rPr>
                      <w:color w:val="auto"/>
                      <w:szCs w:val="21"/>
                    </w:rPr>
                  </w:pPr>
                  <w:r>
                    <w:rPr>
                      <w:rFonts w:hint="eastAsia"/>
                      <w:color w:val="auto"/>
                      <w:szCs w:val="21"/>
                    </w:rPr>
                    <w:t>16097</w:t>
                  </w:r>
                </w:p>
              </w:tc>
              <w:tc>
                <w:tcPr>
                  <w:tcW w:w="850" w:type="dxa"/>
                  <w:vAlign w:val="center"/>
                </w:tcPr>
                <w:p w14:paraId="691E8739">
                  <w:pPr>
                    <w:autoSpaceDE w:val="0"/>
                    <w:autoSpaceDN w:val="0"/>
                    <w:adjustRightInd w:val="0"/>
                    <w:snapToGrid w:val="0"/>
                    <w:spacing w:line="276" w:lineRule="auto"/>
                    <w:jc w:val="center"/>
                    <w:rPr>
                      <w:color w:val="auto"/>
                      <w:szCs w:val="21"/>
                    </w:rPr>
                  </w:pPr>
                  <w:r>
                    <w:rPr>
                      <w:rFonts w:hint="eastAsia"/>
                      <w:color w:val="auto"/>
                      <w:szCs w:val="21"/>
                    </w:rPr>
                    <w:t>16097</w:t>
                  </w:r>
                </w:p>
              </w:tc>
              <w:tc>
                <w:tcPr>
                  <w:tcW w:w="851" w:type="dxa"/>
                  <w:vAlign w:val="center"/>
                </w:tcPr>
                <w:p w14:paraId="1744610C">
                  <w:pPr>
                    <w:autoSpaceDE w:val="0"/>
                    <w:autoSpaceDN w:val="0"/>
                    <w:adjustRightInd w:val="0"/>
                    <w:snapToGrid w:val="0"/>
                    <w:spacing w:line="276" w:lineRule="auto"/>
                    <w:jc w:val="center"/>
                    <w:rPr>
                      <w:color w:val="auto"/>
                      <w:szCs w:val="21"/>
                    </w:rPr>
                  </w:pPr>
                  <w:r>
                    <w:rPr>
                      <w:rFonts w:hint="eastAsia"/>
                      <w:color w:val="auto"/>
                      <w:szCs w:val="21"/>
                    </w:rPr>
                    <w:t>0</w:t>
                  </w:r>
                </w:p>
              </w:tc>
              <w:tc>
                <w:tcPr>
                  <w:tcW w:w="709" w:type="dxa"/>
                  <w:vAlign w:val="center"/>
                </w:tcPr>
                <w:p w14:paraId="30EEC427">
                  <w:pPr>
                    <w:autoSpaceDE w:val="0"/>
                    <w:autoSpaceDN w:val="0"/>
                    <w:adjustRightInd w:val="0"/>
                    <w:snapToGrid w:val="0"/>
                    <w:spacing w:line="276" w:lineRule="auto"/>
                    <w:jc w:val="center"/>
                    <w:rPr>
                      <w:color w:val="auto"/>
                      <w:szCs w:val="21"/>
                    </w:rPr>
                  </w:pPr>
                  <w:r>
                    <w:rPr>
                      <w:rFonts w:hint="eastAsia"/>
                      <w:color w:val="auto"/>
                      <w:szCs w:val="21"/>
                    </w:rPr>
                    <w:t>150</w:t>
                  </w:r>
                </w:p>
              </w:tc>
              <w:tc>
                <w:tcPr>
                  <w:tcW w:w="708" w:type="dxa"/>
                  <w:vAlign w:val="center"/>
                </w:tcPr>
                <w:p w14:paraId="7257AA40">
                  <w:pPr>
                    <w:autoSpaceDE w:val="0"/>
                    <w:autoSpaceDN w:val="0"/>
                    <w:adjustRightInd w:val="0"/>
                    <w:snapToGrid w:val="0"/>
                    <w:spacing w:line="276" w:lineRule="auto"/>
                    <w:jc w:val="center"/>
                    <w:rPr>
                      <w:color w:val="auto"/>
                      <w:szCs w:val="21"/>
                    </w:rPr>
                  </w:pPr>
                  <w:r>
                    <w:rPr>
                      <w:rFonts w:hint="eastAsia"/>
                      <w:color w:val="auto"/>
                      <w:szCs w:val="21"/>
                    </w:rPr>
                    <w:t>10d</w:t>
                  </w:r>
                </w:p>
              </w:tc>
              <w:tc>
                <w:tcPr>
                  <w:tcW w:w="631" w:type="dxa"/>
                  <w:vAlign w:val="center"/>
                </w:tcPr>
                <w:p w14:paraId="19A2D472">
                  <w:pPr>
                    <w:autoSpaceDE w:val="0"/>
                    <w:autoSpaceDN w:val="0"/>
                    <w:adjustRightInd w:val="0"/>
                    <w:snapToGrid w:val="0"/>
                    <w:spacing w:line="276" w:lineRule="auto"/>
                    <w:jc w:val="center"/>
                    <w:rPr>
                      <w:color w:val="auto"/>
                      <w:szCs w:val="21"/>
                    </w:rPr>
                  </w:pPr>
                  <w:r>
                    <w:rPr>
                      <w:color w:val="auto"/>
                      <w:szCs w:val="21"/>
                    </w:rPr>
                    <w:t>配料中心</w:t>
                  </w:r>
                </w:p>
              </w:tc>
              <w:tc>
                <w:tcPr>
                  <w:tcW w:w="606" w:type="dxa"/>
                  <w:vAlign w:val="center"/>
                </w:tcPr>
                <w:p w14:paraId="305FD19F">
                  <w:pPr>
                    <w:autoSpaceDE w:val="0"/>
                    <w:autoSpaceDN w:val="0"/>
                    <w:adjustRightInd w:val="0"/>
                    <w:snapToGrid w:val="0"/>
                    <w:spacing w:line="276" w:lineRule="auto"/>
                    <w:jc w:val="center"/>
                    <w:rPr>
                      <w:color w:val="auto"/>
                      <w:szCs w:val="21"/>
                    </w:rPr>
                  </w:pPr>
                  <w:r>
                    <w:rPr>
                      <w:color w:val="auto"/>
                      <w:szCs w:val="21"/>
                    </w:rPr>
                    <w:t>外购</w:t>
                  </w:r>
                </w:p>
              </w:tc>
            </w:tr>
            <w:tr w14:paraId="6C8B34C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14:paraId="15F952AD">
                  <w:pPr>
                    <w:autoSpaceDE w:val="0"/>
                    <w:autoSpaceDN w:val="0"/>
                    <w:adjustRightInd w:val="0"/>
                    <w:snapToGrid w:val="0"/>
                    <w:spacing w:line="276" w:lineRule="auto"/>
                    <w:jc w:val="center"/>
                    <w:rPr>
                      <w:color w:val="auto"/>
                      <w:szCs w:val="21"/>
                    </w:rPr>
                  </w:pPr>
                  <w:r>
                    <w:rPr>
                      <w:rFonts w:hint="eastAsia"/>
                      <w:color w:val="auto"/>
                      <w:szCs w:val="21"/>
                    </w:rPr>
                    <w:t>5</w:t>
                  </w:r>
                </w:p>
              </w:tc>
              <w:tc>
                <w:tcPr>
                  <w:tcW w:w="708" w:type="dxa"/>
                  <w:vAlign w:val="center"/>
                </w:tcPr>
                <w:p w14:paraId="2467C281">
                  <w:pPr>
                    <w:autoSpaceDE w:val="0"/>
                    <w:autoSpaceDN w:val="0"/>
                    <w:adjustRightInd w:val="0"/>
                    <w:snapToGrid w:val="0"/>
                    <w:spacing w:line="276" w:lineRule="auto"/>
                    <w:jc w:val="center"/>
                    <w:rPr>
                      <w:color w:val="auto"/>
                      <w:szCs w:val="21"/>
                    </w:rPr>
                  </w:pPr>
                  <w:r>
                    <w:rPr>
                      <w:color w:val="auto"/>
                      <w:szCs w:val="21"/>
                    </w:rPr>
                    <w:t>硝酸钠</w:t>
                  </w:r>
                </w:p>
              </w:tc>
              <w:tc>
                <w:tcPr>
                  <w:tcW w:w="709" w:type="dxa"/>
                  <w:vAlign w:val="center"/>
                </w:tcPr>
                <w:p w14:paraId="6C39F475">
                  <w:pPr>
                    <w:autoSpaceDE w:val="0"/>
                    <w:autoSpaceDN w:val="0"/>
                    <w:adjustRightInd w:val="0"/>
                    <w:snapToGrid w:val="0"/>
                    <w:spacing w:line="276" w:lineRule="auto"/>
                    <w:jc w:val="center"/>
                    <w:rPr>
                      <w:color w:val="auto"/>
                      <w:szCs w:val="21"/>
                    </w:rPr>
                  </w:pPr>
                  <w:r>
                    <w:rPr>
                      <w:color w:val="auto"/>
                      <w:szCs w:val="21"/>
                    </w:rPr>
                    <w:t>固态</w:t>
                  </w:r>
                </w:p>
              </w:tc>
              <w:tc>
                <w:tcPr>
                  <w:tcW w:w="851" w:type="dxa"/>
                  <w:vAlign w:val="center"/>
                </w:tcPr>
                <w:p w14:paraId="3886F0F8">
                  <w:pPr>
                    <w:autoSpaceDE w:val="0"/>
                    <w:autoSpaceDN w:val="0"/>
                    <w:adjustRightInd w:val="0"/>
                    <w:snapToGrid w:val="0"/>
                    <w:spacing w:line="276" w:lineRule="auto"/>
                    <w:jc w:val="center"/>
                    <w:rPr>
                      <w:color w:val="auto"/>
                      <w:szCs w:val="21"/>
                    </w:rPr>
                  </w:pPr>
                  <w:r>
                    <w:rPr>
                      <w:color w:val="auto"/>
                      <w:szCs w:val="21"/>
                    </w:rPr>
                    <w:t>吨袋</w:t>
                  </w:r>
                </w:p>
              </w:tc>
              <w:tc>
                <w:tcPr>
                  <w:tcW w:w="992" w:type="dxa"/>
                  <w:vAlign w:val="center"/>
                </w:tcPr>
                <w:p w14:paraId="1B6843F0">
                  <w:pPr>
                    <w:autoSpaceDE w:val="0"/>
                    <w:autoSpaceDN w:val="0"/>
                    <w:adjustRightInd w:val="0"/>
                    <w:snapToGrid w:val="0"/>
                    <w:spacing w:line="276" w:lineRule="auto"/>
                    <w:jc w:val="center"/>
                    <w:rPr>
                      <w:color w:val="auto"/>
                      <w:szCs w:val="21"/>
                    </w:rPr>
                  </w:pPr>
                  <w:r>
                    <w:rPr>
                      <w:rFonts w:hint="eastAsia"/>
                      <w:color w:val="auto"/>
                      <w:szCs w:val="21"/>
                    </w:rPr>
                    <w:t>1006</w:t>
                  </w:r>
                </w:p>
              </w:tc>
              <w:tc>
                <w:tcPr>
                  <w:tcW w:w="850" w:type="dxa"/>
                  <w:vAlign w:val="center"/>
                </w:tcPr>
                <w:p w14:paraId="26C926C0">
                  <w:pPr>
                    <w:autoSpaceDE w:val="0"/>
                    <w:autoSpaceDN w:val="0"/>
                    <w:adjustRightInd w:val="0"/>
                    <w:snapToGrid w:val="0"/>
                    <w:spacing w:line="276" w:lineRule="auto"/>
                    <w:jc w:val="center"/>
                    <w:rPr>
                      <w:color w:val="auto"/>
                      <w:szCs w:val="21"/>
                    </w:rPr>
                  </w:pPr>
                  <w:r>
                    <w:rPr>
                      <w:rFonts w:hint="eastAsia"/>
                      <w:color w:val="auto"/>
                      <w:szCs w:val="21"/>
                    </w:rPr>
                    <w:t>1006</w:t>
                  </w:r>
                </w:p>
              </w:tc>
              <w:tc>
                <w:tcPr>
                  <w:tcW w:w="851" w:type="dxa"/>
                  <w:vAlign w:val="center"/>
                </w:tcPr>
                <w:p w14:paraId="2B46089D">
                  <w:pPr>
                    <w:autoSpaceDE w:val="0"/>
                    <w:autoSpaceDN w:val="0"/>
                    <w:adjustRightInd w:val="0"/>
                    <w:snapToGrid w:val="0"/>
                    <w:spacing w:line="276" w:lineRule="auto"/>
                    <w:jc w:val="center"/>
                    <w:rPr>
                      <w:color w:val="auto"/>
                      <w:szCs w:val="21"/>
                    </w:rPr>
                  </w:pPr>
                  <w:r>
                    <w:rPr>
                      <w:rFonts w:hint="eastAsia"/>
                      <w:color w:val="auto"/>
                      <w:szCs w:val="21"/>
                    </w:rPr>
                    <w:t>0</w:t>
                  </w:r>
                </w:p>
              </w:tc>
              <w:tc>
                <w:tcPr>
                  <w:tcW w:w="709" w:type="dxa"/>
                  <w:vAlign w:val="center"/>
                </w:tcPr>
                <w:p w14:paraId="520E0FCF">
                  <w:pPr>
                    <w:autoSpaceDE w:val="0"/>
                    <w:autoSpaceDN w:val="0"/>
                    <w:adjustRightInd w:val="0"/>
                    <w:snapToGrid w:val="0"/>
                    <w:spacing w:line="276" w:lineRule="auto"/>
                    <w:jc w:val="center"/>
                    <w:rPr>
                      <w:color w:val="auto"/>
                      <w:szCs w:val="21"/>
                    </w:rPr>
                  </w:pPr>
                  <w:r>
                    <w:rPr>
                      <w:rFonts w:hint="eastAsia"/>
                      <w:color w:val="auto"/>
                      <w:szCs w:val="21"/>
                    </w:rPr>
                    <w:t>30</w:t>
                  </w:r>
                </w:p>
              </w:tc>
              <w:tc>
                <w:tcPr>
                  <w:tcW w:w="708" w:type="dxa"/>
                  <w:vAlign w:val="center"/>
                </w:tcPr>
                <w:p w14:paraId="7786EC32">
                  <w:pPr>
                    <w:autoSpaceDE w:val="0"/>
                    <w:autoSpaceDN w:val="0"/>
                    <w:adjustRightInd w:val="0"/>
                    <w:snapToGrid w:val="0"/>
                    <w:spacing w:line="276" w:lineRule="auto"/>
                    <w:jc w:val="center"/>
                    <w:rPr>
                      <w:color w:val="auto"/>
                      <w:szCs w:val="21"/>
                    </w:rPr>
                  </w:pPr>
                  <w:r>
                    <w:rPr>
                      <w:rFonts w:hint="eastAsia"/>
                      <w:color w:val="auto"/>
                      <w:szCs w:val="21"/>
                    </w:rPr>
                    <w:t>10d</w:t>
                  </w:r>
                </w:p>
              </w:tc>
              <w:tc>
                <w:tcPr>
                  <w:tcW w:w="631" w:type="dxa"/>
                  <w:vAlign w:val="center"/>
                </w:tcPr>
                <w:p w14:paraId="1931822B">
                  <w:pPr>
                    <w:autoSpaceDE w:val="0"/>
                    <w:autoSpaceDN w:val="0"/>
                    <w:adjustRightInd w:val="0"/>
                    <w:snapToGrid w:val="0"/>
                    <w:spacing w:line="276" w:lineRule="auto"/>
                    <w:jc w:val="center"/>
                    <w:rPr>
                      <w:color w:val="auto"/>
                      <w:szCs w:val="21"/>
                    </w:rPr>
                  </w:pPr>
                  <w:r>
                    <w:rPr>
                      <w:color w:val="auto"/>
                      <w:szCs w:val="21"/>
                    </w:rPr>
                    <w:t>配料中心</w:t>
                  </w:r>
                </w:p>
              </w:tc>
              <w:tc>
                <w:tcPr>
                  <w:tcW w:w="606" w:type="dxa"/>
                  <w:vAlign w:val="center"/>
                </w:tcPr>
                <w:p w14:paraId="30FF44E3">
                  <w:pPr>
                    <w:autoSpaceDE w:val="0"/>
                    <w:autoSpaceDN w:val="0"/>
                    <w:adjustRightInd w:val="0"/>
                    <w:snapToGrid w:val="0"/>
                    <w:spacing w:line="276" w:lineRule="auto"/>
                    <w:jc w:val="center"/>
                    <w:rPr>
                      <w:color w:val="auto"/>
                      <w:szCs w:val="21"/>
                    </w:rPr>
                  </w:pPr>
                  <w:r>
                    <w:rPr>
                      <w:color w:val="auto"/>
                      <w:szCs w:val="21"/>
                    </w:rPr>
                    <w:t>外购</w:t>
                  </w:r>
                </w:p>
              </w:tc>
            </w:tr>
            <w:tr w14:paraId="4D81A71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14:paraId="3C002E93">
                  <w:pPr>
                    <w:autoSpaceDE w:val="0"/>
                    <w:autoSpaceDN w:val="0"/>
                    <w:adjustRightInd w:val="0"/>
                    <w:snapToGrid w:val="0"/>
                    <w:spacing w:line="276" w:lineRule="auto"/>
                    <w:jc w:val="center"/>
                    <w:rPr>
                      <w:color w:val="auto"/>
                      <w:szCs w:val="21"/>
                    </w:rPr>
                  </w:pPr>
                  <w:r>
                    <w:rPr>
                      <w:rFonts w:hint="eastAsia"/>
                      <w:color w:val="auto"/>
                      <w:szCs w:val="21"/>
                    </w:rPr>
                    <w:t>6</w:t>
                  </w:r>
                </w:p>
              </w:tc>
              <w:tc>
                <w:tcPr>
                  <w:tcW w:w="708" w:type="dxa"/>
                  <w:vAlign w:val="center"/>
                </w:tcPr>
                <w:p w14:paraId="04820AFB">
                  <w:pPr>
                    <w:autoSpaceDE w:val="0"/>
                    <w:autoSpaceDN w:val="0"/>
                    <w:adjustRightInd w:val="0"/>
                    <w:snapToGrid w:val="0"/>
                    <w:spacing w:line="276" w:lineRule="auto"/>
                    <w:jc w:val="center"/>
                    <w:rPr>
                      <w:color w:val="auto"/>
                      <w:szCs w:val="21"/>
                    </w:rPr>
                  </w:pPr>
                  <w:r>
                    <w:rPr>
                      <w:color w:val="auto"/>
                      <w:szCs w:val="21"/>
                    </w:rPr>
                    <w:t>碎玻璃</w:t>
                  </w:r>
                </w:p>
              </w:tc>
              <w:tc>
                <w:tcPr>
                  <w:tcW w:w="709" w:type="dxa"/>
                  <w:vAlign w:val="center"/>
                </w:tcPr>
                <w:p w14:paraId="6D0D9552">
                  <w:pPr>
                    <w:autoSpaceDE w:val="0"/>
                    <w:autoSpaceDN w:val="0"/>
                    <w:adjustRightInd w:val="0"/>
                    <w:snapToGrid w:val="0"/>
                    <w:spacing w:line="276" w:lineRule="auto"/>
                    <w:jc w:val="center"/>
                    <w:rPr>
                      <w:color w:val="auto"/>
                      <w:szCs w:val="21"/>
                    </w:rPr>
                  </w:pPr>
                  <w:r>
                    <w:rPr>
                      <w:color w:val="auto"/>
                      <w:szCs w:val="21"/>
                    </w:rPr>
                    <w:t>固态</w:t>
                  </w:r>
                </w:p>
              </w:tc>
              <w:tc>
                <w:tcPr>
                  <w:tcW w:w="851" w:type="dxa"/>
                  <w:vAlign w:val="center"/>
                </w:tcPr>
                <w:p w14:paraId="3667019C">
                  <w:pPr>
                    <w:autoSpaceDE w:val="0"/>
                    <w:autoSpaceDN w:val="0"/>
                    <w:adjustRightInd w:val="0"/>
                    <w:snapToGrid w:val="0"/>
                    <w:spacing w:line="276" w:lineRule="auto"/>
                    <w:jc w:val="center"/>
                    <w:rPr>
                      <w:color w:val="auto"/>
                      <w:szCs w:val="21"/>
                    </w:rPr>
                  </w:pPr>
                  <w:r>
                    <w:rPr>
                      <w:color w:val="auto"/>
                      <w:szCs w:val="21"/>
                    </w:rPr>
                    <w:t>吨袋</w:t>
                  </w:r>
                </w:p>
              </w:tc>
              <w:tc>
                <w:tcPr>
                  <w:tcW w:w="992" w:type="dxa"/>
                  <w:vAlign w:val="center"/>
                </w:tcPr>
                <w:p w14:paraId="51AF4D80">
                  <w:pPr>
                    <w:autoSpaceDE w:val="0"/>
                    <w:autoSpaceDN w:val="0"/>
                    <w:adjustRightInd w:val="0"/>
                    <w:snapToGrid w:val="0"/>
                    <w:spacing w:line="276" w:lineRule="auto"/>
                    <w:jc w:val="center"/>
                    <w:rPr>
                      <w:color w:val="auto"/>
                      <w:szCs w:val="21"/>
                    </w:rPr>
                  </w:pPr>
                  <w:r>
                    <w:rPr>
                      <w:rFonts w:hint="eastAsia"/>
                      <w:color w:val="auto"/>
                      <w:szCs w:val="21"/>
                    </w:rPr>
                    <w:t>10500</w:t>
                  </w:r>
                </w:p>
              </w:tc>
              <w:tc>
                <w:tcPr>
                  <w:tcW w:w="850" w:type="dxa"/>
                  <w:vAlign w:val="center"/>
                </w:tcPr>
                <w:p w14:paraId="5C6A49FD">
                  <w:pPr>
                    <w:autoSpaceDE w:val="0"/>
                    <w:autoSpaceDN w:val="0"/>
                    <w:adjustRightInd w:val="0"/>
                    <w:snapToGrid w:val="0"/>
                    <w:spacing w:line="276" w:lineRule="auto"/>
                    <w:jc w:val="center"/>
                    <w:rPr>
                      <w:color w:val="auto"/>
                      <w:szCs w:val="21"/>
                    </w:rPr>
                  </w:pPr>
                  <w:r>
                    <w:rPr>
                      <w:rFonts w:hint="eastAsia"/>
                      <w:color w:val="auto"/>
                      <w:szCs w:val="21"/>
                    </w:rPr>
                    <w:t>10500</w:t>
                  </w:r>
                </w:p>
              </w:tc>
              <w:tc>
                <w:tcPr>
                  <w:tcW w:w="851" w:type="dxa"/>
                  <w:vAlign w:val="center"/>
                </w:tcPr>
                <w:p w14:paraId="61D19247">
                  <w:pPr>
                    <w:autoSpaceDE w:val="0"/>
                    <w:autoSpaceDN w:val="0"/>
                    <w:adjustRightInd w:val="0"/>
                    <w:snapToGrid w:val="0"/>
                    <w:spacing w:line="276" w:lineRule="auto"/>
                    <w:jc w:val="center"/>
                    <w:rPr>
                      <w:color w:val="auto"/>
                      <w:szCs w:val="21"/>
                    </w:rPr>
                  </w:pPr>
                  <w:r>
                    <w:rPr>
                      <w:rFonts w:hint="eastAsia"/>
                      <w:color w:val="auto"/>
                      <w:szCs w:val="21"/>
                    </w:rPr>
                    <w:t>0</w:t>
                  </w:r>
                </w:p>
              </w:tc>
              <w:tc>
                <w:tcPr>
                  <w:tcW w:w="709" w:type="dxa"/>
                  <w:vAlign w:val="center"/>
                </w:tcPr>
                <w:p w14:paraId="326F8FD4">
                  <w:pPr>
                    <w:autoSpaceDE w:val="0"/>
                    <w:autoSpaceDN w:val="0"/>
                    <w:adjustRightInd w:val="0"/>
                    <w:snapToGrid w:val="0"/>
                    <w:spacing w:line="276" w:lineRule="auto"/>
                    <w:jc w:val="center"/>
                    <w:rPr>
                      <w:color w:val="auto"/>
                      <w:szCs w:val="21"/>
                    </w:rPr>
                  </w:pPr>
                  <w:r>
                    <w:rPr>
                      <w:rFonts w:hint="eastAsia"/>
                      <w:color w:val="auto"/>
                      <w:szCs w:val="21"/>
                    </w:rPr>
                    <w:t>300</w:t>
                  </w:r>
                </w:p>
              </w:tc>
              <w:tc>
                <w:tcPr>
                  <w:tcW w:w="708" w:type="dxa"/>
                  <w:vAlign w:val="center"/>
                </w:tcPr>
                <w:p w14:paraId="6A0D35F7">
                  <w:pPr>
                    <w:autoSpaceDE w:val="0"/>
                    <w:autoSpaceDN w:val="0"/>
                    <w:adjustRightInd w:val="0"/>
                    <w:snapToGrid w:val="0"/>
                    <w:spacing w:line="276" w:lineRule="auto"/>
                    <w:jc w:val="center"/>
                    <w:rPr>
                      <w:color w:val="auto"/>
                      <w:szCs w:val="21"/>
                    </w:rPr>
                  </w:pPr>
                  <w:r>
                    <w:rPr>
                      <w:rFonts w:hint="eastAsia"/>
                      <w:color w:val="auto"/>
                      <w:szCs w:val="21"/>
                    </w:rPr>
                    <w:t>10d</w:t>
                  </w:r>
                </w:p>
              </w:tc>
              <w:tc>
                <w:tcPr>
                  <w:tcW w:w="631" w:type="dxa"/>
                  <w:vAlign w:val="center"/>
                </w:tcPr>
                <w:p w14:paraId="42785BDD">
                  <w:pPr>
                    <w:autoSpaceDE w:val="0"/>
                    <w:autoSpaceDN w:val="0"/>
                    <w:adjustRightInd w:val="0"/>
                    <w:snapToGrid w:val="0"/>
                    <w:spacing w:line="276" w:lineRule="auto"/>
                    <w:jc w:val="center"/>
                    <w:rPr>
                      <w:color w:val="auto"/>
                      <w:szCs w:val="21"/>
                    </w:rPr>
                  </w:pPr>
                  <w:r>
                    <w:rPr>
                      <w:color w:val="auto"/>
                      <w:szCs w:val="21"/>
                    </w:rPr>
                    <w:t>配料中心</w:t>
                  </w:r>
                </w:p>
              </w:tc>
              <w:tc>
                <w:tcPr>
                  <w:tcW w:w="606" w:type="dxa"/>
                  <w:vAlign w:val="center"/>
                </w:tcPr>
                <w:p w14:paraId="650DDE9E">
                  <w:pPr>
                    <w:autoSpaceDE w:val="0"/>
                    <w:autoSpaceDN w:val="0"/>
                    <w:adjustRightInd w:val="0"/>
                    <w:snapToGrid w:val="0"/>
                    <w:spacing w:line="276" w:lineRule="auto"/>
                    <w:jc w:val="center"/>
                    <w:rPr>
                      <w:color w:val="auto"/>
                      <w:szCs w:val="21"/>
                    </w:rPr>
                  </w:pPr>
                  <w:r>
                    <w:rPr>
                      <w:color w:val="auto"/>
                      <w:szCs w:val="21"/>
                    </w:rPr>
                    <w:t>外购、不合格品</w:t>
                  </w:r>
                </w:p>
              </w:tc>
            </w:tr>
            <w:tr w14:paraId="5E14F32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162" w:type="dxa"/>
                  <w:gridSpan w:val="11"/>
                  <w:vAlign w:val="center"/>
                </w:tcPr>
                <w:p w14:paraId="5DE78DB9">
                  <w:pPr>
                    <w:autoSpaceDE w:val="0"/>
                    <w:autoSpaceDN w:val="0"/>
                    <w:adjustRightInd w:val="0"/>
                    <w:snapToGrid w:val="0"/>
                    <w:spacing w:line="276" w:lineRule="auto"/>
                    <w:jc w:val="center"/>
                    <w:rPr>
                      <w:b/>
                      <w:color w:val="auto"/>
                      <w:szCs w:val="21"/>
                    </w:rPr>
                  </w:pPr>
                  <w:r>
                    <w:rPr>
                      <w:b/>
                      <w:color w:val="auto"/>
                      <w:szCs w:val="21"/>
                    </w:rPr>
                    <w:t>玻璃制品深加工生产线原辅材料消耗</w:t>
                  </w:r>
                </w:p>
              </w:tc>
            </w:tr>
            <w:tr w14:paraId="68D9949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14:paraId="0C4CAA3F">
                  <w:pPr>
                    <w:autoSpaceDE w:val="0"/>
                    <w:autoSpaceDN w:val="0"/>
                    <w:adjustRightInd w:val="0"/>
                    <w:snapToGrid w:val="0"/>
                    <w:spacing w:line="276" w:lineRule="auto"/>
                    <w:jc w:val="center"/>
                    <w:rPr>
                      <w:color w:val="auto"/>
                      <w:szCs w:val="21"/>
                    </w:rPr>
                  </w:pPr>
                  <w:r>
                    <w:rPr>
                      <w:rFonts w:hint="eastAsia"/>
                      <w:color w:val="auto"/>
                      <w:szCs w:val="21"/>
                    </w:rPr>
                    <w:t>1</w:t>
                  </w:r>
                </w:p>
              </w:tc>
              <w:tc>
                <w:tcPr>
                  <w:tcW w:w="708" w:type="dxa"/>
                  <w:vAlign w:val="center"/>
                </w:tcPr>
                <w:p w14:paraId="5CA30A9E">
                  <w:pPr>
                    <w:autoSpaceDE w:val="0"/>
                    <w:autoSpaceDN w:val="0"/>
                    <w:adjustRightInd w:val="0"/>
                    <w:snapToGrid w:val="0"/>
                    <w:spacing w:line="276" w:lineRule="auto"/>
                    <w:jc w:val="center"/>
                    <w:rPr>
                      <w:color w:val="auto"/>
                      <w:szCs w:val="21"/>
                    </w:rPr>
                  </w:pPr>
                  <w:r>
                    <w:rPr>
                      <w:color w:val="auto"/>
                      <w:szCs w:val="21"/>
                    </w:rPr>
                    <w:t>玻璃制品</w:t>
                  </w:r>
                </w:p>
              </w:tc>
              <w:tc>
                <w:tcPr>
                  <w:tcW w:w="709" w:type="dxa"/>
                  <w:vAlign w:val="center"/>
                </w:tcPr>
                <w:p w14:paraId="34C6A1D3">
                  <w:pPr>
                    <w:autoSpaceDE w:val="0"/>
                    <w:autoSpaceDN w:val="0"/>
                    <w:adjustRightInd w:val="0"/>
                    <w:snapToGrid w:val="0"/>
                    <w:spacing w:line="276" w:lineRule="auto"/>
                    <w:jc w:val="center"/>
                    <w:rPr>
                      <w:color w:val="auto"/>
                      <w:szCs w:val="21"/>
                    </w:rPr>
                  </w:pPr>
                  <w:r>
                    <w:rPr>
                      <w:color w:val="auto"/>
                      <w:szCs w:val="21"/>
                    </w:rPr>
                    <w:t>固态</w:t>
                  </w:r>
                </w:p>
              </w:tc>
              <w:tc>
                <w:tcPr>
                  <w:tcW w:w="851" w:type="dxa"/>
                  <w:vAlign w:val="center"/>
                </w:tcPr>
                <w:p w14:paraId="5D7827E3">
                  <w:pPr>
                    <w:autoSpaceDE w:val="0"/>
                    <w:autoSpaceDN w:val="0"/>
                    <w:adjustRightInd w:val="0"/>
                    <w:snapToGrid w:val="0"/>
                    <w:spacing w:line="276" w:lineRule="auto"/>
                    <w:jc w:val="center"/>
                    <w:rPr>
                      <w:color w:val="auto"/>
                      <w:szCs w:val="21"/>
                    </w:rPr>
                  </w:pPr>
                  <w:r>
                    <w:rPr>
                      <w:rFonts w:hint="eastAsia"/>
                      <w:color w:val="auto"/>
                      <w:szCs w:val="21"/>
                    </w:rPr>
                    <w:t>玻璃瓶规格：高20~30cm，直径约8~15cm；玻璃杯规格为高15~20cm，直径约5~10cm</w:t>
                  </w:r>
                </w:p>
              </w:tc>
              <w:tc>
                <w:tcPr>
                  <w:tcW w:w="992" w:type="dxa"/>
                  <w:vAlign w:val="center"/>
                </w:tcPr>
                <w:p w14:paraId="4470E45E">
                  <w:pPr>
                    <w:autoSpaceDE w:val="0"/>
                    <w:autoSpaceDN w:val="0"/>
                    <w:adjustRightInd w:val="0"/>
                    <w:snapToGrid w:val="0"/>
                    <w:spacing w:line="276" w:lineRule="auto"/>
                    <w:jc w:val="center"/>
                    <w:rPr>
                      <w:color w:val="auto"/>
                      <w:szCs w:val="21"/>
                    </w:rPr>
                  </w:pPr>
                  <w:r>
                    <w:rPr>
                      <w:rFonts w:hint="eastAsia"/>
                      <w:color w:val="auto"/>
                      <w:szCs w:val="21"/>
                    </w:rPr>
                    <w:t>4200万只</w:t>
                  </w:r>
                </w:p>
              </w:tc>
              <w:tc>
                <w:tcPr>
                  <w:tcW w:w="850" w:type="dxa"/>
                  <w:vAlign w:val="center"/>
                </w:tcPr>
                <w:p w14:paraId="48A8126E">
                  <w:pPr>
                    <w:autoSpaceDE w:val="0"/>
                    <w:autoSpaceDN w:val="0"/>
                    <w:adjustRightInd w:val="0"/>
                    <w:snapToGrid w:val="0"/>
                    <w:spacing w:line="276" w:lineRule="auto"/>
                    <w:jc w:val="center"/>
                    <w:rPr>
                      <w:color w:val="auto"/>
                      <w:szCs w:val="21"/>
                    </w:rPr>
                  </w:pPr>
                  <w:r>
                    <w:rPr>
                      <w:rFonts w:hint="eastAsia"/>
                      <w:color w:val="auto"/>
                      <w:szCs w:val="21"/>
                    </w:rPr>
                    <w:t>4200万只</w:t>
                  </w:r>
                </w:p>
              </w:tc>
              <w:tc>
                <w:tcPr>
                  <w:tcW w:w="851" w:type="dxa"/>
                  <w:vAlign w:val="center"/>
                </w:tcPr>
                <w:p w14:paraId="4E1447EF">
                  <w:pPr>
                    <w:autoSpaceDE w:val="0"/>
                    <w:autoSpaceDN w:val="0"/>
                    <w:adjustRightInd w:val="0"/>
                    <w:snapToGrid w:val="0"/>
                    <w:spacing w:line="276" w:lineRule="auto"/>
                    <w:jc w:val="center"/>
                    <w:rPr>
                      <w:color w:val="auto"/>
                      <w:szCs w:val="21"/>
                    </w:rPr>
                  </w:pPr>
                  <w:r>
                    <w:rPr>
                      <w:rFonts w:hint="eastAsia"/>
                      <w:color w:val="auto"/>
                      <w:szCs w:val="21"/>
                    </w:rPr>
                    <w:t>0</w:t>
                  </w:r>
                </w:p>
              </w:tc>
              <w:tc>
                <w:tcPr>
                  <w:tcW w:w="709" w:type="dxa"/>
                  <w:vAlign w:val="center"/>
                </w:tcPr>
                <w:p w14:paraId="464990F2">
                  <w:pPr>
                    <w:autoSpaceDE w:val="0"/>
                    <w:autoSpaceDN w:val="0"/>
                    <w:adjustRightInd w:val="0"/>
                    <w:snapToGrid w:val="0"/>
                    <w:spacing w:line="276" w:lineRule="auto"/>
                    <w:jc w:val="center"/>
                    <w:rPr>
                      <w:color w:val="auto"/>
                      <w:szCs w:val="21"/>
                    </w:rPr>
                  </w:pPr>
                  <w:r>
                    <w:rPr>
                      <w:rFonts w:hint="eastAsia"/>
                      <w:color w:val="auto"/>
                      <w:szCs w:val="21"/>
                    </w:rPr>
                    <w:t>/</w:t>
                  </w:r>
                </w:p>
              </w:tc>
              <w:tc>
                <w:tcPr>
                  <w:tcW w:w="708" w:type="dxa"/>
                  <w:vAlign w:val="center"/>
                </w:tcPr>
                <w:p w14:paraId="65F7E28B">
                  <w:pPr>
                    <w:autoSpaceDE w:val="0"/>
                    <w:autoSpaceDN w:val="0"/>
                    <w:adjustRightInd w:val="0"/>
                    <w:snapToGrid w:val="0"/>
                    <w:spacing w:line="276" w:lineRule="auto"/>
                    <w:jc w:val="center"/>
                    <w:rPr>
                      <w:color w:val="auto"/>
                      <w:szCs w:val="21"/>
                    </w:rPr>
                  </w:pPr>
                  <w:r>
                    <w:rPr>
                      <w:rFonts w:hint="eastAsia"/>
                      <w:color w:val="auto"/>
                      <w:szCs w:val="21"/>
                    </w:rPr>
                    <w:t>/</w:t>
                  </w:r>
                </w:p>
              </w:tc>
              <w:tc>
                <w:tcPr>
                  <w:tcW w:w="631" w:type="dxa"/>
                  <w:vAlign w:val="center"/>
                </w:tcPr>
                <w:p w14:paraId="4FA32D74">
                  <w:pPr>
                    <w:autoSpaceDE w:val="0"/>
                    <w:autoSpaceDN w:val="0"/>
                    <w:adjustRightInd w:val="0"/>
                    <w:snapToGrid w:val="0"/>
                    <w:spacing w:line="276" w:lineRule="auto"/>
                    <w:jc w:val="center"/>
                    <w:rPr>
                      <w:color w:val="auto"/>
                      <w:szCs w:val="21"/>
                    </w:rPr>
                  </w:pPr>
                  <w:r>
                    <w:rPr>
                      <w:rFonts w:hint="eastAsia"/>
                      <w:color w:val="auto"/>
                      <w:szCs w:val="21"/>
                    </w:rPr>
                    <w:t>/</w:t>
                  </w:r>
                </w:p>
              </w:tc>
              <w:tc>
                <w:tcPr>
                  <w:tcW w:w="606" w:type="dxa"/>
                  <w:vAlign w:val="center"/>
                </w:tcPr>
                <w:p w14:paraId="26B7077E">
                  <w:pPr>
                    <w:autoSpaceDE w:val="0"/>
                    <w:autoSpaceDN w:val="0"/>
                    <w:adjustRightInd w:val="0"/>
                    <w:snapToGrid w:val="0"/>
                    <w:spacing w:line="276" w:lineRule="auto"/>
                    <w:jc w:val="center"/>
                    <w:rPr>
                      <w:color w:val="auto"/>
                      <w:szCs w:val="21"/>
                    </w:rPr>
                  </w:pPr>
                  <w:r>
                    <w:rPr>
                      <w:color w:val="auto"/>
                      <w:szCs w:val="21"/>
                    </w:rPr>
                    <w:t>厂区内自产提供</w:t>
                  </w:r>
                </w:p>
              </w:tc>
            </w:tr>
            <w:tr w14:paraId="71A67AD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14:paraId="6E5C21CC">
                  <w:pPr>
                    <w:autoSpaceDE w:val="0"/>
                    <w:autoSpaceDN w:val="0"/>
                    <w:adjustRightInd w:val="0"/>
                    <w:snapToGrid w:val="0"/>
                    <w:spacing w:line="276" w:lineRule="auto"/>
                    <w:jc w:val="center"/>
                    <w:rPr>
                      <w:color w:val="auto"/>
                      <w:szCs w:val="21"/>
                    </w:rPr>
                  </w:pPr>
                  <w:r>
                    <w:rPr>
                      <w:rFonts w:hint="eastAsia"/>
                      <w:color w:val="auto"/>
                      <w:szCs w:val="21"/>
                    </w:rPr>
                    <w:t>2</w:t>
                  </w:r>
                </w:p>
              </w:tc>
              <w:tc>
                <w:tcPr>
                  <w:tcW w:w="708" w:type="dxa"/>
                  <w:vAlign w:val="center"/>
                </w:tcPr>
                <w:p w14:paraId="52637DC5">
                  <w:pPr>
                    <w:autoSpaceDE w:val="0"/>
                    <w:autoSpaceDN w:val="0"/>
                    <w:adjustRightInd w:val="0"/>
                    <w:snapToGrid w:val="0"/>
                    <w:spacing w:line="276" w:lineRule="auto"/>
                    <w:jc w:val="center"/>
                    <w:rPr>
                      <w:color w:val="auto"/>
                      <w:szCs w:val="21"/>
                    </w:rPr>
                  </w:pPr>
                  <w:r>
                    <w:rPr>
                      <w:color w:val="auto"/>
                      <w:szCs w:val="21"/>
                    </w:rPr>
                    <w:t>花纸</w:t>
                  </w:r>
                </w:p>
              </w:tc>
              <w:tc>
                <w:tcPr>
                  <w:tcW w:w="709" w:type="dxa"/>
                  <w:vAlign w:val="center"/>
                </w:tcPr>
                <w:p w14:paraId="01B00D31">
                  <w:pPr>
                    <w:autoSpaceDE w:val="0"/>
                    <w:autoSpaceDN w:val="0"/>
                    <w:adjustRightInd w:val="0"/>
                    <w:snapToGrid w:val="0"/>
                    <w:spacing w:line="276" w:lineRule="auto"/>
                    <w:jc w:val="center"/>
                    <w:rPr>
                      <w:color w:val="auto"/>
                      <w:szCs w:val="21"/>
                    </w:rPr>
                  </w:pPr>
                  <w:r>
                    <w:rPr>
                      <w:color w:val="auto"/>
                      <w:szCs w:val="21"/>
                    </w:rPr>
                    <w:t>固态</w:t>
                  </w:r>
                </w:p>
              </w:tc>
              <w:tc>
                <w:tcPr>
                  <w:tcW w:w="851" w:type="dxa"/>
                  <w:vAlign w:val="center"/>
                </w:tcPr>
                <w:p w14:paraId="5DA4F23D">
                  <w:pPr>
                    <w:autoSpaceDE w:val="0"/>
                    <w:autoSpaceDN w:val="0"/>
                    <w:adjustRightInd w:val="0"/>
                    <w:snapToGrid w:val="0"/>
                    <w:spacing w:line="276" w:lineRule="auto"/>
                    <w:jc w:val="center"/>
                    <w:rPr>
                      <w:color w:val="auto"/>
                      <w:szCs w:val="21"/>
                    </w:rPr>
                  </w:pPr>
                  <w:r>
                    <w:rPr>
                      <w:rFonts w:hint="eastAsia"/>
                      <w:color w:val="auto"/>
                      <w:szCs w:val="21"/>
                    </w:rPr>
                    <w:t>500mm×700mm</w:t>
                  </w:r>
                </w:p>
              </w:tc>
              <w:tc>
                <w:tcPr>
                  <w:tcW w:w="992" w:type="dxa"/>
                  <w:vAlign w:val="center"/>
                </w:tcPr>
                <w:p w14:paraId="7FB8EDB6">
                  <w:pPr>
                    <w:autoSpaceDE w:val="0"/>
                    <w:autoSpaceDN w:val="0"/>
                    <w:adjustRightInd w:val="0"/>
                    <w:snapToGrid w:val="0"/>
                    <w:spacing w:line="276" w:lineRule="auto"/>
                    <w:jc w:val="center"/>
                    <w:rPr>
                      <w:color w:val="auto"/>
                      <w:szCs w:val="21"/>
                    </w:rPr>
                  </w:pPr>
                  <w:r>
                    <w:rPr>
                      <w:rFonts w:hint="eastAsia"/>
                      <w:color w:val="auto"/>
                      <w:szCs w:val="21"/>
                    </w:rPr>
                    <w:t>9.75</w:t>
                  </w:r>
                </w:p>
              </w:tc>
              <w:tc>
                <w:tcPr>
                  <w:tcW w:w="850" w:type="dxa"/>
                  <w:vAlign w:val="center"/>
                </w:tcPr>
                <w:p w14:paraId="2A67DDDD">
                  <w:pPr>
                    <w:autoSpaceDE w:val="0"/>
                    <w:autoSpaceDN w:val="0"/>
                    <w:adjustRightInd w:val="0"/>
                    <w:snapToGrid w:val="0"/>
                    <w:spacing w:line="276" w:lineRule="auto"/>
                    <w:jc w:val="center"/>
                    <w:rPr>
                      <w:color w:val="auto"/>
                      <w:szCs w:val="21"/>
                    </w:rPr>
                  </w:pPr>
                  <w:r>
                    <w:rPr>
                      <w:rFonts w:hint="eastAsia"/>
                      <w:color w:val="auto"/>
                      <w:szCs w:val="21"/>
                    </w:rPr>
                    <w:t>9.75</w:t>
                  </w:r>
                </w:p>
              </w:tc>
              <w:tc>
                <w:tcPr>
                  <w:tcW w:w="851" w:type="dxa"/>
                  <w:vAlign w:val="center"/>
                </w:tcPr>
                <w:p w14:paraId="71FB7197">
                  <w:pPr>
                    <w:autoSpaceDE w:val="0"/>
                    <w:autoSpaceDN w:val="0"/>
                    <w:adjustRightInd w:val="0"/>
                    <w:snapToGrid w:val="0"/>
                    <w:spacing w:line="276" w:lineRule="auto"/>
                    <w:jc w:val="center"/>
                    <w:rPr>
                      <w:color w:val="auto"/>
                      <w:szCs w:val="21"/>
                    </w:rPr>
                  </w:pPr>
                  <w:r>
                    <w:rPr>
                      <w:rFonts w:hint="eastAsia"/>
                      <w:color w:val="auto"/>
                      <w:szCs w:val="21"/>
                    </w:rPr>
                    <w:t>0</w:t>
                  </w:r>
                </w:p>
              </w:tc>
              <w:tc>
                <w:tcPr>
                  <w:tcW w:w="709" w:type="dxa"/>
                  <w:vAlign w:val="center"/>
                </w:tcPr>
                <w:p w14:paraId="585F88D6">
                  <w:pPr>
                    <w:autoSpaceDE w:val="0"/>
                    <w:autoSpaceDN w:val="0"/>
                    <w:adjustRightInd w:val="0"/>
                    <w:snapToGrid w:val="0"/>
                    <w:spacing w:line="276" w:lineRule="auto"/>
                    <w:jc w:val="center"/>
                    <w:rPr>
                      <w:color w:val="auto"/>
                      <w:szCs w:val="21"/>
                    </w:rPr>
                  </w:pPr>
                  <w:r>
                    <w:rPr>
                      <w:rFonts w:hint="eastAsia"/>
                      <w:color w:val="auto"/>
                      <w:szCs w:val="21"/>
                    </w:rPr>
                    <w:t>0.8</w:t>
                  </w:r>
                </w:p>
              </w:tc>
              <w:tc>
                <w:tcPr>
                  <w:tcW w:w="708" w:type="dxa"/>
                  <w:vAlign w:val="center"/>
                </w:tcPr>
                <w:p w14:paraId="3EF33F98">
                  <w:pPr>
                    <w:autoSpaceDE w:val="0"/>
                    <w:autoSpaceDN w:val="0"/>
                    <w:adjustRightInd w:val="0"/>
                    <w:snapToGrid w:val="0"/>
                    <w:spacing w:line="276" w:lineRule="auto"/>
                    <w:jc w:val="center"/>
                    <w:rPr>
                      <w:color w:val="auto"/>
                      <w:szCs w:val="21"/>
                    </w:rPr>
                  </w:pPr>
                  <w:r>
                    <w:rPr>
                      <w:rFonts w:hint="eastAsia"/>
                      <w:color w:val="auto"/>
                      <w:szCs w:val="21"/>
                    </w:rPr>
                    <w:t>30d</w:t>
                  </w:r>
                </w:p>
              </w:tc>
              <w:tc>
                <w:tcPr>
                  <w:tcW w:w="631" w:type="dxa"/>
                  <w:vAlign w:val="center"/>
                </w:tcPr>
                <w:p w14:paraId="15559CE1">
                  <w:pPr>
                    <w:autoSpaceDE w:val="0"/>
                    <w:autoSpaceDN w:val="0"/>
                    <w:adjustRightInd w:val="0"/>
                    <w:snapToGrid w:val="0"/>
                    <w:spacing w:line="276" w:lineRule="auto"/>
                    <w:jc w:val="center"/>
                    <w:rPr>
                      <w:color w:val="auto"/>
                      <w:szCs w:val="21"/>
                    </w:rPr>
                  </w:pPr>
                  <w:r>
                    <w:rPr>
                      <w:color w:val="auto"/>
                      <w:szCs w:val="21"/>
                    </w:rPr>
                    <w:t>原料库</w:t>
                  </w:r>
                  <w:r>
                    <w:rPr>
                      <w:rFonts w:hint="eastAsia"/>
                      <w:color w:val="auto"/>
                      <w:szCs w:val="21"/>
                    </w:rPr>
                    <w:t>2</w:t>
                  </w:r>
                </w:p>
              </w:tc>
              <w:tc>
                <w:tcPr>
                  <w:tcW w:w="606" w:type="dxa"/>
                  <w:vAlign w:val="center"/>
                </w:tcPr>
                <w:p w14:paraId="546D16DB">
                  <w:pPr>
                    <w:autoSpaceDE w:val="0"/>
                    <w:autoSpaceDN w:val="0"/>
                    <w:adjustRightInd w:val="0"/>
                    <w:snapToGrid w:val="0"/>
                    <w:spacing w:line="276" w:lineRule="auto"/>
                    <w:jc w:val="center"/>
                    <w:rPr>
                      <w:color w:val="auto"/>
                      <w:szCs w:val="21"/>
                    </w:rPr>
                  </w:pPr>
                  <w:r>
                    <w:rPr>
                      <w:color w:val="auto"/>
                      <w:szCs w:val="21"/>
                    </w:rPr>
                    <w:t>外购</w:t>
                  </w:r>
                </w:p>
              </w:tc>
            </w:tr>
            <w:tr w14:paraId="209789C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14:paraId="679692F8">
                  <w:pPr>
                    <w:autoSpaceDE w:val="0"/>
                    <w:autoSpaceDN w:val="0"/>
                    <w:adjustRightInd w:val="0"/>
                    <w:snapToGrid w:val="0"/>
                    <w:spacing w:line="276" w:lineRule="auto"/>
                    <w:jc w:val="center"/>
                    <w:rPr>
                      <w:color w:val="auto"/>
                      <w:szCs w:val="21"/>
                    </w:rPr>
                  </w:pPr>
                  <w:r>
                    <w:rPr>
                      <w:rFonts w:hint="eastAsia"/>
                      <w:color w:val="auto"/>
                      <w:szCs w:val="21"/>
                    </w:rPr>
                    <w:t>3</w:t>
                  </w:r>
                </w:p>
              </w:tc>
              <w:tc>
                <w:tcPr>
                  <w:tcW w:w="708" w:type="dxa"/>
                  <w:vAlign w:val="center"/>
                </w:tcPr>
                <w:p w14:paraId="15694D1E">
                  <w:pPr>
                    <w:autoSpaceDE w:val="0"/>
                    <w:autoSpaceDN w:val="0"/>
                    <w:adjustRightInd w:val="0"/>
                    <w:snapToGrid w:val="0"/>
                    <w:spacing w:line="276" w:lineRule="auto"/>
                    <w:jc w:val="center"/>
                    <w:rPr>
                      <w:color w:val="auto"/>
                      <w:szCs w:val="21"/>
                    </w:rPr>
                  </w:pPr>
                  <w:r>
                    <w:rPr>
                      <w:color w:val="auto"/>
                      <w:szCs w:val="21"/>
                    </w:rPr>
                    <w:t>水性玻璃陶瓷低温釉</w:t>
                  </w:r>
                </w:p>
              </w:tc>
              <w:tc>
                <w:tcPr>
                  <w:tcW w:w="709" w:type="dxa"/>
                  <w:vAlign w:val="center"/>
                </w:tcPr>
                <w:p w14:paraId="27AB8A06">
                  <w:pPr>
                    <w:autoSpaceDE w:val="0"/>
                    <w:autoSpaceDN w:val="0"/>
                    <w:adjustRightInd w:val="0"/>
                    <w:snapToGrid w:val="0"/>
                    <w:spacing w:line="276" w:lineRule="auto"/>
                    <w:jc w:val="center"/>
                    <w:rPr>
                      <w:color w:val="auto"/>
                      <w:szCs w:val="21"/>
                    </w:rPr>
                  </w:pPr>
                  <w:r>
                    <w:rPr>
                      <w:color w:val="auto"/>
                      <w:szCs w:val="21"/>
                    </w:rPr>
                    <w:t>液态</w:t>
                  </w:r>
                </w:p>
              </w:tc>
              <w:tc>
                <w:tcPr>
                  <w:tcW w:w="851" w:type="dxa"/>
                  <w:vAlign w:val="center"/>
                </w:tcPr>
                <w:p w14:paraId="718E2902">
                  <w:pPr>
                    <w:autoSpaceDE w:val="0"/>
                    <w:autoSpaceDN w:val="0"/>
                    <w:adjustRightInd w:val="0"/>
                    <w:snapToGrid w:val="0"/>
                    <w:spacing w:line="276" w:lineRule="auto"/>
                    <w:jc w:val="center"/>
                    <w:rPr>
                      <w:color w:val="auto"/>
                      <w:szCs w:val="21"/>
                    </w:rPr>
                  </w:pPr>
                  <w:r>
                    <w:rPr>
                      <w:rFonts w:hint="eastAsia"/>
                      <w:color w:val="auto"/>
                      <w:szCs w:val="21"/>
                    </w:rPr>
                    <w:t>塑料桶，20kg/桶</w:t>
                  </w:r>
                </w:p>
              </w:tc>
              <w:tc>
                <w:tcPr>
                  <w:tcW w:w="992" w:type="dxa"/>
                  <w:vAlign w:val="center"/>
                </w:tcPr>
                <w:p w14:paraId="0F1F7E7B">
                  <w:pPr>
                    <w:autoSpaceDE w:val="0"/>
                    <w:autoSpaceDN w:val="0"/>
                    <w:adjustRightInd w:val="0"/>
                    <w:snapToGrid w:val="0"/>
                    <w:spacing w:line="276" w:lineRule="auto"/>
                    <w:jc w:val="center"/>
                    <w:rPr>
                      <w:color w:val="auto"/>
                      <w:szCs w:val="21"/>
                    </w:rPr>
                  </w:pPr>
                  <w:r>
                    <w:rPr>
                      <w:rFonts w:hint="eastAsia"/>
                      <w:color w:val="auto"/>
                      <w:szCs w:val="21"/>
                    </w:rPr>
                    <w:t>70.26</w:t>
                  </w:r>
                </w:p>
              </w:tc>
              <w:tc>
                <w:tcPr>
                  <w:tcW w:w="850" w:type="dxa"/>
                  <w:vAlign w:val="center"/>
                </w:tcPr>
                <w:p w14:paraId="0EF1B026">
                  <w:pPr>
                    <w:autoSpaceDE w:val="0"/>
                    <w:autoSpaceDN w:val="0"/>
                    <w:adjustRightInd w:val="0"/>
                    <w:snapToGrid w:val="0"/>
                    <w:spacing w:line="276" w:lineRule="auto"/>
                    <w:jc w:val="center"/>
                    <w:rPr>
                      <w:color w:val="auto"/>
                      <w:szCs w:val="21"/>
                    </w:rPr>
                  </w:pPr>
                  <w:r>
                    <w:rPr>
                      <w:rFonts w:hint="eastAsia"/>
                      <w:color w:val="auto"/>
                      <w:szCs w:val="21"/>
                    </w:rPr>
                    <w:t>70.26</w:t>
                  </w:r>
                </w:p>
              </w:tc>
              <w:tc>
                <w:tcPr>
                  <w:tcW w:w="851" w:type="dxa"/>
                  <w:vAlign w:val="center"/>
                </w:tcPr>
                <w:p w14:paraId="466ACB02">
                  <w:pPr>
                    <w:autoSpaceDE w:val="0"/>
                    <w:autoSpaceDN w:val="0"/>
                    <w:adjustRightInd w:val="0"/>
                    <w:snapToGrid w:val="0"/>
                    <w:spacing w:line="276" w:lineRule="auto"/>
                    <w:jc w:val="center"/>
                    <w:rPr>
                      <w:color w:val="auto"/>
                      <w:szCs w:val="21"/>
                    </w:rPr>
                  </w:pPr>
                  <w:r>
                    <w:rPr>
                      <w:rFonts w:hint="eastAsia"/>
                      <w:color w:val="auto"/>
                      <w:szCs w:val="21"/>
                    </w:rPr>
                    <w:t>0</w:t>
                  </w:r>
                </w:p>
              </w:tc>
              <w:tc>
                <w:tcPr>
                  <w:tcW w:w="709" w:type="dxa"/>
                  <w:vAlign w:val="center"/>
                </w:tcPr>
                <w:p w14:paraId="746BAF4C">
                  <w:pPr>
                    <w:autoSpaceDE w:val="0"/>
                    <w:autoSpaceDN w:val="0"/>
                    <w:adjustRightInd w:val="0"/>
                    <w:snapToGrid w:val="0"/>
                    <w:spacing w:line="276" w:lineRule="auto"/>
                    <w:jc w:val="center"/>
                    <w:rPr>
                      <w:color w:val="auto"/>
                      <w:szCs w:val="21"/>
                    </w:rPr>
                  </w:pPr>
                  <w:r>
                    <w:rPr>
                      <w:rFonts w:hint="eastAsia"/>
                      <w:color w:val="auto"/>
                      <w:szCs w:val="21"/>
                    </w:rPr>
                    <w:t>5.5</w:t>
                  </w:r>
                </w:p>
              </w:tc>
              <w:tc>
                <w:tcPr>
                  <w:tcW w:w="708" w:type="dxa"/>
                  <w:vAlign w:val="center"/>
                </w:tcPr>
                <w:p w14:paraId="499F15F4">
                  <w:pPr>
                    <w:autoSpaceDE w:val="0"/>
                    <w:autoSpaceDN w:val="0"/>
                    <w:adjustRightInd w:val="0"/>
                    <w:snapToGrid w:val="0"/>
                    <w:spacing w:line="276" w:lineRule="auto"/>
                    <w:jc w:val="center"/>
                    <w:rPr>
                      <w:color w:val="auto"/>
                      <w:szCs w:val="21"/>
                    </w:rPr>
                  </w:pPr>
                  <w:r>
                    <w:rPr>
                      <w:rFonts w:hint="eastAsia"/>
                      <w:color w:val="auto"/>
                      <w:szCs w:val="21"/>
                    </w:rPr>
                    <w:t>30d</w:t>
                  </w:r>
                </w:p>
              </w:tc>
              <w:tc>
                <w:tcPr>
                  <w:tcW w:w="631" w:type="dxa"/>
                  <w:vAlign w:val="center"/>
                </w:tcPr>
                <w:p w14:paraId="60846C19">
                  <w:pPr>
                    <w:autoSpaceDE w:val="0"/>
                    <w:autoSpaceDN w:val="0"/>
                    <w:adjustRightInd w:val="0"/>
                    <w:snapToGrid w:val="0"/>
                    <w:spacing w:line="276" w:lineRule="auto"/>
                    <w:jc w:val="center"/>
                    <w:rPr>
                      <w:color w:val="auto"/>
                      <w:szCs w:val="21"/>
                    </w:rPr>
                  </w:pPr>
                  <w:r>
                    <w:rPr>
                      <w:color w:val="auto"/>
                      <w:szCs w:val="21"/>
                    </w:rPr>
                    <w:t>原料库</w:t>
                  </w:r>
                  <w:r>
                    <w:rPr>
                      <w:rFonts w:hint="eastAsia"/>
                      <w:color w:val="auto"/>
                      <w:szCs w:val="21"/>
                    </w:rPr>
                    <w:t>2</w:t>
                  </w:r>
                </w:p>
              </w:tc>
              <w:tc>
                <w:tcPr>
                  <w:tcW w:w="606" w:type="dxa"/>
                  <w:vAlign w:val="center"/>
                </w:tcPr>
                <w:p w14:paraId="7A38A790">
                  <w:pPr>
                    <w:autoSpaceDE w:val="0"/>
                    <w:autoSpaceDN w:val="0"/>
                    <w:adjustRightInd w:val="0"/>
                    <w:snapToGrid w:val="0"/>
                    <w:spacing w:line="276" w:lineRule="auto"/>
                    <w:jc w:val="center"/>
                    <w:rPr>
                      <w:color w:val="auto"/>
                      <w:szCs w:val="21"/>
                    </w:rPr>
                  </w:pPr>
                  <w:r>
                    <w:rPr>
                      <w:color w:val="auto"/>
                      <w:szCs w:val="21"/>
                    </w:rPr>
                    <w:t>外购</w:t>
                  </w:r>
                </w:p>
              </w:tc>
            </w:tr>
            <w:tr w14:paraId="307585E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14:paraId="2EE5DBE5">
                  <w:pPr>
                    <w:autoSpaceDE w:val="0"/>
                    <w:autoSpaceDN w:val="0"/>
                    <w:adjustRightInd w:val="0"/>
                    <w:snapToGrid w:val="0"/>
                    <w:spacing w:line="276" w:lineRule="auto"/>
                    <w:jc w:val="center"/>
                    <w:rPr>
                      <w:color w:val="auto"/>
                      <w:szCs w:val="21"/>
                    </w:rPr>
                  </w:pPr>
                  <w:r>
                    <w:rPr>
                      <w:rFonts w:hint="eastAsia"/>
                      <w:color w:val="auto"/>
                      <w:szCs w:val="21"/>
                    </w:rPr>
                    <w:t>4</w:t>
                  </w:r>
                </w:p>
              </w:tc>
              <w:tc>
                <w:tcPr>
                  <w:tcW w:w="708" w:type="dxa"/>
                  <w:vAlign w:val="center"/>
                </w:tcPr>
                <w:p w14:paraId="719D18CE">
                  <w:pPr>
                    <w:autoSpaceDE w:val="0"/>
                    <w:autoSpaceDN w:val="0"/>
                    <w:adjustRightInd w:val="0"/>
                    <w:snapToGrid w:val="0"/>
                    <w:spacing w:line="276" w:lineRule="auto"/>
                    <w:jc w:val="center"/>
                    <w:rPr>
                      <w:color w:val="auto"/>
                      <w:szCs w:val="21"/>
                    </w:rPr>
                  </w:pPr>
                  <w:r>
                    <w:rPr>
                      <w:color w:val="auto"/>
                      <w:szCs w:val="21"/>
                    </w:rPr>
                    <w:t>无铅玻璃釉料</w:t>
                  </w:r>
                </w:p>
              </w:tc>
              <w:tc>
                <w:tcPr>
                  <w:tcW w:w="709" w:type="dxa"/>
                  <w:vAlign w:val="center"/>
                </w:tcPr>
                <w:p w14:paraId="28A88CDE">
                  <w:pPr>
                    <w:autoSpaceDE w:val="0"/>
                    <w:autoSpaceDN w:val="0"/>
                    <w:adjustRightInd w:val="0"/>
                    <w:snapToGrid w:val="0"/>
                    <w:spacing w:line="276" w:lineRule="auto"/>
                    <w:jc w:val="center"/>
                    <w:rPr>
                      <w:color w:val="auto"/>
                      <w:szCs w:val="21"/>
                    </w:rPr>
                  </w:pPr>
                  <w:r>
                    <w:rPr>
                      <w:rFonts w:hint="eastAsia"/>
                      <w:color w:val="auto"/>
                      <w:szCs w:val="21"/>
                    </w:rPr>
                    <w:t>固</w:t>
                  </w:r>
                  <w:r>
                    <w:rPr>
                      <w:color w:val="auto"/>
                      <w:szCs w:val="21"/>
                    </w:rPr>
                    <w:t>态</w:t>
                  </w:r>
                </w:p>
              </w:tc>
              <w:tc>
                <w:tcPr>
                  <w:tcW w:w="851" w:type="dxa"/>
                  <w:vAlign w:val="center"/>
                </w:tcPr>
                <w:p w14:paraId="098A0518">
                  <w:pPr>
                    <w:autoSpaceDE w:val="0"/>
                    <w:autoSpaceDN w:val="0"/>
                    <w:adjustRightInd w:val="0"/>
                    <w:snapToGrid w:val="0"/>
                    <w:spacing w:line="276" w:lineRule="auto"/>
                    <w:jc w:val="center"/>
                    <w:rPr>
                      <w:color w:val="auto"/>
                      <w:szCs w:val="21"/>
                    </w:rPr>
                  </w:pPr>
                  <w:r>
                    <w:rPr>
                      <w:color w:val="auto"/>
                      <w:szCs w:val="21"/>
                    </w:rPr>
                    <w:t>袋装，</w:t>
                  </w:r>
                  <w:r>
                    <w:rPr>
                      <w:rFonts w:hint="eastAsia"/>
                      <w:color w:val="auto"/>
                      <w:szCs w:val="21"/>
                    </w:rPr>
                    <w:t>20kg/袋</w:t>
                  </w:r>
                </w:p>
              </w:tc>
              <w:tc>
                <w:tcPr>
                  <w:tcW w:w="992" w:type="dxa"/>
                  <w:vAlign w:val="center"/>
                </w:tcPr>
                <w:p w14:paraId="7D621857">
                  <w:pPr>
                    <w:autoSpaceDE w:val="0"/>
                    <w:autoSpaceDN w:val="0"/>
                    <w:adjustRightInd w:val="0"/>
                    <w:snapToGrid w:val="0"/>
                    <w:spacing w:line="276" w:lineRule="auto"/>
                    <w:jc w:val="center"/>
                    <w:rPr>
                      <w:color w:val="auto"/>
                      <w:szCs w:val="21"/>
                    </w:rPr>
                  </w:pPr>
                  <w:r>
                    <w:rPr>
                      <w:rFonts w:hint="eastAsia"/>
                      <w:color w:val="auto"/>
                      <w:szCs w:val="21"/>
                    </w:rPr>
                    <w:t>1.0</w:t>
                  </w:r>
                </w:p>
              </w:tc>
              <w:tc>
                <w:tcPr>
                  <w:tcW w:w="850" w:type="dxa"/>
                  <w:vAlign w:val="center"/>
                </w:tcPr>
                <w:p w14:paraId="3754B762">
                  <w:pPr>
                    <w:autoSpaceDE w:val="0"/>
                    <w:autoSpaceDN w:val="0"/>
                    <w:adjustRightInd w:val="0"/>
                    <w:snapToGrid w:val="0"/>
                    <w:spacing w:line="276" w:lineRule="auto"/>
                    <w:jc w:val="center"/>
                    <w:rPr>
                      <w:color w:val="auto"/>
                      <w:szCs w:val="21"/>
                    </w:rPr>
                  </w:pPr>
                  <w:r>
                    <w:rPr>
                      <w:rFonts w:hint="eastAsia"/>
                      <w:color w:val="auto"/>
                      <w:szCs w:val="21"/>
                    </w:rPr>
                    <w:t>1.0</w:t>
                  </w:r>
                </w:p>
              </w:tc>
              <w:tc>
                <w:tcPr>
                  <w:tcW w:w="851" w:type="dxa"/>
                  <w:vAlign w:val="center"/>
                </w:tcPr>
                <w:p w14:paraId="2D1DB68C">
                  <w:pPr>
                    <w:autoSpaceDE w:val="0"/>
                    <w:autoSpaceDN w:val="0"/>
                    <w:adjustRightInd w:val="0"/>
                    <w:snapToGrid w:val="0"/>
                    <w:spacing w:line="276" w:lineRule="auto"/>
                    <w:jc w:val="center"/>
                    <w:rPr>
                      <w:color w:val="auto"/>
                      <w:szCs w:val="21"/>
                    </w:rPr>
                  </w:pPr>
                  <w:r>
                    <w:rPr>
                      <w:rFonts w:hint="eastAsia"/>
                      <w:color w:val="auto"/>
                      <w:szCs w:val="21"/>
                    </w:rPr>
                    <w:t>0</w:t>
                  </w:r>
                </w:p>
              </w:tc>
              <w:tc>
                <w:tcPr>
                  <w:tcW w:w="709" w:type="dxa"/>
                  <w:vAlign w:val="center"/>
                </w:tcPr>
                <w:p w14:paraId="5A5192AC">
                  <w:pPr>
                    <w:autoSpaceDE w:val="0"/>
                    <w:autoSpaceDN w:val="0"/>
                    <w:adjustRightInd w:val="0"/>
                    <w:snapToGrid w:val="0"/>
                    <w:spacing w:line="276" w:lineRule="auto"/>
                    <w:jc w:val="center"/>
                    <w:rPr>
                      <w:color w:val="auto"/>
                      <w:szCs w:val="21"/>
                    </w:rPr>
                  </w:pPr>
                  <w:r>
                    <w:rPr>
                      <w:rFonts w:hint="eastAsia"/>
                      <w:color w:val="auto"/>
                      <w:szCs w:val="21"/>
                    </w:rPr>
                    <w:t>0.1</w:t>
                  </w:r>
                </w:p>
              </w:tc>
              <w:tc>
                <w:tcPr>
                  <w:tcW w:w="708" w:type="dxa"/>
                  <w:vAlign w:val="center"/>
                </w:tcPr>
                <w:p w14:paraId="3C140445">
                  <w:pPr>
                    <w:autoSpaceDE w:val="0"/>
                    <w:autoSpaceDN w:val="0"/>
                    <w:adjustRightInd w:val="0"/>
                    <w:snapToGrid w:val="0"/>
                    <w:spacing w:line="276" w:lineRule="auto"/>
                    <w:jc w:val="center"/>
                    <w:rPr>
                      <w:color w:val="auto"/>
                      <w:szCs w:val="21"/>
                    </w:rPr>
                  </w:pPr>
                  <w:r>
                    <w:rPr>
                      <w:rFonts w:hint="eastAsia"/>
                      <w:color w:val="auto"/>
                      <w:szCs w:val="21"/>
                    </w:rPr>
                    <w:t>40d</w:t>
                  </w:r>
                </w:p>
              </w:tc>
              <w:tc>
                <w:tcPr>
                  <w:tcW w:w="631" w:type="dxa"/>
                  <w:vAlign w:val="center"/>
                </w:tcPr>
                <w:p w14:paraId="007D08FE">
                  <w:pPr>
                    <w:autoSpaceDE w:val="0"/>
                    <w:autoSpaceDN w:val="0"/>
                    <w:adjustRightInd w:val="0"/>
                    <w:snapToGrid w:val="0"/>
                    <w:spacing w:line="276" w:lineRule="auto"/>
                    <w:jc w:val="center"/>
                    <w:rPr>
                      <w:color w:val="auto"/>
                      <w:szCs w:val="21"/>
                    </w:rPr>
                  </w:pPr>
                  <w:r>
                    <w:rPr>
                      <w:color w:val="auto"/>
                      <w:szCs w:val="21"/>
                    </w:rPr>
                    <w:t>原料库</w:t>
                  </w:r>
                  <w:r>
                    <w:rPr>
                      <w:rFonts w:hint="eastAsia"/>
                      <w:color w:val="auto"/>
                      <w:szCs w:val="21"/>
                    </w:rPr>
                    <w:t>2</w:t>
                  </w:r>
                </w:p>
              </w:tc>
              <w:tc>
                <w:tcPr>
                  <w:tcW w:w="606" w:type="dxa"/>
                  <w:vAlign w:val="center"/>
                </w:tcPr>
                <w:p w14:paraId="56F4EC1C">
                  <w:pPr>
                    <w:autoSpaceDE w:val="0"/>
                    <w:autoSpaceDN w:val="0"/>
                    <w:adjustRightInd w:val="0"/>
                    <w:snapToGrid w:val="0"/>
                    <w:spacing w:line="276" w:lineRule="auto"/>
                    <w:jc w:val="center"/>
                    <w:rPr>
                      <w:color w:val="auto"/>
                      <w:szCs w:val="21"/>
                    </w:rPr>
                  </w:pPr>
                  <w:r>
                    <w:rPr>
                      <w:color w:val="auto"/>
                      <w:szCs w:val="21"/>
                    </w:rPr>
                    <w:t>外购</w:t>
                  </w:r>
                </w:p>
              </w:tc>
            </w:tr>
            <w:tr w14:paraId="2A561B7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162" w:type="dxa"/>
                  <w:gridSpan w:val="11"/>
                  <w:vAlign w:val="center"/>
                </w:tcPr>
                <w:p w14:paraId="7AA85FD4">
                  <w:pPr>
                    <w:autoSpaceDE w:val="0"/>
                    <w:autoSpaceDN w:val="0"/>
                    <w:adjustRightInd w:val="0"/>
                    <w:snapToGrid w:val="0"/>
                    <w:spacing w:line="276" w:lineRule="auto"/>
                    <w:jc w:val="center"/>
                    <w:rPr>
                      <w:b/>
                      <w:color w:val="auto"/>
                      <w:szCs w:val="21"/>
                    </w:rPr>
                  </w:pPr>
                  <w:r>
                    <w:rPr>
                      <w:b/>
                      <w:color w:val="auto"/>
                      <w:szCs w:val="21"/>
                    </w:rPr>
                    <w:t>着色玻璃制品生产原辅材料消耗</w:t>
                  </w:r>
                </w:p>
              </w:tc>
            </w:tr>
            <w:tr w14:paraId="6C1EBB5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14:paraId="39AC15A6">
                  <w:pPr>
                    <w:autoSpaceDE w:val="0"/>
                    <w:autoSpaceDN w:val="0"/>
                    <w:adjustRightInd w:val="0"/>
                    <w:snapToGrid w:val="0"/>
                    <w:spacing w:line="276" w:lineRule="auto"/>
                    <w:jc w:val="center"/>
                    <w:rPr>
                      <w:color w:val="auto"/>
                      <w:szCs w:val="21"/>
                    </w:rPr>
                  </w:pPr>
                  <w:r>
                    <w:rPr>
                      <w:rFonts w:hint="eastAsia"/>
                      <w:color w:val="auto"/>
                      <w:szCs w:val="21"/>
                    </w:rPr>
                    <w:t>1</w:t>
                  </w:r>
                </w:p>
              </w:tc>
              <w:tc>
                <w:tcPr>
                  <w:tcW w:w="708" w:type="dxa"/>
                  <w:vAlign w:val="center"/>
                </w:tcPr>
                <w:p w14:paraId="7AD3B43B">
                  <w:pPr>
                    <w:autoSpaceDE w:val="0"/>
                    <w:autoSpaceDN w:val="0"/>
                    <w:adjustRightInd w:val="0"/>
                    <w:snapToGrid w:val="0"/>
                    <w:spacing w:line="276" w:lineRule="auto"/>
                    <w:jc w:val="center"/>
                    <w:rPr>
                      <w:color w:val="auto"/>
                      <w:szCs w:val="21"/>
                    </w:rPr>
                  </w:pPr>
                  <w:r>
                    <w:rPr>
                      <w:color w:val="auto"/>
                      <w:szCs w:val="21"/>
                    </w:rPr>
                    <w:t>玻璃制品</w:t>
                  </w:r>
                </w:p>
              </w:tc>
              <w:tc>
                <w:tcPr>
                  <w:tcW w:w="709" w:type="dxa"/>
                  <w:vAlign w:val="center"/>
                </w:tcPr>
                <w:p w14:paraId="51AA222D">
                  <w:pPr>
                    <w:autoSpaceDE w:val="0"/>
                    <w:autoSpaceDN w:val="0"/>
                    <w:adjustRightInd w:val="0"/>
                    <w:snapToGrid w:val="0"/>
                    <w:spacing w:line="276" w:lineRule="auto"/>
                    <w:jc w:val="center"/>
                    <w:rPr>
                      <w:color w:val="auto"/>
                      <w:szCs w:val="21"/>
                    </w:rPr>
                  </w:pPr>
                  <w:r>
                    <w:rPr>
                      <w:color w:val="auto"/>
                      <w:szCs w:val="21"/>
                    </w:rPr>
                    <w:t>固态</w:t>
                  </w:r>
                </w:p>
              </w:tc>
              <w:tc>
                <w:tcPr>
                  <w:tcW w:w="851" w:type="dxa"/>
                  <w:vAlign w:val="center"/>
                </w:tcPr>
                <w:p w14:paraId="430BBF04">
                  <w:pPr>
                    <w:autoSpaceDE w:val="0"/>
                    <w:autoSpaceDN w:val="0"/>
                    <w:adjustRightInd w:val="0"/>
                    <w:snapToGrid w:val="0"/>
                    <w:spacing w:line="276" w:lineRule="auto"/>
                    <w:jc w:val="center"/>
                    <w:rPr>
                      <w:color w:val="auto"/>
                      <w:szCs w:val="21"/>
                    </w:rPr>
                  </w:pPr>
                  <w:r>
                    <w:rPr>
                      <w:rFonts w:hint="eastAsia"/>
                      <w:color w:val="auto"/>
                      <w:szCs w:val="21"/>
                    </w:rPr>
                    <w:t>/</w:t>
                  </w:r>
                </w:p>
              </w:tc>
              <w:tc>
                <w:tcPr>
                  <w:tcW w:w="992" w:type="dxa"/>
                  <w:vAlign w:val="center"/>
                </w:tcPr>
                <w:p w14:paraId="14AFC0BC">
                  <w:pPr>
                    <w:autoSpaceDE w:val="0"/>
                    <w:autoSpaceDN w:val="0"/>
                    <w:adjustRightInd w:val="0"/>
                    <w:snapToGrid w:val="0"/>
                    <w:spacing w:line="276" w:lineRule="auto"/>
                    <w:jc w:val="center"/>
                    <w:rPr>
                      <w:color w:val="auto"/>
                      <w:szCs w:val="21"/>
                    </w:rPr>
                  </w:pPr>
                  <w:r>
                    <w:rPr>
                      <w:rFonts w:hint="eastAsia"/>
                      <w:color w:val="auto"/>
                      <w:szCs w:val="21"/>
                    </w:rPr>
                    <w:t>0</w:t>
                  </w:r>
                </w:p>
              </w:tc>
              <w:tc>
                <w:tcPr>
                  <w:tcW w:w="850" w:type="dxa"/>
                  <w:vAlign w:val="center"/>
                </w:tcPr>
                <w:p w14:paraId="3023C2C5">
                  <w:pPr>
                    <w:autoSpaceDE w:val="0"/>
                    <w:autoSpaceDN w:val="0"/>
                    <w:adjustRightInd w:val="0"/>
                    <w:snapToGrid w:val="0"/>
                    <w:spacing w:line="276" w:lineRule="auto"/>
                    <w:jc w:val="center"/>
                    <w:rPr>
                      <w:color w:val="auto"/>
                      <w:szCs w:val="21"/>
                    </w:rPr>
                  </w:pPr>
                  <w:r>
                    <w:rPr>
                      <w:rFonts w:hint="eastAsia"/>
                      <w:color w:val="auto"/>
                      <w:szCs w:val="21"/>
                    </w:rPr>
                    <w:t>1500万只</w:t>
                  </w:r>
                </w:p>
              </w:tc>
              <w:tc>
                <w:tcPr>
                  <w:tcW w:w="851" w:type="dxa"/>
                  <w:vAlign w:val="center"/>
                </w:tcPr>
                <w:p w14:paraId="0A451547">
                  <w:pPr>
                    <w:autoSpaceDE w:val="0"/>
                    <w:autoSpaceDN w:val="0"/>
                    <w:adjustRightInd w:val="0"/>
                    <w:snapToGrid w:val="0"/>
                    <w:spacing w:line="276" w:lineRule="auto"/>
                    <w:jc w:val="center"/>
                    <w:rPr>
                      <w:color w:val="auto"/>
                      <w:szCs w:val="21"/>
                    </w:rPr>
                  </w:pPr>
                  <w:r>
                    <w:rPr>
                      <w:rFonts w:hint="eastAsia"/>
                      <w:color w:val="auto"/>
                      <w:szCs w:val="21"/>
                    </w:rPr>
                    <w:t>+1500万只</w:t>
                  </w:r>
                </w:p>
              </w:tc>
              <w:tc>
                <w:tcPr>
                  <w:tcW w:w="709" w:type="dxa"/>
                  <w:vAlign w:val="center"/>
                </w:tcPr>
                <w:p w14:paraId="3FE45B5A">
                  <w:pPr>
                    <w:autoSpaceDE w:val="0"/>
                    <w:autoSpaceDN w:val="0"/>
                    <w:adjustRightInd w:val="0"/>
                    <w:snapToGrid w:val="0"/>
                    <w:spacing w:line="276" w:lineRule="auto"/>
                    <w:jc w:val="center"/>
                    <w:rPr>
                      <w:color w:val="auto"/>
                      <w:szCs w:val="21"/>
                    </w:rPr>
                  </w:pPr>
                  <w:r>
                    <w:rPr>
                      <w:rFonts w:hint="eastAsia"/>
                      <w:color w:val="auto"/>
                      <w:szCs w:val="21"/>
                    </w:rPr>
                    <w:t>/</w:t>
                  </w:r>
                </w:p>
              </w:tc>
              <w:tc>
                <w:tcPr>
                  <w:tcW w:w="708" w:type="dxa"/>
                  <w:vAlign w:val="center"/>
                </w:tcPr>
                <w:p w14:paraId="55ED7160">
                  <w:pPr>
                    <w:autoSpaceDE w:val="0"/>
                    <w:autoSpaceDN w:val="0"/>
                    <w:adjustRightInd w:val="0"/>
                    <w:snapToGrid w:val="0"/>
                    <w:spacing w:line="276" w:lineRule="auto"/>
                    <w:jc w:val="center"/>
                    <w:rPr>
                      <w:color w:val="auto"/>
                      <w:szCs w:val="21"/>
                    </w:rPr>
                  </w:pPr>
                  <w:r>
                    <w:rPr>
                      <w:rFonts w:hint="eastAsia"/>
                      <w:color w:val="auto"/>
                      <w:szCs w:val="21"/>
                    </w:rPr>
                    <w:t>/</w:t>
                  </w:r>
                </w:p>
              </w:tc>
              <w:tc>
                <w:tcPr>
                  <w:tcW w:w="631" w:type="dxa"/>
                  <w:vAlign w:val="center"/>
                </w:tcPr>
                <w:p w14:paraId="6AF94267">
                  <w:pPr>
                    <w:autoSpaceDE w:val="0"/>
                    <w:autoSpaceDN w:val="0"/>
                    <w:adjustRightInd w:val="0"/>
                    <w:snapToGrid w:val="0"/>
                    <w:spacing w:line="276" w:lineRule="auto"/>
                    <w:jc w:val="center"/>
                    <w:rPr>
                      <w:color w:val="auto"/>
                      <w:szCs w:val="21"/>
                    </w:rPr>
                  </w:pPr>
                  <w:r>
                    <w:rPr>
                      <w:rFonts w:hint="eastAsia"/>
                      <w:color w:val="auto"/>
                      <w:szCs w:val="21"/>
                    </w:rPr>
                    <w:t>/</w:t>
                  </w:r>
                </w:p>
              </w:tc>
              <w:tc>
                <w:tcPr>
                  <w:tcW w:w="606" w:type="dxa"/>
                  <w:vAlign w:val="center"/>
                </w:tcPr>
                <w:p w14:paraId="683BBF5F">
                  <w:pPr>
                    <w:autoSpaceDE w:val="0"/>
                    <w:autoSpaceDN w:val="0"/>
                    <w:adjustRightInd w:val="0"/>
                    <w:snapToGrid w:val="0"/>
                    <w:spacing w:line="276" w:lineRule="auto"/>
                    <w:jc w:val="center"/>
                    <w:rPr>
                      <w:color w:val="auto"/>
                      <w:szCs w:val="21"/>
                    </w:rPr>
                  </w:pPr>
                  <w:r>
                    <w:rPr>
                      <w:color w:val="auto"/>
                      <w:szCs w:val="21"/>
                    </w:rPr>
                    <w:t>厂区一车间、三车间玻璃生产线自产提供</w:t>
                  </w:r>
                </w:p>
              </w:tc>
            </w:tr>
            <w:tr w14:paraId="0140E43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14:paraId="78EA74B3">
                  <w:pPr>
                    <w:autoSpaceDE w:val="0"/>
                    <w:autoSpaceDN w:val="0"/>
                    <w:adjustRightInd w:val="0"/>
                    <w:snapToGrid w:val="0"/>
                    <w:spacing w:line="276" w:lineRule="auto"/>
                    <w:jc w:val="center"/>
                    <w:rPr>
                      <w:color w:val="auto"/>
                      <w:szCs w:val="21"/>
                    </w:rPr>
                  </w:pPr>
                  <w:r>
                    <w:rPr>
                      <w:rFonts w:hint="eastAsia"/>
                      <w:color w:val="auto"/>
                      <w:szCs w:val="21"/>
                    </w:rPr>
                    <w:t>2</w:t>
                  </w:r>
                </w:p>
              </w:tc>
              <w:tc>
                <w:tcPr>
                  <w:tcW w:w="708" w:type="dxa"/>
                  <w:vAlign w:val="center"/>
                </w:tcPr>
                <w:p w14:paraId="40148C21">
                  <w:pPr>
                    <w:autoSpaceDE w:val="0"/>
                    <w:autoSpaceDN w:val="0"/>
                    <w:adjustRightInd w:val="0"/>
                    <w:snapToGrid w:val="0"/>
                    <w:spacing w:line="276" w:lineRule="auto"/>
                    <w:jc w:val="center"/>
                    <w:rPr>
                      <w:color w:val="auto"/>
                      <w:szCs w:val="21"/>
                    </w:rPr>
                  </w:pPr>
                  <w:r>
                    <w:rPr>
                      <w:color w:val="auto"/>
                      <w:szCs w:val="21"/>
                    </w:rPr>
                    <w:t>水性漆</w:t>
                  </w:r>
                </w:p>
              </w:tc>
              <w:tc>
                <w:tcPr>
                  <w:tcW w:w="709" w:type="dxa"/>
                  <w:vAlign w:val="center"/>
                </w:tcPr>
                <w:p w14:paraId="299A2AF6">
                  <w:pPr>
                    <w:autoSpaceDE w:val="0"/>
                    <w:autoSpaceDN w:val="0"/>
                    <w:adjustRightInd w:val="0"/>
                    <w:snapToGrid w:val="0"/>
                    <w:spacing w:line="276" w:lineRule="auto"/>
                    <w:jc w:val="center"/>
                    <w:rPr>
                      <w:color w:val="auto"/>
                      <w:szCs w:val="21"/>
                    </w:rPr>
                  </w:pPr>
                  <w:r>
                    <w:rPr>
                      <w:color w:val="auto"/>
                      <w:szCs w:val="21"/>
                    </w:rPr>
                    <w:t>液态</w:t>
                  </w:r>
                </w:p>
              </w:tc>
              <w:tc>
                <w:tcPr>
                  <w:tcW w:w="851" w:type="dxa"/>
                  <w:vAlign w:val="center"/>
                </w:tcPr>
                <w:p w14:paraId="03D1A80C">
                  <w:pPr>
                    <w:autoSpaceDE w:val="0"/>
                    <w:autoSpaceDN w:val="0"/>
                    <w:adjustRightInd w:val="0"/>
                    <w:snapToGrid w:val="0"/>
                    <w:spacing w:line="276" w:lineRule="auto"/>
                    <w:jc w:val="center"/>
                    <w:rPr>
                      <w:color w:val="auto"/>
                      <w:szCs w:val="21"/>
                    </w:rPr>
                  </w:pPr>
                  <w:r>
                    <w:rPr>
                      <w:color w:val="auto"/>
                      <w:szCs w:val="21"/>
                    </w:rPr>
                    <w:t>桶装，</w:t>
                  </w:r>
                  <w:r>
                    <w:rPr>
                      <w:rFonts w:hint="eastAsia"/>
                      <w:color w:val="auto"/>
                      <w:szCs w:val="21"/>
                    </w:rPr>
                    <w:t>20kg/桶</w:t>
                  </w:r>
                </w:p>
              </w:tc>
              <w:tc>
                <w:tcPr>
                  <w:tcW w:w="992" w:type="dxa"/>
                  <w:vAlign w:val="center"/>
                </w:tcPr>
                <w:p w14:paraId="4F1521AA">
                  <w:pPr>
                    <w:autoSpaceDE w:val="0"/>
                    <w:autoSpaceDN w:val="0"/>
                    <w:adjustRightInd w:val="0"/>
                    <w:snapToGrid w:val="0"/>
                    <w:spacing w:line="276" w:lineRule="auto"/>
                    <w:jc w:val="center"/>
                    <w:rPr>
                      <w:color w:val="auto"/>
                      <w:szCs w:val="21"/>
                    </w:rPr>
                  </w:pPr>
                  <w:r>
                    <w:rPr>
                      <w:rFonts w:hint="eastAsia"/>
                      <w:color w:val="auto"/>
                      <w:szCs w:val="21"/>
                    </w:rPr>
                    <w:t>0</w:t>
                  </w:r>
                </w:p>
              </w:tc>
              <w:tc>
                <w:tcPr>
                  <w:tcW w:w="850" w:type="dxa"/>
                  <w:vAlign w:val="center"/>
                </w:tcPr>
                <w:p w14:paraId="2EFF6DE5">
                  <w:pPr>
                    <w:autoSpaceDE w:val="0"/>
                    <w:autoSpaceDN w:val="0"/>
                    <w:adjustRightInd w:val="0"/>
                    <w:snapToGrid w:val="0"/>
                    <w:spacing w:line="276" w:lineRule="auto"/>
                    <w:jc w:val="center"/>
                    <w:rPr>
                      <w:color w:val="auto"/>
                      <w:szCs w:val="21"/>
                    </w:rPr>
                  </w:pPr>
                  <w:r>
                    <w:rPr>
                      <w:rFonts w:hint="eastAsia"/>
                      <w:color w:val="auto"/>
                      <w:szCs w:val="21"/>
                    </w:rPr>
                    <w:t>45</w:t>
                  </w:r>
                </w:p>
              </w:tc>
              <w:tc>
                <w:tcPr>
                  <w:tcW w:w="851" w:type="dxa"/>
                  <w:vAlign w:val="center"/>
                </w:tcPr>
                <w:p w14:paraId="0F1D80B7">
                  <w:pPr>
                    <w:autoSpaceDE w:val="0"/>
                    <w:autoSpaceDN w:val="0"/>
                    <w:adjustRightInd w:val="0"/>
                    <w:snapToGrid w:val="0"/>
                    <w:spacing w:line="276" w:lineRule="auto"/>
                    <w:jc w:val="center"/>
                    <w:rPr>
                      <w:color w:val="auto"/>
                      <w:szCs w:val="21"/>
                    </w:rPr>
                  </w:pPr>
                  <w:r>
                    <w:rPr>
                      <w:rFonts w:hint="eastAsia"/>
                      <w:color w:val="auto"/>
                      <w:szCs w:val="21"/>
                    </w:rPr>
                    <w:t>+45</w:t>
                  </w:r>
                </w:p>
              </w:tc>
              <w:tc>
                <w:tcPr>
                  <w:tcW w:w="709" w:type="dxa"/>
                  <w:vAlign w:val="center"/>
                </w:tcPr>
                <w:p w14:paraId="23742564">
                  <w:pPr>
                    <w:autoSpaceDE w:val="0"/>
                    <w:autoSpaceDN w:val="0"/>
                    <w:adjustRightInd w:val="0"/>
                    <w:snapToGrid w:val="0"/>
                    <w:spacing w:line="276" w:lineRule="auto"/>
                    <w:jc w:val="center"/>
                    <w:rPr>
                      <w:color w:val="auto"/>
                      <w:szCs w:val="21"/>
                    </w:rPr>
                  </w:pPr>
                  <w:r>
                    <w:rPr>
                      <w:rFonts w:hint="eastAsia"/>
                      <w:color w:val="auto"/>
                      <w:szCs w:val="21"/>
                    </w:rPr>
                    <w:t>0.4</w:t>
                  </w:r>
                </w:p>
              </w:tc>
              <w:tc>
                <w:tcPr>
                  <w:tcW w:w="708" w:type="dxa"/>
                  <w:vAlign w:val="center"/>
                </w:tcPr>
                <w:p w14:paraId="096F68E0">
                  <w:pPr>
                    <w:autoSpaceDE w:val="0"/>
                    <w:autoSpaceDN w:val="0"/>
                    <w:adjustRightInd w:val="0"/>
                    <w:snapToGrid w:val="0"/>
                    <w:spacing w:line="276" w:lineRule="auto"/>
                    <w:jc w:val="center"/>
                    <w:rPr>
                      <w:color w:val="auto"/>
                      <w:szCs w:val="21"/>
                    </w:rPr>
                  </w:pPr>
                  <w:r>
                    <w:rPr>
                      <w:rFonts w:hint="eastAsia"/>
                      <w:color w:val="auto"/>
                      <w:szCs w:val="21"/>
                    </w:rPr>
                    <w:t>3d</w:t>
                  </w:r>
                </w:p>
              </w:tc>
              <w:tc>
                <w:tcPr>
                  <w:tcW w:w="631" w:type="dxa"/>
                  <w:vAlign w:val="center"/>
                </w:tcPr>
                <w:p w14:paraId="3968B4E4">
                  <w:pPr>
                    <w:autoSpaceDE w:val="0"/>
                    <w:autoSpaceDN w:val="0"/>
                    <w:adjustRightInd w:val="0"/>
                    <w:snapToGrid w:val="0"/>
                    <w:spacing w:line="276" w:lineRule="auto"/>
                    <w:jc w:val="center"/>
                    <w:rPr>
                      <w:color w:val="auto"/>
                      <w:szCs w:val="21"/>
                    </w:rPr>
                  </w:pPr>
                  <w:r>
                    <w:rPr>
                      <w:color w:val="auto"/>
                      <w:szCs w:val="21"/>
                    </w:rPr>
                    <w:t>原料库</w:t>
                  </w:r>
                  <w:r>
                    <w:rPr>
                      <w:rFonts w:hint="eastAsia"/>
                      <w:color w:val="auto"/>
                      <w:szCs w:val="21"/>
                    </w:rPr>
                    <w:t>2</w:t>
                  </w:r>
                </w:p>
              </w:tc>
              <w:tc>
                <w:tcPr>
                  <w:tcW w:w="606" w:type="dxa"/>
                  <w:vAlign w:val="center"/>
                </w:tcPr>
                <w:p w14:paraId="578756FB">
                  <w:pPr>
                    <w:autoSpaceDE w:val="0"/>
                    <w:autoSpaceDN w:val="0"/>
                    <w:adjustRightInd w:val="0"/>
                    <w:snapToGrid w:val="0"/>
                    <w:spacing w:line="276" w:lineRule="auto"/>
                    <w:jc w:val="center"/>
                    <w:rPr>
                      <w:color w:val="auto"/>
                      <w:szCs w:val="21"/>
                    </w:rPr>
                  </w:pPr>
                  <w:r>
                    <w:rPr>
                      <w:color w:val="auto"/>
                      <w:szCs w:val="21"/>
                    </w:rPr>
                    <w:t>外购</w:t>
                  </w:r>
                </w:p>
              </w:tc>
            </w:tr>
            <w:tr w14:paraId="77050BD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162" w:type="dxa"/>
                  <w:gridSpan w:val="11"/>
                  <w:vAlign w:val="center"/>
                </w:tcPr>
                <w:p w14:paraId="28C3C9A8">
                  <w:pPr>
                    <w:autoSpaceDE w:val="0"/>
                    <w:autoSpaceDN w:val="0"/>
                    <w:adjustRightInd w:val="0"/>
                    <w:snapToGrid w:val="0"/>
                    <w:spacing w:line="276" w:lineRule="auto"/>
                    <w:jc w:val="center"/>
                    <w:rPr>
                      <w:b/>
                      <w:color w:val="auto"/>
                      <w:szCs w:val="21"/>
                    </w:rPr>
                  </w:pPr>
                  <w:r>
                    <w:rPr>
                      <w:b/>
                      <w:color w:val="auto"/>
                      <w:szCs w:val="21"/>
                    </w:rPr>
                    <w:t>能源消耗</w:t>
                  </w:r>
                </w:p>
              </w:tc>
            </w:tr>
            <w:tr w14:paraId="47D3072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14:paraId="47F8108A">
                  <w:pPr>
                    <w:autoSpaceDE w:val="0"/>
                    <w:autoSpaceDN w:val="0"/>
                    <w:adjustRightInd w:val="0"/>
                    <w:snapToGrid w:val="0"/>
                    <w:spacing w:line="276" w:lineRule="auto"/>
                    <w:jc w:val="center"/>
                    <w:rPr>
                      <w:color w:val="auto"/>
                      <w:szCs w:val="21"/>
                    </w:rPr>
                  </w:pPr>
                  <w:r>
                    <w:rPr>
                      <w:rFonts w:hint="eastAsia"/>
                      <w:color w:val="auto"/>
                      <w:szCs w:val="21"/>
                    </w:rPr>
                    <w:t>1</w:t>
                  </w:r>
                </w:p>
              </w:tc>
              <w:tc>
                <w:tcPr>
                  <w:tcW w:w="708" w:type="dxa"/>
                  <w:vAlign w:val="center"/>
                </w:tcPr>
                <w:p w14:paraId="6AE3261C">
                  <w:pPr>
                    <w:autoSpaceDE w:val="0"/>
                    <w:autoSpaceDN w:val="0"/>
                    <w:adjustRightInd w:val="0"/>
                    <w:snapToGrid w:val="0"/>
                    <w:spacing w:line="276" w:lineRule="auto"/>
                    <w:jc w:val="center"/>
                    <w:rPr>
                      <w:color w:val="auto"/>
                      <w:szCs w:val="21"/>
                    </w:rPr>
                  </w:pPr>
                  <w:r>
                    <w:rPr>
                      <w:color w:val="auto"/>
                      <w:szCs w:val="21"/>
                    </w:rPr>
                    <w:t>电</w:t>
                  </w:r>
                </w:p>
              </w:tc>
              <w:tc>
                <w:tcPr>
                  <w:tcW w:w="709" w:type="dxa"/>
                  <w:vAlign w:val="center"/>
                </w:tcPr>
                <w:p w14:paraId="633D65E5">
                  <w:pPr>
                    <w:autoSpaceDE w:val="0"/>
                    <w:autoSpaceDN w:val="0"/>
                    <w:adjustRightInd w:val="0"/>
                    <w:snapToGrid w:val="0"/>
                    <w:spacing w:line="276" w:lineRule="auto"/>
                    <w:jc w:val="center"/>
                    <w:rPr>
                      <w:color w:val="auto"/>
                      <w:szCs w:val="21"/>
                    </w:rPr>
                  </w:pPr>
                  <w:r>
                    <w:rPr>
                      <w:rFonts w:hint="eastAsia"/>
                      <w:color w:val="auto"/>
                      <w:szCs w:val="21"/>
                    </w:rPr>
                    <w:t>/</w:t>
                  </w:r>
                </w:p>
              </w:tc>
              <w:tc>
                <w:tcPr>
                  <w:tcW w:w="851" w:type="dxa"/>
                  <w:vAlign w:val="center"/>
                </w:tcPr>
                <w:p w14:paraId="5CDDED6A">
                  <w:pPr>
                    <w:autoSpaceDE w:val="0"/>
                    <w:autoSpaceDN w:val="0"/>
                    <w:adjustRightInd w:val="0"/>
                    <w:snapToGrid w:val="0"/>
                    <w:spacing w:line="276" w:lineRule="auto"/>
                    <w:jc w:val="center"/>
                    <w:rPr>
                      <w:color w:val="auto"/>
                      <w:szCs w:val="21"/>
                    </w:rPr>
                  </w:pPr>
                  <w:r>
                    <w:rPr>
                      <w:rFonts w:hint="eastAsia"/>
                      <w:color w:val="auto"/>
                      <w:szCs w:val="21"/>
                    </w:rPr>
                    <w:t>/</w:t>
                  </w:r>
                </w:p>
              </w:tc>
              <w:tc>
                <w:tcPr>
                  <w:tcW w:w="992" w:type="dxa"/>
                  <w:vAlign w:val="center"/>
                </w:tcPr>
                <w:p w14:paraId="1A8E0A84">
                  <w:pPr>
                    <w:autoSpaceDE w:val="0"/>
                    <w:autoSpaceDN w:val="0"/>
                    <w:adjustRightInd w:val="0"/>
                    <w:snapToGrid w:val="0"/>
                    <w:spacing w:line="276" w:lineRule="auto"/>
                    <w:jc w:val="center"/>
                    <w:rPr>
                      <w:color w:val="auto"/>
                      <w:szCs w:val="21"/>
                    </w:rPr>
                  </w:pPr>
                  <w:r>
                    <w:rPr>
                      <w:rFonts w:hint="eastAsia"/>
                      <w:color w:val="auto"/>
                      <w:szCs w:val="21"/>
                    </w:rPr>
                    <w:t>5940万kwh/a</w:t>
                  </w:r>
                </w:p>
              </w:tc>
              <w:tc>
                <w:tcPr>
                  <w:tcW w:w="850" w:type="dxa"/>
                  <w:vAlign w:val="center"/>
                </w:tcPr>
                <w:p w14:paraId="26BBCABE">
                  <w:pPr>
                    <w:autoSpaceDE w:val="0"/>
                    <w:autoSpaceDN w:val="0"/>
                    <w:adjustRightInd w:val="0"/>
                    <w:snapToGrid w:val="0"/>
                    <w:spacing w:line="276" w:lineRule="auto"/>
                    <w:jc w:val="center"/>
                    <w:rPr>
                      <w:color w:val="auto"/>
                      <w:szCs w:val="21"/>
                    </w:rPr>
                  </w:pPr>
                  <w:r>
                    <w:rPr>
                      <w:rFonts w:hint="eastAsia"/>
                      <w:color w:val="auto"/>
                      <w:szCs w:val="21"/>
                    </w:rPr>
                    <w:t>6012万kwh/a</w:t>
                  </w:r>
                </w:p>
              </w:tc>
              <w:tc>
                <w:tcPr>
                  <w:tcW w:w="851" w:type="dxa"/>
                  <w:vAlign w:val="center"/>
                </w:tcPr>
                <w:p w14:paraId="4DA42D8F">
                  <w:pPr>
                    <w:autoSpaceDE w:val="0"/>
                    <w:autoSpaceDN w:val="0"/>
                    <w:adjustRightInd w:val="0"/>
                    <w:snapToGrid w:val="0"/>
                    <w:spacing w:line="276" w:lineRule="auto"/>
                    <w:jc w:val="center"/>
                    <w:rPr>
                      <w:color w:val="auto"/>
                      <w:szCs w:val="21"/>
                    </w:rPr>
                  </w:pPr>
                  <w:r>
                    <w:rPr>
                      <w:rFonts w:hint="eastAsia"/>
                      <w:color w:val="auto"/>
                      <w:szCs w:val="21"/>
                    </w:rPr>
                    <w:t>+72万kw</w:t>
                  </w:r>
                  <w:r>
                    <w:rPr>
                      <w:color w:val="auto"/>
                      <w:szCs w:val="21"/>
                    </w:rPr>
                    <w:t>·</w:t>
                  </w:r>
                  <w:r>
                    <w:rPr>
                      <w:rFonts w:hint="eastAsia"/>
                      <w:color w:val="auto"/>
                      <w:szCs w:val="21"/>
                    </w:rPr>
                    <w:t>h</w:t>
                  </w:r>
                </w:p>
              </w:tc>
              <w:tc>
                <w:tcPr>
                  <w:tcW w:w="709" w:type="dxa"/>
                  <w:vAlign w:val="center"/>
                </w:tcPr>
                <w:p w14:paraId="310A77BE">
                  <w:pPr>
                    <w:autoSpaceDE w:val="0"/>
                    <w:autoSpaceDN w:val="0"/>
                    <w:adjustRightInd w:val="0"/>
                    <w:snapToGrid w:val="0"/>
                    <w:spacing w:line="276" w:lineRule="auto"/>
                    <w:jc w:val="center"/>
                    <w:rPr>
                      <w:color w:val="auto"/>
                      <w:szCs w:val="21"/>
                    </w:rPr>
                  </w:pPr>
                  <w:r>
                    <w:rPr>
                      <w:rFonts w:hint="eastAsia"/>
                      <w:color w:val="auto"/>
                      <w:szCs w:val="21"/>
                    </w:rPr>
                    <w:t>/</w:t>
                  </w:r>
                </w:p>
              </w:tc>
              <w:tc>
                <w:tcPr>
                  <w:tcW w:w="708" w:type="dxa"/>
                  <w:vAlign w:val="center"/>
                </w:tcPr>
                <w:p w14:paraId="67B4113B">
                  <w:pPr>
                    <w:autoSpaceDE w:val="0"/>
                    <w:autoSpaceDN w:val="0"/>
                    <w:adjustRightInd w:val="0"/>
                    <w:snapToGrid w:val="0"/>
                    <w:spacing w:line="276" w:lineRule="auto"/>
                    <w:jc w:val="center"/>
                    <w:rPr>
                      <w:color w:val="auto"/>
                      <w:szCs w:val="21"/>
                    </w:rPr>
                  </w:pPr>
                  <w:r>
                    <w:rPr>
                      <w:rFonts w:hint="eastAsia"/>
                      <w:color w:val="auto"/>
                      <w:szCs w:val="21"/>
                    </w:rPr>
                    <w:t>/</w:t>
                  </w:r>
                </w:p>
              </w:tc>
              <w:tc>
                <w:tcPr>
                  <w:tcW w:w="631" w:type="dxa"/>
                  <w:vAlign w:val="center"/>
                </w:tcPr>
                <w:p w14:paraId="73DE9165">
                  <w:pPr>
                    <w:autoSpaceDE w:val="0"/>
                    <w:autoSpaceDN w:val="0"/>
                    <w:adjustRightInd w:val="0"/>
                    <w:snapToGrid w:val="0"/>
                    <w:spacing w:line="276" w:lineRule="auto"/>
                    <w:jc w:val="center"/>
                    <w:rPr>
                      <w:color w:val="auto"/>
                      <w:szCs w:val="21"/>
                    </w:rPr>
                  </w:pPr>
                  <w:r>
                    <w:rPr>
                      <w:rFonts w:hint="eastAsia"/>
                      <w:color w:val="auto"/>
                      <w:szCs w:val="21"/>
                    </w:rPr>
                    <w:t>/</w:t>
                  </w:r>
                </w:p>
              </w:tc>
              <w:tc>
                <w:tcPr>
                  <w:tcW w:w="606" w:type="dxa"/>
                  <w:vAlign w:val="center"/>
                </w:tcPr>
                <w:p w14:paraId="39EEC8DD">
                  <w:pPr>
                    <w:autoSpaceDE w:val="0"/>
                    <w:autoSpaceDN w:val="0"/>
                    <w:adjustRightInd w:val="0"/>
                    <w:snapToGrid w:val="0"/>
                    <w:spacing w:line="276" w:lineRule="auto"/>
                    <w:jc w:val="center"/>
                    <w:rPr>
                      <w:color w:val="auto"/>
                      <w:szCs w:val="21"/>
                    </w:rPr>
                  </w:pPr>
                  <w:r>
                    <w:rPr>
                      <w:color w:val="auto"/>
                      <w:szCs w:val="21"/>
                    </w:rPr>
                    <w:t>市政电网</w:t>
                  </w:r>
                </w:p>
              </w:tc>
            </w:tr>
            <w:tr w14:paraId="19AFE85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14:paraId="384FDAA5">
                  <w:pPr>
                    <w:autoSpaceDE w:val="0"/>
                    <w:autoSpaceDN w:val="0"/>
                    <w:adjustRightInd w:val="0"/>
                    <w:snapToGrid w:val="0"/>
                    <w:spacing w:line="276" w:lineRule="auto"/>
                    <w:jc w:val="center"/>
                    <w:rPr>
                      <w:color w:val="auto"/>
                      <w:szCs w:val="21"/>
                    </w:rPr>
                  </w:pPr>
                  <w:r>
                    <w:rPr>
                      <w:rFonts w:hint="eastAsia"/>
                      <w:color w:val="auto"/>
                      <w:szCs w:val="21"/>
                    </w:rPr>
                    <w:t>2</w:t>
                  </w:r>
                </w:p>
              </w:tc>
              <w:tc>
                <w:tcPr>
                  <w:tcW w:w="708" w:type="dxa"/>
                  <w:vAlign w:val="center"/>
                </w:tcPr>
                <w:p w14:paraId="7F8FBD50">
                  <w:pPr>
                    <w:autoSpaceDE w:val="0"/>
                    <w:autoSpaceDN w:val="0"/>
                    <w:adjustRightInd w:val="0"/>
                    <w:snapToGrid w:val="0"/>
                    <w:spacing w:line="276" w:lineRule="auto"/>
                    <w:jc w:val="center"/>
                    <w:rPr>
                      <w:color w:val="auto"/>
                      <w:szCs w:val="21"/>
                    </w:rPr>
                  </w:pPr>
                  <w:r>
                    <w:rPr>
                      <w:color w:val="auto"/>
                      <w:szCs w:val="21"/>
                    </w:rPr>
                    <w:t>水</w:t>
                  </w:r>
                </w:p>
              </w:tc>
              <w:tc>
                <w:tcPr>
                  <w:tcW w:w="709" w:type="dxa"/>
                  <w:vAlign w:val="center"/>
                </w:tcPr>
                <w:p w14:paraId="14A17F95">
                  <w:pPr>
                    <w:autoSpaceDE w:val="0"/>
                    <w:autoSpaceDN w:val="0"/>
                    <w:adjustRightInd w:val="0"/>
                    <w:snapToGrid w:val="0"/>
                    <w:spacing w:line="276" w:lineRule="auto"/>
                    <w:jc w:val="center"/>
                    <w:rPr>
                      <w:color w:val="auto"/>
                      <w:szCs w:val="21"/>
                    </w:rPr>
                  </w:pPr>
                  <w:r>
                    <w:rPr>
                      <w:rFonts w:hint="eastAsia"/>
                      <w:color w:val="auto"/>
                      <w:szCs w:val="21"/>
                    </w:rPr>
                    <w:t>/</w:t>
                  </w:r>
                </w:p>
              </w:tc>
              <w:tc>
                <w:tcPr>
                  <w:tcW w:w="851" w:type="dxa"/>
                  <w:vAlign w:val="center"/>
                </w:tcPr>
                <w:p w14:paraId="6EFCBBFA">
                  <w:pPr>
                    <w:autoSpaceDE w:val="0"/>
                    <w:autoSpaceDN w:val="0"/>
                    <w:adjustRightInd w:val="0"/>
                    <w:snapToGrid w:val="0"/>
                    <w:spacing w:line="276" w:lineRule="auto"/>
                    <w:jc w:val="center"/>
                    <w:rPr>
                      <w:color w:val="auto"/>
                      <w:szCs w:val="21"/>
                    </w:rPr>
                  </w:pPr>
                  <w:r>
                    <w:rPr>
                      <w:rFonts w:hint="eastAsia"/>
                      <w:color w:val="auto"/>
                      <w:szCs w:val="21"/>
                    </w:rPr>
                    <w:t>/</w:t>
                  </w:r>
                </w:p>
              </w:tc>
              <w:tc>
                <w:tcPr>
                  <w:tcW w:w="992" w:type="dxa"/>
                  <w:vAlign w:val="center"/>
                </w:tcPr>
                <w:p w14:paraId="1184E784">
                  <w:pPr>
                    <w:autoSpaceDE w:val="0"/>
                    <w:autoSpaceDN w:val="0"/>
                    <w:adjustRightInd w:val="0"/>
                    <w:snapToGrid w:val="0"/>
                    <w:spacing w:line="276" w:lineRule="auto"/>
                    <w:jc w:val="center"/>
                    <w:rPr>
                      <w:color w:val="auto"/>
                      <w:szCs w:val="21"/>
                    </w:rPr>
                  </w:pPr>
                  <w:r>
                    <w:rPr>
                      <w:rFonts w:hint="eastAsia"/>
                      <w:color w:val="auto"/>
                      <w:szCs w:val="21"/>
                    </w:rPr>
                    <w:t>38836m</w:t>
                  </w:r>
                  <w:r>
                    <w:rPr>
                      <w:rFonts w:hint="eastAsia"/>
                      <w:color w:val="auto"/>
                      <w:szCs w:val="21"/>
                      <w:vertAlign w:val="superscript"/>
                    </w:rPr>
                    <w:t>3</w:t>
                  </w:r>
                  <w:r>
                    <w:rPr>
                      <w:rFonts w:hint="eastAsia"/>
                      <w:color w:val="auto"/>
                      <w:szCs w:val="21"/>
                    </w:rPr>
                    <w:t>/a</w:t>
                  </w:r>
                </w:p>
              </w:tc>
              <w:tc>
                <w:tcPr>
                  <w:tcW w:w="850" w:type="dxa"/>
                  <w:vAlign w:val="center"/>
                </w:tcPr>
                <w:p w14:paraId="3F8B541C">
                  <w:pPr>
                    <w:autoSpaceDE w:val="0"/>
                    <w:autoSpaceDN w:val="0"/>
                    <w:adjustRightInd w:val="0"/>
                    <w:snapToGrid w:val="0"/>
                    <w:spacing w:line="276" w:lineRule="auto"/>
                    <w:jc w:val="center"/>
                    <w:rPr>
                      <w:color w:val="auto"/>
                      <w:szCs w:val="21"/>
                    </w:rPr>
                  </w:pPr>
                  <w:r>
                    <w:rPr>
                      <w:rFonts w:hint="eastAsia"/>
                      <w:color w:val="auto"/>
                      <w:szCs w:val="21"/>
                    </w:rPr>
                    <w:t>38836.192m</w:t>
                  </w:r>
                  <w:r>
                    <w:rPr>
                      <w:rFonts w:hint="eastAsia"/>
                      <w:color w:val="auto"/>
                      <w:szCs w:val="21"/>
                      <w:vertAlign w:val="superscript"/>
                    </w:rPr>
                    <w:t>3</w:t>
                  </w:r>
                  <w:r>
                    <w:rPr>
                      <w:rFonts w:hint="eastAsia"/>
                      <w:color w:val="auto"/>
                      <w:szCs w:val="21"/>
                    </w:rPr>
                    <w:t>/a</w:t>
                  </w:r>
                </w:p>
              </w:tc>
              <w:tc>
                <w:tcPr>
                  <w:tcW w:w="851" w:type="dxa"/>
                  <w:vAlign w:val="center"/>
                </w:tcPr>
                <w:p w14:paraId="72988276">
                  <w:pPr>
                    <w:autoSpaceDE w:val="0"/>
                    <w:autoSpaceDN w:val="0"/>
                    <w:adjustRightInd w:val="0"/>
                    <w:snapToGrid w:val="0"/>
                    <w:spacing w:line="276" w:lineRule="auto"/>
                    <w:jc w:val="center"/>
                    <w:rPr>
                      <w:color w:val="auto"/>
                      <w:szCs w:val="21"/>
                    </w:rPr>
                  </w:pPr>
                  <w:r>
                    <w:rPr>
                      <w:rFonts w:hint="eastAsia"/>
                      <w:color w:val="auto"/>
                      <w:szCs w:val="21"/>
                    </w:rPr>
                    <w:t>+0.192m</w:t>
                  </w:r>
                  <w:r>
                    <w:rPr>
                      <w:rFonts w:hint="eastAsia"/>
                      <w:color w:val="auto"/>
                      <w:szCs w:val="21"/>
                      <w:vertAlign w:val="superscript"/>
                    </w:rPr>
                    <w:t>3</w:t>
                  </w:r>
                  <w:r>
                    <w:rPr>
                      <w:rFonts w:hint="eastAsia"/>
                      <w:color w:val="auto"/>
                      <w:szCs w:val="21"/>
                    </w:rPr>
                    <w:t>/a</w:t>
                  </w:r>
                </w:p>
              </w:tc>
              <w:tc>
                <w:tcPr>
                  <w:tcW w:w="709" w:type="dxa"/>
                  <w:vAlign w:val="center"/>
                </w:tcPr>
                <w:p w14:paraId="39F28432">
                  <w:pPr>
                    <w:autoSpaceDE w:val="0"/>
                    <w:autoSpaceDN w:val="0"/>
                    <w:adjustRightInd w:val="0"/>
                    <w:snapToGrid w:val="0"/>
                    <w:spacing w:line="276" w:lineRule="auto"/>
                    <w:jc w:val="center"/>
                    <w:rPr>
                      <w:color w:val="auto"/>
                      <w:szCs w:val="21"/>
                    </w:rPr>
                  </w:pPr>
                  <w:r>
                    <w:rPr>
                      <w:rFonts w:hint="eastAsia"/>
                      <w:color w:val="auto"/>
                      <w:szCs w:val="21"/>
                    </w:rPr>
                    <w:t>/</w:t>
                  </w:r>
                </w:p>
              </w:tc>
              <w:tc>
                <w:tcPr>
                  <w:tcW w:w="708" w:type="dxa"/>
                  <w:vAlign w:val="center"/>
                </w:tcPr>
                <w:p w14:paraId="6530180E">
                  <w:pPr>
                    <w:autoSpaceDE w:val="0"/>
                    <w:autoSpaceDN w:val="0"/>
                    <w:adjustRightInd w:val="0"/>
                    <w:snapToGrid w:val="0"/>
                    <w:spacing w:line="276" w:lineRule="auto"/>
                    <w:jc w:val="center"/>
                    <w:rPr>
                      <w:color w:val="auto"/>
                      <w:szCs w:val="21"/>
                    </w:rPr>
                  </w:pPr>
                  <w:r>
                    <w:rPr>
                      <w:rFonts w:hint="eastAsia"/>
                      <w:color w:val="auto"/>
                      <w:szCs w:val="21"/>
                    </w:rPr>
                    <w:t>/</w:t>
                  </w:r>
                </w:p>
              </w:tc>
              <w:tc>
                <w:tcPr>
                  <w:tcW w:w="631" w:type="dxa"/>
                  <w:vAlign w:val="center"/>
                </w:tcPr>
                <w:p w14:paraId="34D209E5">
                  <w:pPr>
                    <w:autoSpaceDE w:val="0"/>
                    <w:autoSpaceDN w:val="0"/>
                    <w:adjustRightInd w:val="0"/>
                    <w:snapToGrid w:val="0"/>
                    <w:spacing w:line="276" w:lineRule="auto"/>
                    <w:jc w:val="center"/>
                    <w:rPr>
                      <w:color w:val="auto"/>
                      <w:szCs w:val="21"/>
                    </w:rPr>
                  </w:pPr>
                  <w:r>
                    <w:rPr>
                      <w:rFonts w:hint="eastAsia"/>
                      <w:color w:val="auto"/>
                      <w:szCs w:val="21"/>
                    </w:rPr>
                    <w:t>/</w:t>
                  </w:r>
                </w:p>
              </w:tc>
              <w:tc>
                <w:tcPr>
                  <w:tcW w:w="606" w:type="dxa"/>
                  <w:vAlign w:val="center"/>
                </w:tcPr>
                <w:p w14:paraId="5D2B0959">
                  <w:pPr>
                    <w:autoSpaceDE w:val="0"/>
                    <w:autoSpaceDN w:val="0"/>
                    <w:adjustRightInd w:val="0"/>
                    <w:snapToGrid w:val="0"/>
                    <w:spacing w:line="276" w:lineRule="auto"/>
                    <w:jc w:val="center"/>
                    <w:rPr>
                      <w:color w:val="auto"/>
                      <w:szCs w:val="21"/>
                    </w:rPr>
                  </w:pPr>
                  <w:r>
                    <w:rPr>
                      <w:color w:val="auto"/>
                      <w:szCs w:val="21"/>
                    </w:rPr>
                    <w:t>市政给水</w:t>
                  </w:r>
                </w:p>
              </w:tc>
            </w:tr>
            <w:tr w14:paraId="3470970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14:paraId="17CE3670">
                  <w:pPr>
                    <w:autoSpaceDE w:val="0"/>
                    <w:autoSpaceDN w:val="0"/>
                    <w:adjustRightInd w:val="0"/>
                    <w:snapToGrid w:val="0"/>
                    <w:spacing w:line="276" w:lineRule="auto"/>
                    <w:jc w:val="center"/>
                    <w:rPr>
                      <w:color w:val="auto"/>
                      <w:szCs w:val="21"/>
                    </w:rPr>
                  </w:pPr>
                  <w:r>
                    <w:rPr>
                      <w:rFonts w:hint="eastAsia"/>
                      <w:color w:val="auto"/>
                      <w:szCs w:val="21"/>
                    </w:rPr>
                    <w:t>3</w:t>
                  </w:r>
                </w:p>
              </w:tc>
              <w:tc>
                <w:tcPr>
                  <w:tcW w:w="708" w:type="dxa"/>
                  <w:vAlign w:val="center"/>
                </w:tcPr>
                <w:p w14:paraId="0FB188D1">
                  <w:pPr>
                    <w:autoSpaceDE w:val="0"/>
                    <w:autoSpaceDN w:val="0"/>
                    <w:adjustRightInd w:val="0"/>
                    <w:snapToGrid w:val="0"/>
                    <w:spacing w:line="276" w:lineRule="auto"/>
                    <w:jc w:val="center"/>
                    <w:rPr>
                      <w:color w:val="auto"/>
                      <w:szCs w:val="21"/>
                    </w:rPr>
                  </w:pPr>
                  <w:r>
                    <w:rPr>
                      <w:color w:val="auto"/>
                      <w:szCs w:val="21"/>
                    </w:rPr>
                    <w:t>天然气</w:t>
                  </w:r>
                </w:p>
              </w:tc>
              <w:tc>
                <w:tcPr>
                  <w:tcW w:w="709" w:type="dxa"/>
                  <w:vAlign w:val="center"/>
                </w:tcPr>
                <w:p w14:paraId="1DF7B1C9">
                  <w:pPr>
                    <w:autoSpaceDE w:val="0"/>
                    <w:autoSpaceDN w:val="0"/>
                    <w:adjustRightInd w:val="0"/>
                    <w:snapToGrid w:val="0"/>
                    <w:spacing w:line="276" w:lineRule="auto"/>
                    <w:jc w:val="center"/>
                    <w:rPr>
                      <w:color w:val="auto"/>
                      <w:szCs w:val="21"/>
                    </w:rPr>
                  </w:pPr>
                  <w:r>
                    <w:rPr>
                      <w:rFonts w:hint="eastAsia"/>
                      <w:color w:val="auto"/>
                      <w:szCs w:val="21"/>
                    </w:rPr>
                    <w:t>/</w:t>
                  </w:r>
                </w:p>
              </w:tc>
              <w:tc>
                <w:tcPr>
                  <w:tcW w:w="851" w:type="dxa"/>
                  <w:vAlign w:val="center"/>
                </w:tcPr>
                <w:p w14:paraId="060183AA">
                  <w:pPr>
                    <w:autoSpaceDE w:val="0"/>
                    <w:autoSpaceDN w:val="0"/>
                    <w:adjustRightInd w:val="0"/>
                    <w:snapToGrid w:val="0"/>
                    <w:spacing w:line="276" w:lineRule="auto"/>
                    <w:jc w:val="center"/>
                    <w:rPr>
                      <w:color w:val="auto"/>
                      <w:szCs w:val="21"/>
                    </w:rPr>
                  </w:pPr>
                  <w:r>
                    <w:rPr>
                      <w:rFonts w:hint="eastAsia"/>
                      <w:color w:val="auto"/>
                      <w:szCs w:val="21"/>
                    </w:rPr>
                    <w:t>/</w:t>
                  </w:r>
                </w:p>
              </w:tc>
              <w:tc>
                <w:tcPr>
                  <w:tcW w:w="992" w:type="dxa"/>
                  <w:vAlign w:val="center"/>
                </w:tcPr>
                <w:p w14:paraId="069FF52A">
                  <w:pPr>
                    <w:autoSpaceDE w:val="0"/>
                    <w:autoSpaceDN w:val="0"/>
                    <w:adjustRightInd w:val="0"/>
                    <w:snapToGrid w:val="0"/>
                    <w:spacing w:line="276" w:lineRule="auto"/>
                    <w:jc w:val="center"/>
                    <w:rPr>
                      <w:color w:val="auto"/>
                      <w:szCs w:val="21"/>
                    </w:rPr>
                  </w:pPr>
                  <w:r>
                    <w:rPr>
                      <w:rFonts w:hint="eastAsia"/>
                      <w:color w:val="auto"/>
                      <w:szCs w:val="21"/>
                    </w:rPr>
                    <w:t>2700</w:t>
                  </w:r>
                </w:p>
              </w:tc>
              <w:tc>
                <w:tcPr>
                  <w:tcW w:w="850" w:type="dxa"/>
                  <w:vAlign w:val="center"/>
                </w:tcPr>
                <w:p w14:paraId="13AEACA1">
                  <w:pPr>
                    <w:autoSpaceDE w:val="0"/>
                    <w:autoSpaceDN w:val="0"/>
                    <w:adjustRightInd w:val="0"/>
                    <w:snapToGrid w:val="0"/>
                    <w:spacing w:line="276" w:lineRule="auto"/>
                    <w:jc w:val="center"/>
                    <w:rPr>
                      <w:color w:val="auto"/>
                      <w:szCs w:val="21"/>
                    </w:rPr>
                  </w:pPr>
                  <w:r>
                    <w:rPr>
                      <w:rFonts w:hint="eastAsia"/>
                      <w:color w:val="auto"/>
                      <w:szCs w:val="21"/>
                    </w:rPr>
                    <w:t>2700</w:t>
                  </w:r>
                </w:p>
              </w:tc>
              <w:tc>
                <w:tcPr>
                  <w:tcW w:w="851" w:type="dxa"/>
                  <w:vAlign w:val="center"/>
                </w:tcPr>
                <w:p w14:paraId="41121977">
                  <w:pPr>
                    <w:autoSpaceDE w:val="0"/>
                    <w:autoSpaceDN w:val="0"/>
                    <w:adjustRightInd w:val="0"/>
                    <w:snapToGrid w:val="0"/>
                    <w:spacing w:line="276" w:lineRule="auto"/>
                    <w:jc w:val="center"/>
                    <w:rPr>
                      <w:color w:val="auto"/>
                      <w:szCs w:val="21"/>
                    </w:rPr>
                  </w:pPr>
                  <w:r>
                    <w:rPr>
                      <w:rFonts w:hint="eastAsia"/>
                      <w:color w:val="auto"/>
                      <w:szCs w:val="21"/>
                    </w:rPr>
                    <w:t>0</w:t>
                  </w:r>
                </w:p>
              </w:tc>
              <w:tc>
                <w:tcPr>
                  <w:tcW w:w="709" w:type="dxa"/>
                  <w:vAlign w:val="center"/>
                </w:tcPr>
                <w:p w14:paraId="42E130B3">
                  <w:pPr>
                    <w:autoSpaceDE w:val="0"/>
                    <w:autoSpaceDN w:val="0"/>
                    <w:adjustRightInd w:val="0"/>
                    <w:snapToGrid w:val="0"/>
                    <w:spacing w:line="276" w:lineRule="auto"/>
                    <w:jc w:val="center"/>
                    <w:rPr>
                      <w:color w:val="auto"/>
                      <w:szCs w:val="21"/>
                    </w:rPr>
                  </w:pPr>
                  <w:r>
                    <w:rPr>
                      <w:rFonts w:hint="eastAsia"/>
                      <w:color w:val="auto"/>
                      <w:szCs w:val="21"/>
                    </w:rPr>
                    <w:t>/</w:t>
                  </w:r>
                </w:p>
              </w:tc>
              <w:tc>
                <w:tcPr>
                  <w:tcW w:w="708" w:type="dxa"/>
                  <w:vAlign w:val="center"/>
                </w:tcPr>
                <w:p w14:paraId="18B870DA">
                  <w:pPr>
                    <w:autoSpaceDE w:val="0"/>
                    <w:autoSpaceDN w:val="0"/>
                    <w:adjustRightInd w:val="0"/>
                    <w:snapToGrid w:val="0"/>
                    <w:spacing w:line="276" w:lineRule="auto"/>
                    <w:jc w:val="center"/>
                    <w:rPr>
                      <w:color w:val="auto"/>
                      <w:szCs w:val="21"/>
                    </w:rPr>
                  </w:pPr>
                  <w:r>
                    <w:rPr>
                      <w:rFonts w:hint="eastAsia"/>
                      <w:color w:val="auto"/>
                      <w:szCs w:val="21"/>
                    </w:rPr>
                    <w:t>/</w:t>
                  </w:r>
                </w:p>
              </w:tc>
              <w:tc>
                <w:tcPr>
                  <w:tcW w:w="631" w:type="dxa"/>
                  <w:vAlign w:val="center"/>
                </w:tcPr>
                <w:p w14:paraId="206E5D22">
                  <w:pPr>
                    <w:autoSpaceDE w:val="0"/>
                    <w:autoSpaceDN w:val="0"/>
                    <w:adjustRightInd w:val="0"/>
                    <w:snapToGrid w:val="0"/>
                    <w:spacing w:line="276" w:lineRule="auto"/>
                    <w:jc w:val="center"/>
                    <w:rPr>
                      <w:color w:val="auto"/>
                      <w:szCs w:val="21"/>
                    </w:rPr>
                  </w:pPr>
                  <w:r>
                    <w:rPr>
                      <w:rFonts w:hint="eastAsia"/>
                      <w:color w:val="auto"/>
                      <w:szCs w:val="21"/>
                    </w:rPr>
                    <w:t>/</w:t>
                  </w:r>
                </w:p>
              </w:tc>
              <w:tc>
                <w:tcPr>
                  <w:tcW w:w="606" w:type="dxa"/>
                  <w:vAlign w:val="center"/>
                </w:tcPr>
                <w:p w14:paraId="3465654C">
                  <w:pPr>
                    <w:autoSpaceDE w:val="0"/>
                    <w:autoSpaceDN w:val="0"/>
                    <w:adjustRightInd w:val="0"/>
                    <w:snapToGrid w:val="0"/>
                    <w:spacing w:line="276" w:lineRule="auto"/>
                    <w:jc w:val="center"/>
                    <w:rPr>
                      <w:color w:val="auto"/>
                      <w:szCs w:val="21"/>
                    </w:rPr>
                  </w:pPr>
                  <w:r>
                    <w:rPr>
                      <w:color w:val="auto"/>
                      <w:szCs w:val="21"/>
                    </w:rPr>
                    <w:t>管道输送</w:t>
                  </w:r>
                </w:p>
              </w:tc>
            </w:tr>
          </w:tbl>
          <w:p w14:paraId="034D4A30">
            <w:pPr>
              <w:spacing w:line="360" w:lineRule="auto"/>
              <w:ind w:firstLine="480" w:firstLineChars="200"/>
              <w:rPr>
                <w:color w:val="auto"/>
                <w:sz w:val="24"/>
              </w:rPr>
            </w:pPr>
            <w:r>
              <w:rPr>
                <w:rFonts w:hint="eastAsia"/>
                <w:color w:val="auto"/>
                <w:sz w:val="24"/>
              </w:rPr>
              <w:t>（2）原辅材料主要成分及理化性质</w:t>
            </w:r>
          </w:p>
          <w:p w14:paraId="60FA490B">
            <w:pPr>
              <w:pStyle w:val="219"/>
              <w:jc w:val="center"/>
              <w:rPr>
                <w:rFonts w:eastAsia="黑体" w:cs="Times New Roman"/>
                <w:bCs/>
                <w:color w:val="auto"/>
                <w:szCs w:val="21"/>
              </w:rPr>
            </w:pPr>
            <w:r>
              <w:rPr>
                <w:rFonts w:hAnsi="黑体" w:eastAsia="黑体" w:cs="Times New Roman"/>
                <w:color w:val="auto"/>
              </w:rPr>
              <w:t>表</w:t>
            </w:r>
            <w:r>
              <w:rPr>
                <w:rFonts w:hint="eastAsia" w:eastAsia="黑体" w:cs="Times New Roman"/>
                <w:color w:val="auto"/>
              </w:rPr>
              <w:t>16</w:t>
            </w:r>
            <w:r>
              <w:rPr>
                <w:rFonts w:eastAsia="黑体" w:cs="Times New Roman"/>
                <w:color w:val="auto"/>
              </w:rPr>
              <w:t xml:space="preserve">  </w:t>
            </w:r>
            <w:r>
              <w:rPr>
                <w:rFonts w:hAnsi="黑体" w:eastAsia="黑体" w:cs="Times New Roman"/>
                <w:color w:val="auto"/>
              </w:rPr>
              <w:t>项目原辅材料主要成分及理化性质表</w:t>
            </w:r>
          </w:p>
          <w:tbl>
            <w:tblPr>
              <w:tblStyle w:val="34"/>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28"/>
              <w:gridCol w:w="1698"/>
              <w:gridCol w:w="2381"/>
              <w:gridCol w:w="2187"/>
              <w:gridCol w:w="1453"/>
            </w:tblGrid>
            <w:tr w14:paraId="5D8425A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63" w:type="pct"/>
                  <w:vAlign w:val="center"/>
                </w:tcPr>
                <w:p w14:paraId="1FFE3A02">
                  <w:pPr>
                    <w:spacing w:line="276" w:lineRule="auto"/>
                    <w:jc w:val="center"/>
                    <w:rPr>
                      <w:b/>
                      <w:color w:val="auto"/>
                      <w:szCs w:val="21"/>
                    </w:rPr>
                  </w:pPr>
                  <w:r>
                    <w:rPr>
                      <w:b/>
                      <w:color w:val="auto"/>
                      <w:szCs w:val="21"/>
                    </w:rPr>
                    <w:t>序号</w:t>
                  </w:r>
                </w:p>
              </w:tc>
              <w:tc>
                <w:tcPr>
                  <w:tcW w:w="1042" w:type="pct"/>
                  <w:vAlign w:val="center"/>
                </w:tcPr>
                <w:p w14:paraId="09465998">
                  <w:pPr>
                    <w:spacing w:line="276" w:lineRule="auto"/>
                    <w:jc w:val="center"/>
                    <w:rPr>
                      <w:b/>
                      <w:color w:val="auto"/>
                      <w:szCs w:val="21"/>
                    </w:rPr>
                  </w:pPr>
                  <w:r>
                    <w:rPr>
                      <w:b/>
                      <w:color w:val="auto"/>
                      <w:szCs w:val="21"/>
                    </w:rPr>
                    <w:t>名称</w:t>
                  </w:r>
                </w:p>
              </w:tc>
              <w:tc>
                <w:tcPr>
                  <w:tcW w:w="1461" w:type="pct"/>
                  <w:vAlign w:val="center"/>
                </w:tcPr>
                <w:p w14:paraId="4E1184B3">
                  <w:pPr>
                    <w:spacing w:line="276" w:lineRule="auto"/>
                    <w:jc w:val="center"/>
                    <w:rPr>
                      <w:b/>
                      <w:color w:val="auto"/>
                      <w:szCs w:val="21"/>
                    </w:rPr>
                  </w:pPr>
                  <w:r>
                    <w:rPr>
                      <w:b/>
                      <w:color w:val="auto"/>
                      <w:szCs w:val="21"/>
                    </w:rPr>
                    <w:t>理化特性</w:t>
                  </w:r>
                </w:p>
              </w:tc>
              <w:tc>
                <w:tcPr>
                  <w:tcW w:w="1342" w:type="pct"/>
                  <w:vAlign w:val="center"/>
                </w:tcPr>
                <w:p w14:paraId="79C0434D">
                  <w:pPr>
                    <w:spacing w:line="276" w:lineRule="auto"/>
                    <w:jc w:val="center"/>
                    <w:rPr>
                      <w:b/>
                      <w:color w:val="auto"/>
                      <w:szCs w:val="21"/>
                    </w:rPr>
                  </w:pPr>
                  <w:r>
                    <w:rPr>
                      <w:b/>
                      <w:color w:val="auto"/>
                      <w:szCs w:val="21"/>
                    </w:rPr>
                    <w:t>燃烧爆炸性及稳定性</w:t>
                  </w:r>
                </w:p>
              </w:tc>
              <w:tc>
                <w:tcPr>
                  <w:tcW w:w="892" w:type="pct"/>
                  <w:vAlign w:val="center"/>
                </w:tcPr>
                <w:p w14:paraId="2D0DEBCB">
                  <w:pPr>
                    <w:spacing w:line="276" w:lineRule="auto"/>
                    <w:jc w:val="center"/>
                    <w:rPr>
                      <w:b/>
                      <w:color w:val="auto"/>
                      <w:szCs w:val="21"/>
                    </w:rPr>
                  </w:pPr>
                  <w:r>
                    <w:rPr>
                      <w:b/>
                      <w:color w:val="auto"/>
                      <w:szCs w:val="21"/>
                    </w:rPr>
                    <w:t>毒理性</w:t>
                  </w:r>
                </w:p>
              </w:tc>
            </w:tr>
            <w:tr w14:paraId="198F406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63" w:type="pct"/>
                  <w:vAlign w:val="center"/>
                </w:tcPr>
                <w:p w14:paraId="297D6448">
                  <w:pPr>
                    <w:spacing w:line="276" w:lineRule="auto"/>
                    <w:jc w:val="center"/>
                    <w:rPr>
                      <w:color w:val="auto"/>
                      <w:szCs w:val="21"/>
                    </w:rPr>
                  </w:pPr>
                  <w:r>
                    <w:rPr>
                      <w:rFonts w:hint="eastAsia"/>
                      <w:color w:val="auto"/>
                      <w:szCs w:val="21"/>
                    </w:rPr>
                    <w:t>1</w:t>
                  </w:r>
                </w:p>
              </w:tc>
              <w:tc>
                <w:tcPr>
                  <w:tcW w:w="1042" w:type="pct"/>
                  <w:vAlign w:val="center"/>
                </w:tcPr>
                <w:p w14:paraId="00DC383A">
                  <w:pPr>
                    <w:spacing w:line="276" w:lineRule="auto"/>
                    <w:jc w:val="center"/>
                    <w:rPr>
                      <w:color w:val="auto"/>
                      <w:szCs w:val="21"/>
                    </w:rPr>
                  </w:pPr>
                  <w:r>
                    <w:rPr>
                      <w:color w:val="auto"/>
                      <w:szCs w:val="21"/>
                    </w:rPr>
                    <w:t>琥珀色水性漆</w:t>
                  </w:r>
                </w:p>
              </w:tc>
              <w:tc>
                <w:tcPr>
                  <w:tcW w:w="1461" w:type="pct"/>
                  <w:vAlign w:val="center"/>
                </w:tcPr>
                <w:p w14:paraId="44379261">
                  <w:pPr>
                    <w:spacing w:line="276" w:lineRule="auto"/>
                    <w:jc w:val="left"/>
                    <w:rPr>
                      <w:color w:val="auto"/>
                      <w:szCs w:val="21"/>
                    </w:rPr>
                  </w:pPr>
                  <w:r>
                    <w:rPr>
                      <w:rFonts w:hint="eastAsia"/>
                      <w:color w:val="auto"/>
                      <w:szCs w:val="21"/>
                    </w:rPr>
                    <w:t>液体，橙色，成分组成：10%水性丙烯酸树脂</w:t>
                  </w:r>
                  <w:r>
                    <w:rPr>
                      <w:rFonts w:hint="eastAsia"/>
                      <w:color w:val="auto"/>
                      <w:szCs w:val="21"/>
                      <w:vertAlign w:val="superscript"/>
                    </w:rPr>
                    <w:t>（1）</w:t>
                  </w:r>
                  <w:r>
                    <w:rPr>
                      <w:rFonts w:hint="eastAsia"/>
                      <w:color w:val="auto"/>
                      <w:szCs w:val="21"/>
                    </w:rPr>
                    <w:t>、10%氧化铁、20%乙醇、60%去离子水；</w:t>
                  </w:r>
                </w:p>
                <w:p w14:paraId="12602BC2">
                  <w:pPr>
                    <w:spacing w:line="276" w:lineRule="auto"/>
                    <w:jc w:val="left"/>
                    <w:rPr>
                      <w:color w:val="auto"/>
                      <w:szCs w:val="21"/>
                    </w:rPr>
                  </w:pPr>
                  <w:r>
                    <w:rPr>
                      <w:rFonts w:hint="eastAsia"/>
                      <w:color w:val="auto"/>
                      <w:szCs w:val="21"/>
                    </w:rPr>
                    <w:t>挥发性：高温下有一定挥发性，VOC含量约53g/L</w:t>
                  </w:r>
                </w:p>
              </w:tc>
              <w:tc>
                <w:tcPr>
                  <w:tcW w:w="1342" w:type="pct"/>
                  <w:vAlign w:val="center"/>
                </w:tcPr>
                <w:p w14:paraId="34056CBE">
                  <w:pPr>
                    <w:jc w:val="left"/>
                    <w:rPr>
                      <w:color w:val="auto"/>
                      <w:szCs w:val="21"/>
                    </w:rPr>
                  </w:pPr>
                  <w:r>
                    <w:rPr>
                      <w:color w:val="auto"/>
                      <w:szCs w:val="21"/>
                    </w:rPr>
                    <w:t>火灾危险：高温条件下可能会分解产生刺激性气体</w:t>
                  </w:r>
                  <w:r>
                    <w:rPr>
                      <w:rFonts w:hint="eastAsia"/>
                      <w:color w:val="auto"/>
                      <w:szCs w:val="21"/>
                    </w:rPr>
                    <w:t>/蒸汽；</w:t>
                  </w:r>
                  <w:r>
                    <w:rPr>
                      <w:color w:val="auto"/>
                      <w:szCs w:val="21"/>
                    </w:rPr>
                    <w:t>化学稳定性：正常环境温度下储存和使用</w:t>
                  </w:r>
                </w:p>
              </w:tc>
              <w:tc>
                <w:tcPr>
                  <w:tcW w:w="892" w:type="pct"/>
                  <w:vAlign w:val="center"/>
                </w:tcPr>
                <w:p w14:paraId="40302E1A">
                  <w:pPr>
                    <w:spacing w:line="276" w:lineRule="auto"/>
                    <w:jc w:val="center"/>
                    <w:rPr>
                      <w:color w:val="auto"/>
                      <w:szCs w:val="21"/>
                    </w:rPr>
                  </w:pPr>
                  <w:r>
                    <w:rPr>
                      <w:color w:val="auto"/>
                      <w:szCs w:val="21"/>
                    </w:rPr>
                    <w:t>急性经口毒性类别</w:t>
                  </w:r>
                  <w:r>
                    <w:rPr>
                      <w:rFonts w:hint="eastAsia"/>
                      <w:color w:val="auto"/>
                      <w:szCs w:val="21"/>
                    </w:rPr>
                    <w:t>4，严重眼损伤/眼刺激 类别1，危害水生环境 急性危险 类别1</w:t>
                  </w:r>
                </w:p>
              </w:tc>
            </w:tr>
            <w:tr w14:paraId="23CFC7F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63" w:type="pct"/>
                  <w:vAlign w:val="center"/>
                </w:tcPr>
                <w:p w14:paraId="39985FBE">
                  <w:pPr>
                    <w:spacing w:line="276" w:lineRule="auto"/>
                    <w:jc w:val="center"/>
                    <w:rPr>
                      <w:color w:val="auto"/>
                      <w:szCs w:val="21"/>
                    </w:rPr>
                  </w:pPr>
                  <w:r>
                    <w:rPr>
                      <w:rFonts w:hint="eastAsia"/>
                      <w:color w:val="auto"/>
                      <w:szCs w:val="21"/>
                    </w:rPr>
                    <w:t>2</w:t>
                  </w:r>
                </w:p>
              </w:tc>
              <w:tc>
                <w:tcPr>
                  <w:tcW w:w="1042" w:type="pct"/>
                  <w:vAlign w:val="center"/>
                </w:tcPr>
                <w:p w14:paraId="68A2305A">
                  <w:pPr>
                    <w:spacing w:line="276" w:lineRule="auto"/>
                    <w:jc w:val="center"/>
                    <w:rPr>
                      <w:color w:val="auto"/>
                      <w:szCs w:val="21"/>
                    </w:rPr>
                  </w:pPr>
                  <w:r>
                    <w:rPr>
                      <w:color w:val="auto"/>
                      <w:szCs w:val="21"/>
                    </w:rPr>
                    <w:t>烟灰色水性漆</w:t>
                  </w:r>
                </w:p>
              </w:tc>
              <w:tc>
                <w:tcPr>
                  <w:tcW w:w="1461" w:type="pct"/>
                  <w:vAlign w:val="center"/>
                </w:tcPr>
                <w:p w14:paraId="754BA6A5">
                  <w:pPr>
                    <w:spacing w:line="276" w:lineRule="auto"/>
                    <w:jc w:val="left"/>
                    <w:rPr>
                      <w:color w:val="auto"/>
                      <w:szCs w:val="21"/>
                    </w:rPr>
                  </w:pPr>
                  <w:r>
                    <w:rPr>
                      <w:rFonts w:hint="eastAsia"/>
                      <w:color w:val="auto"/>
                      <w:szCs w:val="21"/>
                    </w:rPr>
                    <w:t>液体，蓝色，成分组成：10%水性丙烯酸树脂、10%氧化铒、20%乙醇、60%去离子水；</w:t>
                  </w:r>
                </w:p>
                <w:p w14:paraId="2412E8F8">
                  <w:pPr>
                    <w:spacing w:line="276" w:lineRule="auto"/>
                    <w:jc w:val="left"/>
                    <w:rPr>
                      <w:color w:val="auto"/>
                      <w:szCs w:val="21"/>
                    </w:rPr>
                  </w:pPr>
                  <w:r>
                    <w:rPr>
                      <w:rFonts w:hint="eastAsia"/>
                      <w:color w:val="auto"/>
                      <w:szCs w:val="21"/>
                    </w:rPr>
                    <w:t>挥发性：高温下有一定挥发性，VOC含量约72g/L</w:t>
                  </w:r>
                </w:p>
              </w:tc>
              <w:tc>
                <w:tcPr>
                  <w:tcW w:w="1342" w:type="pct"/>
                  <w:vAlign w:val="center"/>
                </w:tcPr>
                <w:p w14:paraId="6483A7DA">
                  <w:pPr>
                    <w:jc w:val="left"/>
                    <w:rPr>
                      <w:color w:val="auto"/>
                      <w:szCs w:val="21"/>
                    </w:rPr>
                  </w:pPr>
                  <w:r>
                    <w:rPr>
                      <w:color w:val="auto"/>
                      <w:szCs w:val="21"/>
                    </w:rPr>
                    <w:t>火灾危险：高温条件下可能会分解产生刺激性气体</w:t>
                  </w:r>
                  <w:r>
                    <w:rPr>
                      <w:rFonts w:hint="eastAsia"/>
                      <w:color w:val="auto"/>
                      <w:szCs w:val="21"/>
                    </w:rPr>
                    <w:t>/蒸汽；</w:t>
                  </w:r>
                </w:p>
                <w:p w14:paraId="0FAE510C">
                  <w:pPr>
                    <w:jc w:val="left"/>
                    <w:rPr>
                      <w:color w:val="auto"/>
                      <w:szCs w:val="21"/>
                    </w:rPr>
                  </w:pPr>
                  <w:r>
                    <w:rPr>
                      <w:color w:val="auto"/>
                      <w:szCs w:val="21"/>
                    </w:rPr>
                    <w:t>化学稳定性：正常环境温度下储存和使用</w:t>
                  </w:r>
                </w:p>
              </w:tc>
              <w:tc>
                <w:tcPr>
                  <w:tcW w:w="892" w:type="pct"/>
                  <w:vAlign w:val="center"/>
                </w:tcPr>
                <w:p w14:paraId="0921FF9F">
                  <w:pPr>
                    <w:spacing w:line="276" w:lineRule="auto"/>
                    <w:jc w:val="center"/>
                    <w:rPr>
                      <w:color w:val="auto"/>
                      <w:szCs w:val="21"/>
                    </w:rPr>
                  </w:pPr>
                  <w:r>
                    <w:rPr>
                      <w:color w:val="auto"/>
                      <w:szCs w:val="21"/>
                    </w:rPr>
                    <w:t>急性经口毒性类别</w:t>
                  </w:r>
                  <w:r>
                    <w:rPr>
                      <w:rFonts w:hint="eastAsia"/>
                      <w:color w:val="auto"/>
                      <w:szCs w:val="21"/>
                    </w:rPr>
                    <w:t>4，严重眼损伤/眼刺激 类别1，危害水生环境 急性危险 类别1</w:t>
                  </w:r>
                </w:p>
              </w:tc>
            </w:tr>
            <w:tr w14:paraId="4197B32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63" w:type="pct"/>
                  <w:vAlign w:val="center"/>
                </w:tcPr>
                <w:p w14:paraId="572DD56A">
                  <w:pPr>
                    <w:spacing w:line="276" w:lineRule="auto"/>
                    <w:jc w:val="center"/>
                    <w:rPr>
                      <w:color w:val="auto"/>
                      <w:szCs w:val="21"/>
                    </w:rPr>
                  </w:pPr>
                  <w:r>
                    <w:rPr>
                      <w:rFonts w:hint="eastAsia"/>
                      <w:color w:val="auto"/>
                      <w:szCs w:val="21"/>
                    </w:rPr>
                    <w:t>3</w:t>
                  </w:r>
                </w:p>
              </w:tc>
              <w:tc>
                <w:tcPr>
                  <w:tcW w:w="1042" w:type="pct"/>
                  <w:vAlign w:val="center"/>
                </w:tcPr>
                <w:p w14:paraId="6B635271">
                  <w:pPr>
                    <w:spacing w:line="276" w:lineRule="auto"/>
                    <w:jc w:val="center"/>
                    <w:rPr>
                      <w:color w:val="auto"/>
                      <w:szCs w:val="21"/>
                    </w:rPr>
                  </w:pPr>
                  <w:r>
                    <w:rPr>
                      <w:color w:val="auto"/>
                      <w:szCs w:val="21"/>
                    </w:rPr>
                    <w:t>七彩色水性漆</w:t>
                  </w:r>
                </w:p>
              </w:tc>
              <w:tc>
                <w:tcPr>
                  <w:tcW w:w="1461" w:type="pct"/>
                  <w:vAlign w:val="center"/>
                </w:tcPr>
                <w:p w14:paraId="210C6309">
                  <w:pPr>
                    <w:spacing w:line="276" w:lineRule="auto"/>
                    <w:jc w:val="left"/>
                    <w:rPr>
                      <w:color w:val="auto"/>
                      <w:szCs w:val="21"/>
                    </w:rPr>
                  </w:pPr>
                  <w:r>
                    <w:rPr>
                      <w:rFonts w:hint="eastAsia"/>
                      <w:color w:val="auto"/>
                      <w:szCs w:val="21"/>
                    </w:rPr>
                    <w:t>液体，白色，成分组成：10%水性丙烯酸树脂、10%氧化钛、20%乙醇、60%去离子水；</w:t>
                  </w:r>
                </w:p>
                <w:p w14:paraId="0EF994BD">
                  <w:pPr>
                    <w:spacing w:line="276" w:lineRule="auto"/>
                    <w:jc w:val="left"/>
                    <w:rPr>
                      <w:color w:val="auto"/>
                      <w:szCs w:val="21"/>
                    </w:rPr>
                  </w:pPr>
                  <w:r>
                    <w:rPr>
                      <w:rFonts w:hint="eastAsia"/>
                      <w:color w:val="auto"/>
                      <w:szCs w:val="21"/>
                    </w:rPr>
                    <w:t>挥发性：高温下有一定挥发性，VOC含量约70g/L</w:t>
                  </w:r>
                </w:p>
              </w:tc>
              <w:tc>
                <w:tcPr>
                  <w:tcW w:w="1342" w:type="pct"/>
                  <w:vAlign w:val="center"/>
                </w:tcPr>
                <w:p w14:paraId="183C42A0">
                  <w:pPr>
                    <w:jc w:val="left"/>
                    <w:rPr>
                      <w:color w:val="auto"/>
                      <w:szCs w:val="21"/>
                    </w:rPr>
                  </w:pPr>
                  <w:r>
                    <w:rPr>
                      <w:color w:val="auto"/>
                      <w:szCs w:val="21"/>
                    </w:rPr>
                    <w:t>火灾危险：高温条件下可能会分解产生刺激性气体</w:t>
                  </w:r>
                  <w:r>
                    <w:rPr>
                      <w:rFonts w:hint="eastAsia"/>
                      <w:color w:val="auto"/>
                      <w:szCs w:val="21"/>
                    </w:rPr>
                    <w:t>/蒸汽；</w:t>
                  </w:r>
                </w:p>
                <w:p w14:paraId="5C603F3B">
                  <w:pPr>
                    <w:jc w:val="left"/>
                    <w:rPr>
                      <w:color w:val="auto"/>
                      <w:szCs w:val="21"/>
                    </w:rPr>
                  </w:pPr>
                  <w:r>
                    <w:rPr>
                      <w:color w:val="auto"/>
                      <w:szCs w:val="21"/>
                    </w:rPr>
                    <w:t>化学稳定性：正常环境温度下储存和使用</w:t>
                  </w:r>
                </w:p>
              </w:tc>
              <w:tc>
                <w:tcPr>
                  <w:tcW w:w="892" w:type="pct"/>
                  <w:vAlign w:val="center"/>
                </w:tcPr>
                <w:p w14:paraId="7DEFC909">
                  <w:pPr>
                    <w:spacing w:line="276" w:lineRule="auto"/>
                    <w:jc w:val="center"/>
                    <w:rPr>
                      <w:color w:val="auto"/>
                      <w:szCs w:val="21"/>
                    </w:rPr>
                  </w:pPr>
                  <w:r>
                    <w:rPr>
                      <w:color w:val="auto"/>
                      <w:szCs w:val="21"/>
                    </w:rPr>
                    <w:t>急性经口毒性类别</w:t>
                  </w:r>
                  <w:r>
                    <w:rPr>
                      <w:rFonts w:hint="eastAsia"/>
                      <w:color w:val="auto"/>
                      <w:szCs w:val="21"/>
                    </w:rPr>
                    <w:t>4，严重眼损伤/眼刺激 类别1，危害水生环境 急性危险 类别1</w:t>
                  </w:r>
                </w:p>
              </w:tc>
            </w:tr>
            <w:tr w14:paraId="49B2231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63" w:type="pct"/>
                  <w:vAlign w:val="center"/>
                </w:tcPr>
                <w:p w14:paraId="26EBD00E">
                  <w:pPr>
                    <w:spacing w:line="276" w:lineRule="auto"/>
                    <w:jc w:val="center"/>
                    <w:rPr>
                      <w:color w:val="auto"/>
                      <w:szCs w:val="21"/>
                    </w:rPr>
                  </w:pPr>
                  <w:r>
                    <w:rPr>
                      <w:rFonts w:hint="eastAsia"/>
                      <w:color w:val="auto"/>
                      <w:szCs w:val="21"/>
                    </w:rPr>
                    <w:t>4</w:t>
                  </w:r>
                </w:p>
              </w:tc>
              <w:tc>
                <w:tcPr>
                  <w:tcW w:w="1042" w:type="pct"/>
                  <w:vAlign w:val="center"/>
                </w:tcPr>
                <w:p w14:paraId="55D8FBBF">
                  <w:pPr>
                    <w:spacing w:line="276" w:lineRule="auto"/>
                    <w:jc w:val="center"/>
                    <w:rPr>
                      <w:color w:val="auto"/>
                      <w:szCs w:val="21"/>
                    </w:rPr>
                  </w:pPr>
                  <w:r>
                    <w:rPr>
                      <w:color w:val="auto"/>
                      <w:szCs w:val="21"/>
                    </w:rPr>
                    <w:t>液化天然气</w:t>
                  </w:r>
                </w:p>
                <w:p w14:paraId="384B9780">
                  <w:pPr>
                    <w:spacing w:line="276" w:lineRule="auto"/>
                    <w:jc w:val="center"/>
                    <w:rPr>
                      <w:color w:val="auto"/>
                      <w:szCs w:val="21"/>
                    </w:rPr>
                  </w:pPr>
                  <w:r>
                    <w:rPr>
                      <w:color w:val="auto"/>
                      <w:szCs w:val="21"/>
                    </w:rPr>
                    <w:t>（以甲烷为主）</w:t>
                  </w:r>
                </w:p>
              </w:tc>
              <w:tc>
                <w:tcPr>
                  <w:tcW w:w="1461" w:type="pct"/>
                  <w:vAlign w:val="center"/>
                </w:tcPr>
                <w:p w14:paraId="3EBAF1C8">
                  <w:pPr>
                    <w:spacing w:line="276" w:lineRule="auto"/>
                    <w:jc w:val="left"/>
                    <w:rPr>
                      <w:color w:val="auto"/>
                      <w:szCs w:val="21"/>
                    </w:rPr>
                  </w:pPr>
                  <w:r>
                    <w:rPr>
                      <w:color w:val="auto"/>
                      <w:szCs w:val="21"/>
                    </w:rPr>
                    <w:t>无色、无味、液体</w:t>
                  </w:r>
                </w:p>
                <w:p w14:paraId="720A816E">
                  <w:pPr>
                    <w:spacing w:line="276" w:lineRule="auto"/>
                    <w:jc w:val="left"/>
                    <w:rPr>
                      <w:color w:val="auto"/>
                      <w:szCs w:val="21"/>
                    </w:rPr>
                  </w:pPr>
                  <w:r>
                    <w:rPr>
                      <w:color w:val="auto"/>
                      <w:szCs w:val="21"/>
                    </w:rPr>
                    <w:t>相对密度（水</w:t>
                  </w:r>
                  <w:r>
                    <w:rPr>
                      <w:rFonts w:hint="eastAsia"/>
                      <w:color w:val="auto"/>
                      <w:szCs w:val="21"/>
                    </w:rPr>
                    <w:t>=1</w:t>
                  </w:r>
                  <w:r>
                    <w:rPr>
                      <w:color w:val="auto"/>
                      <w:szCs w:val="21"/>
                    </w:rPr>
                    <w:t>）：</w:t>
                  </w:r>
                  <w:r>
                    <w:rPr>
                      <w:rFonts w:hint="eastAsia"/>
                      <w:color w:val="auto"/>
                      <w:szCs w:val="21"/>
                    </w:rPr>
                    <w:t>0.42（-164℃）</w:t>
                  </w:r>
                </w:p>
                <w:p w14:paraId="5B1C690D">
                  <w:pPr>
                    <w:spacing w:line="276" w:lineRule="auto"/>
                    <w:jc w:val="left"/>
                    <w:rPr>
                      <w:color w:val="auto"/>
                      <w:szCs w:val="21"/>
                    </w:rPr>
                  </w:pPr>
                  <w:r>
                    <w:rPr>
                      <w:color w:val="auto"/>
                      <w:szCs w:val="21"/>
                    </w:rPr>
                    <w:t>熔点：</w:t>
                  </w:r>
                  <w:r>
                    <w:rPr>
                      <w:rFonts w:hint="eastAsia"/>
                      <w:color w:val="auto"/>
                      <w:szCs w:val="21"/>
                    </w:rPr>
                    <w:t>-182.5</w:t>
                  </w:r>
                  <w:r>
                    <w:rPr>
                      <w:color w:val="auto"/>
                      <w:szCs w:val="21"/>
                    </w:rPr>
                    <w:t>℃</w:t>
                  </w:r>
                </w:p>
                <w:p w14:paraId="72707832">
                  <w:pPr>
                    <w:spacing w:line="276" w:lineRule="auto"/>
                    <w:jc w:val="left"/>
                    <w:rPr>
                      <w:color w:val="auto"/>
                      <w:szCs w:val="21"/>
                    </w:rPr>
                  </w:pPr>
                  <w:r>
                    <w:rPr>
                      <w:color w:val="auto"/>
                      <w:szCs w:val="21"/>
                    </w:rPr>
                    <w:t>沸点：</w:t>
                  </w:r>
                  <w:r>
                    <w:rPr>
                      <w:rFonts w:hint="eastAsia"/>
                      <w:color w:val="auto"/>
                      <w:szCs w:val="21"/>
                    </w:rPr>
                    <w:t>-161.5</w:t>
                  </w:r>
                  <w:r>
                    <w:rPr>
                      <w:color w:val="auto"/>
                      <w:szCs w:val="21"/>
                    </w:rPr>
                    <w:t>℃</w:t>
                  </w:r>
                </w:p>
                <w:p w14:paraId="35721720">
                  <w:pPr>
                    <w:spacing w:line="276" w:lineRule="auto"/>
                    <w:jc w:val="left"/>
                    <w:rPr>
                      <w:color w:val="auto"/>
                      <w:szCs w:val="21"/>
                    </w:rPr>
                  </w:pPr>
                  <w:r>
                    <w:rPr>
                      <w:color w:val="auto"/>
                      <w:szCs w:val="21"/>
                    </w:rPr>
                    <w:t>燃烧热：</w:t>
                  </w:r>
                  <w:r>
                    <w:rPr>
                      <w:rFonts w:hint="eastAsia"/>
                      <w:color w:val="auto"/>
                      <w:szCs w:val="21"/>
                    </w:rPr>
                    <w:t>890.31KJ/mol</w:t>
                  </w:r>
                </w:p>
                <w:p w14:paraId="05AD85C6">
                  <w:pPr>
                    <w:spacing w:line="276" w:lineRule="auto"/>
                    <w:jc w:val="left"/>
                    <w:rPr>
                      <w:color w:val="auto"/>
                      <w:szCs w:val="21"/>
                    </w:rPr>
                  </w:pPr>
                  <w:r>
                    <w:rPr>
                      <w:color w:val="auto"/>
                      <w:szCs w:val="21"/>
                    </w:rPr>
                    <w:t>爆炸极限：</w:t>
                  </w:r>
                  <w:r>
                    <w:rPr>
                      <w:rFonts w:hint="eastAsia"/>
                      <w:color w:val="auto"/>
                      <w:szCs w:val="21"/>
                    </w:rPr>
                    <w:t>14%（室温时）、13%（-162</w:t>
                  </w:r>
                  <w:r>
                    <w:rPr>
                      <w:color w:val="auto"/>
                      <w:szCs w:val="21"/>
                    </w:rPr>
                    <w:t>℃</w:t>
                  </w:r>
                  <w:r>
                    <w:rPr>
                      <w:rFonts w:hint="eastAsia"/>
                      <w:color w:val="auto"/>
                      <w:szCs w:val="21"/>
                    </w:rPr>
                    <w:t>）</w:t>
                  </w:r>
                </w:p>
              </w:tc>
              <w:tc>
                <w:tcPr>
                  <w:tcW w:w="1342" w:type="pct"/>
                  <w:vAlign w:val="center"/>
                </w:tcPr>
                <w:p w14:paraId="2B4986D6">
                  <w:pPr>
                    <w:spacing w:line="276" w:lineRule="auto"/>
                    <w:jc w:val="left"/>
                    <w:rPr>
                      <w:color w:val="auto"/>
                      <w:szCs w:val="21"/>
                    </w:rPr>
                  </w:pPr>
                  <w:r>
                    <w:rPr>
                      <w:color w:val="auto"/>
                      <w:szCs w:val="21"/>
                    </w:rPr>
                    <w:t>燃烧性：</w:t>
                  </w:r>
                  <w:r>
                    <w:rPr>
                      <w:rFonts w:hint="eastAsia"/>
                      <w:color w:val="auto"/>
                      <w:szCs w:val="21"/>
                    </w:rPr>
                    <w:t>极易燃；蒸气能与空气形成爆炸性混合物：当液化天然气由液体蒸发为冷的气体时，其密度与常温下的天然气不同，约比空气重1.5倍，其气体不会立即上升，而是沿着液面或地面扩散，吸收水与地面的热量以及大气与太阳的辐射热，形成白色云团。由雾可察觉冷气的扩散情况，但在可见雾的范围之外，仍有易燃混合物存在。如易燃混合物扩散到火源，就会立即闪回燃着。当冷气温热至-112C左右，就变得比空气轻，开始向上升。液化天然气遇水生成白色冰块，冰块只能在低温下保存，温度升高即迅速蒸发，如急剧扰动能猛烈爆喷。</w:t>
                  </w:r>
                </w:p>
              </w:tc>
              <w:tc>
                <w:tcPr>
                  <w:tcW w:w="892" w:type="pct"/>
                  <w:vAlign w:val="center"/>
                </w:tcPr>
                <w:p w14:paraId="5845B3D2">
                  <w:pPr>
                    <w:spacing w:line="276" w:lineRule="auto"/>
                    <w:jc w:val="center"/>
                    <w:rPr>
                      <w:color w:val="auto"/>
                      <w:szCs w:val="21"/>
                    </w:rPr>
                  </w:pPr>
                  <w:r>
                    <w:rPr>
                      <w:rFonts w:hint="eastAsia"/>
                      <w:color w:val="auto"/>
                      <w:szCs w:val="21"/>
                    </w:rPr>
                    <w:t>/</w:t>
                  </w:r>
                </w:p>
              </w:tc>
            </w:tr>
          </w:tbl>
          <w:p w14:paraId="681FDEEA">
            <w:pPr>
              <w:spacing w:line="360" w:lineRule="auto"/>
              <w:rPr>
                <w:b/>
                <w:color w:val="auto"/>
                <w:sz w:val="24"/>
              </w:rPr>
            </w:pPr>
            <w:r>
              <w:rPr>
                <w:rFonts w:hint="eastAsia"/>
                <w:b/>
                <w:color w:val="auto"/>
                <w:sz w:val="24"/>
              </w:rPr>
              <w:t>注</w:t>
            </w:r>
            <w:r>
              <w:rPr>
                <w:rFonts w:hint="eastAsia"/>
                <w:b/>
                <w:color w:val="auto"/>
                <w:sz w:val="24"/>
                <w:vertAlign w:val="superscript"/>
              </w:rPr>
              <w:t>（1）</w:t>
            </w:r>
            <w:r>
              <w:rPr>
                <w:rFonts w:hint="eastAsia"/>
                <w:b/>
                <w:color w:val="auto"/>
                <w:sz w:val="24"/>
              </w:rPr>
              <w:t>：</w:t>
            </w:r>
            <w:r>
              <w:rPr>
                <w:rFonts w:hint="eastAsia"/>
                <w:color w:val="auto"/>
                <w:sz w:val="24"/>
              </w:rPr>
              <w:t>水性丙烯酸树脂以丙烯酸、丙烯酸甲酯、丙烯酸乙酯、丙烯酸正丁酯和甲基丙烯酸甲酯、甲基丙烯酸正丁酯等为基本成分，经交联成网络结构的丙烯酸系聚合物，分解温度为200~350</w:t>
            </w:r>
            <w:r>
              <w:rPr>
                <w:color w:val="auto"/>
                <w:sz w:val="24"/>
              </w:rPr>
              <w:t>℃</w:t>
            </w:r>
            <w:r>
              <w:rPr>
                <w:rFonts w:hint="eastAsia"/>
                <w:color w:val="auto"/>
                <w:sz w:val="24"/>
              </w:rPr>
              <w:t>。</w:t>
            </w:r>
          </w:p>
          <w:p w14:paraId="3F60396E">
            <w:pPr>
              <w:spacing w:line="360" w:lineRule="auto"/>
              <w:ind w:firstLine="482" w:firstLineChars="200"/>
              <w:rPr>
                <w:b/>
                <w:color w:val="auto"/>
                <w:sz w:val="24"/>
              </w:rPr>
            </w:pPr>
            <w:r>
              <w:rPr>
                <w:rFonts w:hint="eastAsia"/>
                <w:b/>
                <w:color w:val="auto"/>
                <w:sz w:val="24"/>
              </w:rPr>
              <w:t>水性漆合规性分析：</w:t>
            </w:r>
          </w:p>
          <w:p w14:paraId="4FF188C1">
            <w:pPr>
              <w:spacing w:line="360" w:lineRule="auto"/>
              <w:ind w:firstLine="480" w:firstLineChars="200"/>
              <w:rPr>
                <w:bCs/>
                <w:color w:val="auto"/>
                <w:sz w:val="24"/>
              </w:rPr>
            </w:pPr>
            <w:r>
              <w:rPr>
                <w:rFonts w:hint="eastAsia"/>
                <w:bCs/>
                <w:color w:val="auto"/>
                <w:sz w:val="24"/>
              </w:rPr>
              <w:t>本项目着色玻璃制品生产时喷涂工序使用的水性漆与霍山宇诚玻璃制品科技有限公司生产原料相同，原料种类包括琥珀色、烟灰色、七彩色。根据霍山宇诚玻璃制品科技有限公司提供的水性漆MSDS及成分占比可知，水性漆挥发性有机物主要为乙醇，含量占比为20%，年使用45吨（约40.5m</w:t>
            </w:r>
            <w:r>
              <w:rPr>
                <w:rFonts w:hint="eastAsia"/>
                <w:bCs/>
                <w:color w:val="auto"/>
                <w:sz w:val="24"/>
                <w:vertAlign w:val="superscript"/>
              </w:rPr>
              <w:t>3</w:t>
            </w:r>
            <w:r>
              <w:rPr>
                <w:rFonts w:hint="eastAsia"/>
                <w:bCs/>
                <w:color w:val="auto"/>
                <w:sz w:val="24"/>
              </w:rPr>
              <w:t>）水性漆，经计算VOC含量为222.2g/L；引用霍山宇诚玻璃制品科技有限公司提供的水性漆VOC含量检测报告，VOC含量为53~72g/L。依据《低挥发性有机化合物含量涂料产品技术要求》（GB/T 38597-2020），水性漆属水性涂料，对照表1中工业防护涂料—包装涂料（不粘涂料）VOC含量要求分析。</w:t>
            </w:r>
          </w:p>
          <w:p w14:paraId="7E4506DF">
            <w:pPr>
              <w:pStyle w:val="219"/>
              <w:jc w:val="center"/>
              <w:rPr>
                <w:rFonts w:eastAsia="黑体" w:cs="Times New Roman"/>
                <w:bCs/>
                <w:color w:val="auto"/>
                <w:szCs w:val="21"/>
              </w:rPr>
            </w:pPr>
            <w:r>
              <w:rPr>
                <w:rFonts w:hAnsi="黑体" w:eastAsia="黑体" w:cs="Times New Roman"/>
                <w:color w:val="auto"/>
              </w:rPr>
              <w:t>表</w:t>
            </w:r>
            <w:r>
              <w:rPr>
                <w:rFonts w:hint="eastAsia" w:eastAsia="黑体" w:cs="Times New Roman"/>
                <w:color w:val="auto"/>
              </w:rPr>
              <w:t>17</w:t>
            </w:r>
            <w:r>
              <w:rPr>
                <w:rFonts w:eastAsia="黑体" w:cs="Times New Roman"/>
                <w:color w:val="auto"/>
              </w:rPr>
              <w:t xml:space="preserve">  </w:t>
            </w:r>
            <w:r>
              <w:rPr>
                <w:rFonts w:hAnsi="黑体" w:eastAsia="黑体" w:cs="Times New Roman"/>
                <w:color w:val="auto"/>
              </w:rPr>
              <w:t>水性涂料</w:t>
            </w:r>
            <w:r>
              <w:rPr>
                <w:rFonts w:eastAsia="黑体" w:cs="Times New Roman"/>
                <w:color w:val="auto"/>
              </w:rPr>
              <w:t>VOC</w:t>
            </w:r>
            <w:r>
              <w:rPr>
                <w:rFonts w:hAnsi="黑体" w:eastAsia="黑体" w:cs="Times New Roman"/>
                <w:color w:val="auto"/>
              </w:rPr>
              <w:t>含量符合分析表</w:t>
            </w:r>
          </w:p>
          <w:tbl>
            <w:tblPr>
              <w:tblStyle w:val="35"/>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136"/>
              <w:gridCol w:w="1376"/>
              <w:gridCol w:w="1276"/>
              <w:gridCol w:w="1793"/>
              <w:gridCol w:w="1264"/>
              <w:gridCol w:w="1264"/>
            </w:tblGrid>
            <w:tr w14:paraId="76ADDE9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jc w:val="center"/>
              </w:trPr>
              <w:tc>
                <w:tcPr>
                  <w:tcW w:w="1136" w:type="dxa"/>
                  <w:vAlign w:val="center"/>
                </w:tcPr>
                <w:p w14:paraId="487EBC31">
                  <w:pPr>
                    <w:spacing w:line="276" w:lineRule="auto"/>
                    <w:jc w:val="center"/>
                    <w:rPr>
                      <w:b/>
                      <w:bCs/>
                      <w:color w:val="auto"/>
                      <w:szCs w:val="21"/>
                    </w:rPr>
                  </w:pPr>
                  <w:r>
                    <w:rPr>
                      <w:rFonts w:hint="eastAsia"/>
                      <w:b/>
                      <w:bCs/>
                      <w:color w:val="auto"/>
                      <w:szCs w:val="21"/>
                    </w:rPr>
                    <w:t>名称</w:t>
                  </w:r>
                </w:p>
              </w:tc>
              <w:tc>
                <w:tcPr>
                  <w:tcW w:w="1376" w:type="dxa"/>
                  <w:vAlign w:val="center"/>
                </w:tcPr>
                <w:p w14:paraId="4068321A">
                  <w:pPr>
                    <w:spacing w:line="276" w:lineRule="auto"/>
                    <w:jc w:val="center"/>
                    <w:rPr>
                      <w:b/>
                      <w:bCs/>
                      <w:color w:val="auto"/>
                      <w:szCs w:val="21"/>
                    </w:rPr>
                  </w:pPr>
                  <w:r>
                    <w:rPr>
                      <w:rFonts w:hint="eastAsia"/>
                      <w:b/>
                      <w:bCs/>
                      <w:color w:val="auto"/>
                      <w:szCs w:val="21"/>
                    </w:rPr>
                    <w:t>产品分类</w:t>
                  </w:r>
                </w:p>
              </w:tc>
              <w:tc>
                <w:tcPr>
                  <w:tcW w:w="1276" w:type="dxa"/>
                  <w:vAlign w:val="center"/>
                </w:tcPr>
                <w:p w14:paraId="425797A0">
                  <w:pPr>
                    <w:spacing w:line="276" w:lineRule="auto"/>
                    <w:jc w:val="center"/>
                    <w:rPr>
                      <w:b/>
                      <w:bCs/>
                      <w:color w:val="auto"/>
                      <w:szCs w:val="21"/>
                    </w:rPr>
                  </w:pPr>
                  <w:r>
                    <w:rPr>
                      <w:rFonts w:hint="eastAsia"/>
                      <w:b/>
                      <w:bCs/>
                      <w:color w:val="auto"/>
                      <w:szCs w:val="21"/>
                    </w:rPr>
                    <w:t>VOC含量</w:t>
                  </w:r>
                </w:p>
              </w:tc>
              <w:tc>
                <w:tcPr>
                  <w:tcW w:w="1793" w:type="dxa"/>
                  <w:vAlign w:val="center"/>
                </w:tcPr>
                <w:p w14:paraId="53BD1E97">
                  <w:pPr>
                    <w:spacing w:line="276" w:lineRule="auto"/>
                    <w:jc w:val="center"/>
                    <w:rPr>
                      <w:b/>
                      <w:bCs/>
                      <w:color w:val="auto"/>
                      <w:szCs w:val="21"/>
                    </w:rPr>
                  </w:pPr>
                  <w:r>
                    <w:rPr>
                      <w:b/>
                      <w:bCs/>
                      <w:color w:val="auto"/>
                      <w:szCs w:val="21"/>
                    </w:rPr>
                    <w:t>来源</w:t>
                  </w:r>
                </w:p>
              </w:tc>
              <w:tc>
                <w:tcPr>
                  <w:tcW w:w="1264" w:type="dxa"/>
                  <w:vAlign w:val="center"/>
                </w:tcPr>
                <w:p w14:paraId="6D6D1884">
                  <w:pPr>
                    <w:spacing w:line="276" w:lineRule="auto"/>
                    <w:jc w:val="center"/>
                    <w:rPr>
                      <w:b/>
                      <w:bCs/>
                      <w:color w:val="auto"/>
                      <w:szCs w:val="21"/>
                    </w:rPr>
                  </w:pPr>
                  <w:r>
                    <w:rPr>
                      <w:rFonts w:hint="eastAsia"/>
                      <w:b/>
                      <w:bCs/>
                      <w:color w:val="auto"/>
                      <w:szCs w:val="21"/>
                    </w:rPr>
                    <w:t>限量值</w:t>
                  </w:r>
                </w:p>
              </w:tc>
              <w:tc>
                <w:tcPr>
                  <w:tcW w:w="1264" w:type="dxa"/>
                  <w:vAlign w:val="center"/>
                </w:tcPr>
                <w:p w14:paraId="5F7F099B">
                  <w:pPr>
                    <w:spacing w:line="276" w:lineRule="auto"/>
                    <w:jc w:val="center"/>
                    <w:rPr>
                      <w:b/>
                      <w:bCs/>
                      <w:color w:val="auto"/>
                      <w:szCs w:val="21"/>
                    </w:rPr>
                  </w:pPr>
                  <w:r>
                    <w:rPr>
                      <w:rFonts w:hint="eastAsia"/>
                      <w:b/>
                      <w:bCs/>
                      <w:color w:val="auto"/>
                      <w:szCs w:val="21"/>
                    </w:rPr>
                    <w:t>符合性</w:t>
                  </w:r>
                </w:p>
              </w:tc>
            </w:tr>
            <w:tr w14:paraId="4CDC91E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36" w:type="dxa"/>
                  <w:vMerge w:val="restart"/>
                  <w:vAlign w:val="center"/>
                </w:tcPr>
                <w:p w14:paraId="16D659B2">
                  <w:pPr>
                    <w:spacing w:line="276" w:lineRule="auto"/>
                    <w:jc w:val="center"/>
                    <w:rPr>
                      <w:bCs/>
                      <w:color w:val="auto"/>
                      <w:szCs w:val="21"/>
                    </w:rPr>
                  </w:pPr>
                  <w:r>
                    <w:rPr>
                      <w:rFonts w:hint="eastAsia"/>
                      <w:bCs/>
                      <w:color w:val="auto"/>
                      <w:szCs w:val="21"/>
                    </w:rPr>
                    <w:t>水性漆</w:t>
                  </w:r>
                </w:p>
              </w:tc>
              <w:tc>
                <w:tcPr>
                  <w:tcW w:w="1376" w:type="dxa"/>
                  <w:vMerge w:val="restart"/>
                  <w:vAlign w:val="center"/>
                </w:tcPr>
                <w:p w14:paraId="31746FF8">
                  <w:pPr>
                    <w:spacing w:line="276" w:lineRule="auto"/>
                    <w:jc w:val="center"/>
                    <w:rPr>
                      <w:bCs/>
                      <w:color w:val="auto"/>
                      <w:szCs w:val="21"/>
                    </w:rPr>
                  </w:pPr>
                  <w:r>
                    <w:rPr>
                      <w:bCs/>
                      <w:color w:val="auto"/>
                      <w:szCs w:val="21"/>
                    </w:rPr>
                    <w:t>包装涂料（不粘涂料）</w:t>
                  </w:r>
                </w:p>
              </w:tc>
              <w:tc>
                <w:tcPr>
                  <w:tcW w:w="1276" w:type="dxa"/>
                  <w:vAlign w:val="center"/>
                </w:tcPr>
                <w:p w14:paraId="3A8D6D65">
                  <w:pPr>
                    <w:spacing w:line="276" w:lineRule="auto"/>
                    <w:jc w:val="center"/>
                    <w:rPr>
                      <w:bCs/>
                      <w:color w:val="auto"/>
                      <w:szCs w:val="21"/>
                    </w:rPr>
                  </w:pPr>
                  <w:r>
                    <w:rPr>
                      <w:rFonts w:hint="eastAsia"/>
                      <w:bCs/>
                      <w:color w:val="auto"/>
                      <w:szCs w:val="21"/>
                    </w:rPr>
                    <w:t>53~72g/L</w:t>
                  </w:r>
                </w:p>
              </w:tc>
              <w:tc>
                <w:tcPr>
                  <w:tcW w:w="1793" w:type="dxa"/>
                  <w:vAlign w:val="center"/>
                </w:tcPr>
                <w:p w14:paraId="3C23EE1A">
                  <w:pPr>
                    <w:spacing w:line="276" w:lineRule="auto"/>
                    <w:jc w:val="center"/>
                    <w:rPr>
                      <w:bCs/>
                      <w:color w:val="auto"/>
                      <w:szCs w:val="21"/>
                    </w:rPr>
                  </w:pPr>
                  <w:r>
                    <w:rPr>
                      <w:bCs/>
                      <w:color w:val="auto"/>
                      <w:szCs w:val="21"/>
                    </w:rPr>
                    <w:t>检测报告测定值</w:t>
                  </w:r>
                </w:p>
              </w:tc>
              <w:tc>
                <w:tcPr>
                  <w:tcW w:w="1264" w:type="dxa"/>
                  <w:vMerge w:val="restart"/>
                  <w:vAlign w:val="center"/>
                </w:tcPr>
                <w:p w14:paraId="6DD19D26">
                  <w:pPr>
                    <w:spacing w:line="276" w:lineRule="auto"/>
                    <w:jc w:val="center"/>
                    <w:rPr>
                      <w:bCs/>
                      <w:color w:val="auto"/>
                      <w:szCs w:val="21"/>
                    </w:rPr>
                  </w:pPr>
                  <w:r>
                    <w:rPr>
                      <w:rFonts w:hint="eastAsia"/>
                      <w:bCs/>
                      <w:color w:val="auto"/>
                      <w:szCs w:val="21"/>
                    </w:rPr>
                    <w:t>270g/L</w:t>
                  </w:r>
                </w:p>
              </w:tc>
              <w:tc>
                <w:tcPr>
                  <w:tcW w:w="1264" w:type="dxa"/>
                  <w:vAlign w:val="center"/>
                </w:tcPr>
                <w:p w14:paraId="6DD4CCB9">
                  <w:pPr>
                    <w:spacing w:line="276" w:lineRule="auto"/>
                    <w:jc w:val="center"/>
                    <w:rPr>
                      <w:bCs/>
                      <w:color w:val="auto"/>
                      <w:szCs w:val="21"/>
                    </w:rPr>
                  </w:pPr>
                  <w:r>
                    <w:rPr>
                      <w:rFonts w:hint="eastAsia"/>
                      <w:bCs/>
                      <w:color w:val="auto"/>
                      <w:szCs w:val="21"/>
                    </w:rPr>
                    <w:t>符合</w:t>
                  </w:r>
                </w:p>
              </w:tc>
            </w:tr>
            <w:tr w14:paraId="41B8FAE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36" w:type="dxa"/>
                  <w:vMerge w:val="continue"/>
                  <w:vAlign w:val="center"/>
                </w:tcPr>
                <w:p w14:paraId="2451C717">
                  <w:pPr>
                    <w:spacing w:line="276" w:lineRule="auto"/>
                    <w:jc w:val="center"/>
                    <w:rPr>
                      <w:bCs/>
                      <w:color w:val="auto"/>
                      <w:szCs w:val="21"/>
                    </w:rPr>
                  </w:pPr>
                </w:p>
              </w:tc>
              <w:tc>
                <w:tcPr>
                  <w:tcW w:w="1376" w:type="dxa"/>
                  <w:vMerge w:val="continue"/>
                  <w:vAlign w:val="center"/>
                </w:tcPr>
                <w:p w14:paraId="113D6E96">
                  <w:pPr>
                    <w:spacing w:line="276" w:lineRule="auto"/>
                    <w:jc w:val="center"/>
                    <w:rPr>
                      <w:bCs/>
                      <w:color w:val="auto"/>
                      <w:szCs w:val="21"/>
                    </w:rPr>
                  </w:pPr>
                </w:p>
              </w:tc>
              <w:tc>
                <w:tcPr>
                  <w:tcW w:w="1276" w:type="dxa"/>
                  <w:vAlign w:val="center"/>
                </w:tcPr>
                <w:p w14:paraId="041AA762">
                  <w:pPr>
                    <w:spacing w:line="276" w:lineRule="auto"/>
                    <w:jc w:val="center"/>
                    <w:rPr>
                      <w:bCs/>
                      <w:color w:val="auto"/>
                      <w:szCs w:val="21"/>
                    </w:rPr>
                  </w:pPr>
                  <w:r>
                    <w:rPr>
                      <w:rFonts w:hint="eastAsia"/>
                      <w:bCs/>
                      <w:color w:val="auto"/>
                      <w:szCs w:val="21"/>
                    </w:rPr>
                    <w:t>222.2g/L</w:t>
                  </w:r>
                </w:p>
              </w:tc>
              <w:tc>
                <w:tcPr>
                  <w:tcW w:w="1793" w:type="dxa"/>
                  <w:vAlign w:val="center"/>
                </w:tcPr>
                <w:p w14:paraId="23143C58">
                  <w:pPr>
                    <w:spacing w:line="276" w:lineRule="auto"/>
                    <w:jc w:val="center"/>
                    <w:rPr>
                      <w:bCs/>
                      <w:color w:val="auto"/>
                      <w:szCs w:val="21"/>
                    </w:rPr>
                  </w:pPr>
                  <w:r>
                    <w:rPr>
                      <w:rFonts w:hint="eastAsia"/>
                      <w:bCs/>
                      <w:color w:val="auto"/>
                      <w:szCs w:val="21"/>
                    </w:rPr>
                    <w:t>计算值</w:t>
                  </w:r>
                </w:p>
              </w:tc>
              <w:tc>
                <w:tcPr>
                  <w:tcW w:w="1264" w:type="dxa"/>
                  <w:vMerge w:val="continue"/>
                  <w:vAlign w:val="center"/>
                </w:tcPr>
                <w:p w14:paraId="7769B023">
                  <w:pPr>
                    <w:spacing w:line="276" w:lineRule="auto"/>
                    <w:jc w:val="center"/>
                    <w:rPr>
                      <w:bCs/>
                      <w:color w:val="auto"/>
                      <w:szCs w:val="21"/>
                    </w:rPr>
                  </w:pPr>
                </w:p>
              </w:tc>
              <w:tc>
                <w:tcPr>
                  <w:tcW w:w="1264" w:type="dxa"/>
                  <w:vAlign w:val="center"/>
                </w:tcPr>
                <w:p w14:paraId="1006B812">
                  <w:pPr>
                    <w:spacing w:line="276" w:lineRule="auto"/>
                    <w:jc w:val="center"/>
                    <w:rPr>
                      <w:bCs/>
                      <w:color w:val="auto"/>
                      <w:szCs w:val="21"/>
                    </w:rPr>
                  </w:pPr>
                  <w:r>
                    <w:rPr>
                      <w:rFonts w:hint="eastAsia"/>
                      <w:bCs/>
                      <w:color w:val="auto"/>
                      <w:szCs w:val="21"/>
                    </w:rPr>
                    <w:t>符合</w:t>
                  </w:r>
                </w:p>
              </w:tc>
            </w:tr>
          </w:tbl>
          <w:p w14:paraId="4E11EC1D">
            <w:pPr>
              <w:spacing w:line="360" w:lineRule="auto"/>
              <w:ind w:firstLine="480" w:firstLineChars="200"/>
              <w:rPr>
                <w:bCs/>
                <w:color w:val="auto"/>
                <w:sz w:val="24"/>
              </w:rPr>
            </w:pPr>
            <w:r>
              <w:rPr>
                <w:rFonts w:hint="eastAsia"/>
                <w:bCs/>
                <w:color w:val="auto"/>
                <w:sz w:val="24"/>
              </w:rPr>
              <w:t>对照GB/T38597-2020中表1水性涂料中VOC含量的要求，本项目使用的水性漆VOC含量＜270g/L，可知，本项目使用的水性涂料符合低挥发性有机化合物含量涂料产品限值要求。</w:t>
            </w:r>
          </w:p>
          <w:p w14:paraId="262B6469">
            <w:pPr>
              <w:spacing w:line="360" w:lineRule="auto"/>
              <w:ind w:firstLine="482" w:firstLineChars="200"/>
              <w:rPr>
                <w:b/>
                <w:bCs/>
                <w:color w:val="auto"/>
                <w:sz w:val="24"/>
              </w:rPr>
            </w:pPr>
            <w:r>
              <w:rPr>
                <w:rFonts w:hint="eastAsia"/>
                <w:b/>
                <w:bCs/>
                <w:color w:val="auto"/>
                <w:sz w:val="24"/>
              </w:rPr>
              <w:t>水性漆用量合理性分析：</w:t>
            </w:r>
          </w:p>
          <w:p w14:paraId="087D03DA">
            <w:pPr>
              <w:spacing w:line="360" w:lineRule="auto"/>
              <w:ind w:firstLine="480" w:firstLineChars="200"/>
              <w:rPr>
                <w:bCs/>
                <w:color w:val="auto"/>
                <w:sz w:val="24"/>
              </w:rPr>
            </w:pPr>
            <w:r>
              <w:rPr>
                <w:rFonts w:hint="eastAsia"/>
                <w:bCs/>
                <w:color w:val="auto"/>
                <w:sz w:val="24"/>
              </w:rPr>
              <w:t>根据建设单位提供资料，热端喷涂装置设置有喷嘴，喷嘴喷出涂料，结合水性漆计算公式，水性漆用量=喷涂面积×喷涂厚度÷（喷涂效率×水性漆固含量）×密度。根据企业提供资料，现有项目玻璃制品折标准规格为200g/只，单只玻璃制品尺寸为</w:t>
            </w:r>
            <w:r>
              <w:rPr>
                <w:rFonts w:hint="eastAsia" w:ascii="宋体" w:hAnsi="宋体"/>
                <w:bCs/>
                <w:color w:val="auto"/>
                <w:sz w:val="24"/>
              </w:rPr>
              <w:t>Φ80</w:t>
            </w:r>
            <w:r>
              <w:rPr>
                <w:rFonts w:hint="eastAsia"/>
                <w:bCs/>
                <w:color w:val="auto"/>
                <w:sz w:val="24"/>
              </w:rPr>
              <w:t>mm×55mm，项目年产1500万只着色玻璃制品，喷涂面积约282600m</w:t>
            </w:r>
            <w:r>
              <w:rPr>
                <w:rFonts w:hint="eastAsia"/>
                <w:bCs/>
                <w:color w:val="auto"/>
                <w:sz w:val="24"/>
                <w:vertAlign w:val="superscript"/>
              </w:rPr>
              <w:t>2</w:t>
            </w:r>
            <w:r>
              <w:rPr>
                <w:rFonts w:hint="eastAsia"/>
                <w:bCs/>
                <w:color w:val="auto"/>
                <w:sz w:val="24"/>
              </w:rPr>
              <w:t>，通过计算可得本项目水性漆用量，详见表22：</w:t>
            </w:r>
          </w:p>
          <w:p w14:paraId="4F41F5E8">
            <w:pPr>
              <w:pStyle w:val="219"/>
              <w:jc w:val="center"/>
              <w:rPr>
                <w:rFonts w:eastAsia="黑体" w:cs="Times New Roman"/>
                <w:bCs/>
                <w:color w:val="auto"/>
                <w:szCs w:val="21"/>
              </w:rPr>
            </w:pPr>
            <w:r>
              <w:rPr>
                <w:rFonts w:hAnsi="黑体" w:eastAsia="黑体" w:cs="Times New Roman"/>
                <w:color w:val="auto"/>
              </w:rPr>
              <w:t>表</w:t>
            </w:r>
            <w:r>
              <w:rPr>
                <w:rFonts w:hint="eastAsia" w:eastAsia="黑体" w:cs="Times New Roman"/>
                <w:color w:val="auto"/>
              </w:rPr>
              <w:t>18</w:t>
            </w:r>
            <w:r>
              <w:rPr>
                <w:rFonts w:eastAsia="黑体" w:cs="Times New Roman"/>
                <w:color w:val="auto"/>
              </w:rPr>
              <w:t xml:space="preserve">  </w:t>
            </w:r>
            <w:r>
              <w:rPr>
                <w:rFonts w:hAnsi="黑体" w:eastAsia="黑体" w:cs="Times New Roman"/>
                <w:color w:val="auto"/>
              </w:rPr>
              <w:t>项目水性漆用量估算一览表</w:t>
            </w:r>
          </w:p>
          <w:tbl>
            <w:tblPr>
              <w:tblStyle w:val="35"/>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161"/>
              <w:gridCol w:w="1161"/>
              <w:gridCol w:w="1162"/>
              <w:gridCol w:w="1162"/>
              <w:gridCol w:w="1162"/>
              <w:gridCol w:w="1162"/>
              <w:gridCol w:w="1162"/>
            </w:tblGrid>
            <w:tr w14:paraId="18B59B6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61" w:type="dxa"/>
                  <w:vAlign w:val="center"/>
                </w:tcPr>
                <w:p w14:paraId="24E48DA4">
                  <w:pPr>
                    <w:spacing w:line="276" w:lineRule="auto"/>
                    <w:jc w:val="center"/>
                    <w:rPr>
                      <w:bCs/>
                      <w:color w:val="auto"/>
                      <w:szCs w:val="21"/>
                    </w:rPr>
                  </w:pPr>
                  <w:r>
                    <w:rPr>
                      <w:rFonts w:hint="eastAsia"/>
                      <w:bCs/>
                      <w:color w:val="auto"/>
                      <w:szCs w:val="21"/>
                    </w:rPr>
                    <w:t>种类</w:t>
                  </w:r>
                </w:p>
              </w:tc>
              <w:tc>
                <w:tcPr>
                  <w:tcW w:w="1161" w:type="dxa"/>
                  <w:vAlign w:val="center"/>
                </w:tcPr>
                <w:p w14:paraId="465200F2">
                  <w:pPr>
                    <w:spacing w:line="276" w:lineRule="auto"/>
                    <w:jc w:val="center"/>
                    <w:rPr>
                      <w:bCs/>
                      <w:color w:val="auto"/>
                      <w:szCs w:val="21"/>
                    </w:rPr>
                  </w:pPr>
                  <w:r>
                    <w:rPr>
                      <w:rFonts w:hint="eastAsia"/>
                      <w:bCs/>
                      <w:color w:val="auto"/>
                      <w:szCs w:val="21"/>
                    </w:rPr>
                    <w:t>喷涂面积（m</w:t>
                  </w:r>
                  <w:r>
                    <w:rPr>
                      <w:rFonts w:hint="eastAsia"/>
                      <w:bCs/>
                      <w:color w:val="auto"/>
                      <w:szCs w:val="21"/>
                      <w:vertAlign w:val="superscript"/>
                    </w:rPr>
                    <w:t>2</w:t>
                  </w:r>
                  <w:r>
                    <w:rPr>
                      <w:rFonts w:hint="eastAsia"/>
                      <w:bCs/>
                      <w:color w:val="auto"/>
                      <w:szCs w:val="21"/>
                    </w:rPr>
                    <w:t>）</w:t>
                  </w:r>
                </w:p>
              </w:tc>
              <w:tc>
                <w:tcPr>
                  <w:tcW w:w="1162" w:type="dxa"/>
                  <w:vAlign w:val="center"/>
                </w:tcPr>
                <w:p w14:paraId="0BF5BD26">
                  <w:pPr>
                    <w:spacing w:line="276" w:lineRule="auto"/>
                    <w:jc w:val="center"/>
                    <w:rPr>
                      <w:bCs/>
                      <w:color w:val="auto"/>
                      <w:szCs w:val="21"/>
                    </w:rPr>
                  </w:pPr>
                  <w:r>
                    <w:rPr>
                      <w:rFonts w:hint="eastAsia"/>
                      <w:bCs/>
                      <w:color w:val="auto"/>
                      <w:szCs w:val="21"/>
                    </w:rPr>
                    <w:t>喷涂厚度（</w:t>
                  </w:r>
                  <w:r>
                    <w:rPr>
                      <w:bCs/>
                      <w:color w:val="auto"/>
                      <w:szCs w:val="21"/>
                    </w:rPr>
                    <w:t>μm</w:t>
                  </w:r>
                  <w:r>
                    <w:rPr>
                      <w:rFonts w:hint="eastAsia"/>
                      <w:bCs/>
                      <w:color w:val="auto"/>
                      <w:szCs w:val="21"/>
                    </w:rPr>
                    <w:t>）</w:t>
                  </w:r>
                </w:p>
              </w:tc>
              <w:tc>
                <w:tcPr>
                  <w:tcW w:w="1162" w:type="dxa"/>
                  <w:vAlign w:val="center"/>
                </w:tcPr>
                <w:p w14:paraId="4B4AFB3D">
                  <w:pPr>
                    <w:spacing w:line="276" w:lineRule="auto"/>
                    <w:jc w:val="center"/>
                    <w:rPr>
                      <w:bCs/>
                      <w:color w:val="auto"/>
                      <w:szCs w:val="21"/>
                    </w:rPr>
                  </w:pPr>
                  <w:r>
                    <w:rPr>
                      <w:rFonts w:hint="eastAsia"/>
                      <w:bCs/>
                      <w:color w:val="auto"/>
                      <w:szCs w:val="21"/>
                    </w:rPr>
                    <w:t>喷涂效率（%）</w:t>
                  </w:r>
                </w:p>
              </w:tc>
              <w:tc>
                <w:tcPr>
                  <w:tcW w:w="1162" w:type="dxa"/>
                  <w:vAlign w:val="center"/>
                </w:tcPr>
                <w:p w14:paraId="7E5B56B1">
                  <w:pPr>
                    <w:spacing w:line="276" w:lineRule="auto"/>
                    <w:jc w:val="center"/>
                    <w:rPr>
                      <w:bCs/>
                      <w:color w:val="auto"/>
                      <w:szCs w:val="21"/>
                    </w:rPr>
                  </w:pPr>
                  <w:r>
                    <w:rPr>
                      <w:rFonts w:hint="eastAsia"/>
                      <w:bCs/>
                      <w:color w:val="auto"/>
                      <w:szCs w:val="21"/>
                    </w:rPr>
                    <w:t>水性漆固含量（%）</w:t>
                  </w:r>
                </w:p>
              </w:tc>
              <w:tc>
                <w:tcPr>
                  <w:tcW w:w="1162" w:type="dxa"/>
                  <w:vAlign w:val="center"/>
                </w:tcPr>
                <w:p w14:paraId="7CA76443">
                  <w:pPr>
                    <w:spacing w:line="276" w:lineRule="auto"/>
                    <w:jc w:val="center"/>
                    <w:rPr>
                      <w:bCs/>
                      <w:color w:val="auto"/>
                      <w:szCs w:val="21"/>
                    </w:rPr>
                  </w:pPr>
                  <w:r>
                    <w:rPr>
                      <w:rFonts w:hint="eastAsia"/>
                      <w:bCs/>
                      <w:color w:val="auto"/>
                      <w:szCs w:val="21"/>
                    </w:rPr>
                    <w:t>水性漆密度（g/cm</w:t>
                  </w:r>
                  <w:r>
                    <w:rPr>
                      <w:rFonts w:hint="eastAsia"/>
                      <w:bCs/>
                      <w:color w:val="auto"/>
                      <w:szCs w:val="21"/>
                      <w:vertAlign w:val="superscript"/>
                    </w:rPr>
                    <w:t>3</w:t>
                  </w:r>
                  <w:r>
                    <w:rPr>
                      <w:rFonts w:hint="eastAsia"/>
                      <w:bCs/>
                      <w:color w:val="auto"/>
                      <w:szCs w:val="21"/>
                    </w:rPr>
                    <w:t>）</w:t>
                  </w:r>
                </w:p>
              </w:tc>
              <w:tc>
                <w:tcPr>
                  <w:tcW w:w="1162" w:type="dxa"/>
                  <w:vAlign w:val="center"/>
                </w:tcPr>
                <w:p w14:paraId="0747DA32">
                  <w:pPr>
                    <w:spacing w:line="276" w:lineRule="auto"/>
                    <w:jc w:val="center"/>
                    <w:rPr>
                      <w:bCs/>
                      <w:color w:val="auto"/>
                      <w:szCs w:val="21"/>
                    </w:rPr>
                  </w:pPr>
                  <w:r>
                    <w:rPr>
                      <w:rFonts w:hint="eastAsia"/>
                      <w:bCs/>
                      <w:color w:val="auto"/>
                      <w:szCs w:val="21"/>
                    </w:rPr>
                    <w:t>水性漆用量（t）</w:t>
                  </w:r>
                </w:p>
              </w:tc>
            </w:tr>
            <w:tr w14:paraId="3B2A341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61" w:type="dxa"/>
                  <w:vAlign w:val="center"/>
                </w:tcPr>
                <w:p w14:paraId="6D1EDC60">
                  <w:pPr>
                    <w:spacing w:line="276" w:lineRule="auto"/>
                    <w:jc w:val="center"/>
                    <w:rPr>
                      <w:bCs/>
                      <w:color w:val="auto"/>
                      <w:szCs w:val="21"/>
                    </w:rPr>
                  </w:pPr>
                  <w:r>
                    <w:rPr>
                      <w:rFonts w:hint="eastAsia"/>
                      <w:bCs/>
                      <w:color w:val="auto"/>
                      <w:szCs w:val="21"/>
                    </w:rPr>
                    <w:t>水性漆</w:t>
                  </w:r>
                </w:p>
              </w:tc>
              <w:tc>
                <w:tcPr>
                  <w:tcW w:w="1161" w:type="dxa"/>
                  <w:vAlign w:val="center"/>
                </w:tcPr>
                <w:p w14:paraId="46AEBF41">
                  <w:pPr>
                    <w:spacing w:line="276" w:lineRule="auto"/>
                    <w:jc w:val="center"/>
                    <w:rPr>
                      <w:bCs/>
                      <w:color w:val="auto"/>
                      <w:szCs w:val="21"/>
                    </w:rPr>
                  </w:pPr>
                  <w:r>
                    <w:rPr>
                      <w:rFonts w:hint="eastAsia"/>
                      <w:bCs/>
                      <w:color w:val="auto"/>
                      <w:szCs w:val="21"/>
                    </w:rPr>
                    <w:t>282600</w:t>
                  </w:r>
                </w:p>
              </w:tc>
              <w:tc>
                <w:tcPr>
                  <w:tcW w:w="1162" w:type="dxa"/>
                  <w:vAlign w:val="center"/>
                </w:tcPr>
                <w:p w14:paraId="7417E8A0">
                  <w:pPr>
                    <w:spacing w:line="276" w:lineRule="auto"/>
                    <w:jc w:val="center"/>
                    <w:rPr>
                      <w:bCs/>
                      <w:color w:val="auto"/>
                      <w:szCs w:val="21"/>
                    </w:rPr>
                  </w:pPr>
                  <w:r>
                    <w:rPr>
                      <w:rFonts w:hint="eastAsia"/>
                      <w:bCs/>
                      <w:color w:val="auto"/>
                      <w:szCs w:val="21"/>
                    </w:rPr>
                    <w:t>15</w:t>
                  </w:r>
                </w:p>
              </w:tc>
              <w:tc>
                <w:tcPr>
                  <w:tcW w:w="1162" w:type="dxa"/>
                  <w:vAlign w:val="center"/>
                </w:tcPr>
                <w:p w14:paraId="109956F5">
                  <w:pPr>
                    <w:spacing w:line="276" w:lineRule="auto"/>
                    <w:jc w:val="center"/>
                    <w:rPr>
                      <w:bCs/>
                      <w:color w:val="auto"/>
                      <w:szCs w:val="21"/>
                    </w:rPr>
                  </w:pPr>
                  <w:r>
                    <w:rPr>
                      <w:rFonts w:hint="eastAsia"/>
                      <w:bCs/>
                      <w:color w:val="auto"/>
                      <w:szCs w:val="21"/>
                    </w:rPr>
                    <w:t>50</w:t>
                  </w:r>
                </w:p>
              </w:tc>
              <w:tc>
                <w:tcPr>
                  <w:tcW w:w="1162" w:type="dxa"/>
                  <w:vAlign w:val="center"/>
                </w:tcPr>
                <w:p w14:paraId="57D67216">
                  <w:pPr>
                    <w:spacing w:line="276" w:lineRule="auto"/>
                    <w:jc w:val="center"/>
                    <w:rPr>
                      <w:bCs/>
                      <w:color w:val="auto"/>
                      <w:szCs w:val="21"/>
                    </w:rPr>
                  </w:pPr>
                  <w:r>
                    <w:rPr>
                      <w:rFonts w:hint="eastAsia"/>
                      <w:bCs/>
                      <w:color w:val="auto"/>
                      <w:szCs w:val="21"/>
                    </w:rPr>
                    <w:t>20</w:t>
                  </w:r>
                </w:p>
              </w:tc>
              <w:tc>
                <w:tcPr>
                  <w:tcW w:w="1162" w:type="dxa"/>
                  <w:vAlign w:val="center"/>
                </w:tcPr>
                <w:p w14:paraId="26F3C152">
                  <w:pPr>
                    <w:spacing w:line="276" w:lineRule="auto"/>
                    <w:jc w:val="center"/>
                    <w:rPr>
                      <w:bCs/>
                      <w:color w:val="auto"/>
                      <w:szCs w:val="21"/>
                    </w:rPr>
                  </w:pPr>
                  <w:r>
                    <w:rPr>
                      <w:rFonts w:hint="eastAsia"/>
                      <w:bCs/>
                      <w:color w:val="auto"/>
                      <w:szCs w:val="21"/>
                    </w:rPr>
                    <w:t>1.04</w:t>
                  </w:r>
                </w:p>
              </w:tc>
              <w:tc>
                <w:tcPr>
                  <w:tcW w:w="1162" w:type="dxa"/>
                  <w:vAlign w:val="center"/>
                </w:tcPr>
                <w:p w14:paraId="168E7B35">
                  <w:pPr>
                    <w:spacing w:line="276" w:lineRule="auto"/>
                    <w:jc w:val="center"/>
                    <w:rPr>
                      <w:bCs/>
                      <w:color w:val="auto"/>
                      <w:szCs w:val="21"/>
                    </w:rPr>
                  </w:pPr>
                  <w:r>
                    <w:rPr>
                      <w:rFonts w:hint="eastAsia"/>
                      <w:bCs/>
                      <w:color w:val="auto"/>
                      <w:szCs w:val="21"/>
                    </w:rPr>
                    <w:t>44.1</w:t>
                  </w:r>
                </w:p>
              </w:tc>
            </w:tr>
          </w:tbl>
          <w:p w14:paraId="17F7DFD4">
            <w:pPr>
              <w:spacing w:line="360" w:lineRule="auto"/>
              <w:ind w:firstLine="480" w:firstLineChars="200"/>
              <w:rPr>
                <w:bCs/>
                <w:color w:val="auto"/>
                <w:sz w:val="24"/>
              </w:rPr>
            </w:pPr>
            <w:r>
              <w:rPr>
                <w:rFonts w:hint="eastAsia"/>
                <w:bCs/>
                <w:color w:val="auto"/>
                <w:sz w:val="24"/>
              </w:rPr>
              <w:t>本次改建项目考虑操作损耗，水性漆拟购入45吨，满足喷涂工序用量要求。</w:t>
            </w:r>
          </w:p>
          <w:p w14:paraId="2C2FC17E">
            <w:pPr>
              <w:spacing w:line="360" w:lineRule="auto"/>
              <w:ind w:firstLine="482" w:firstLineChars="200"/>
              <w:rPr>
                <w:b/>
                <w:color w:val="auto"/>
                <w:sz w:val="24"/>
              </w:rPr>
            </w:pPr>
            <w:r>
              <w:rPr>
                <w:rFonts w:hint="eastAsia"/>
                <w:b/>
                <w:color w:val="auto"/>
                <w:sz w:val="24"/>
              </w:rPr>
              <w:t>7</w:t>
            </w:r>
            <w:r>
              <w:rPr>
                <w:b/>
                <w:color w:val="auto"/>
                <w:sz w:val="24"/>
              </w:rPr>
              <w:t>、</w:t>
            </w:r>
            <w:r>
              <w:rPr>
                <w:rFonts w:hint="eastAsia"/>
                <w:b/>
                <w:color w:val="auto"/>
                <w:sz w:val="24"/>
              </w:rPr>
              <w:t>公用工程</w:t>
            </w:r>
          </w:p>
          <w:p w14:paraId="0DBB2BAB">
            <w:pPr>
              <w:pStyle w:val="108"/>
              <w:adjustRightInd/>
              <w:spacing w:line="360" w:lineRule="auto"/>
              <w:ind w:firstLine="480" w:firstLineChars="200"/>
              <w:rPr>
                <w:color w:val="auto"/>
              </w:rPr>
            </w:pPr>
            <w:r>
              <w:rPr>
                <w:rFonts w:hint="eastAsia"/>
                <w:color w:val="auto"/>
              </w:rPr>
              <w:t>（1）给排水</w:t>
            </w:r>
          </w:p>
          <w:p w14:paraId="45C34B83">
            <w:pPr>
              <w:pStyle w:val="108"/>
              <w:adjustRightInd/>
              <w:spacing w:line="360" w:lineRule="auto"/>
              <w:ind w:firstLine="480" w:firstLineChars="200"/>
              <w:jc w:val="both"/>
              <w:rPr>
                <w:color w:val="auto"/>
              </w:rPr>
            </w:pPr>
            <w:r>
              <w:rPr>
                <w:rFonts w:hint="eastAsia"/>
                <w:color w:val="auto"/>
              </w:rPr>
              <w:t>现有项目用水由市政供水管网供给，用水量约</w:t>
            </w:r>
            <w:r>
              <w:rPr>
                <w:rFonts w:hint="eastAsia"/>
                <w:color w:val="auto"/>
                <w:szCs w:val="21"/>
              </w:rPr>
              <w:t>106.40m</w:t>
            </w:r>
            <w:r>
              <w:rPr>
                <w:rFonts w:hint="eastAsia"/>
                <w:color w:val="auto"/>
                <w:szCs w:val="21"/>
                <w:vertAlign w:val="superscript"/>
              </w:rPr>
              <w:t>3</w:t>
            </w:r>
            <w:r>
              <w:rPr>
                <w:rFonts w:hint="eastAsia"/>
                <w:color w:val="auto"/>
                <w:szCs w:val="21"/>
              </w:rPr>
              <w:t>/d（38836m</w:t>
            </w:r>
            <w:r>
              <w:rPr>
                <w:rFonts w:hint="eastAsia"/>
                <w:color w:val="auto"/>
                <w:szCs w:val="21"/>
                <w:vertAlign w:val="superscript"/>
              </w:rPr>
              <w:t>3</w:t>
            </w:r>
            <w:r>
              <w:rPr>
                <w:rFonts w:hint="eastAsia"/>
                <w:color w:val="auto"/>
                <w:szCs w:val="21"/>
              </w:rPr>
              <w:t>/a）</w:t>
            </w:r>
            <w:r>
              <w:rPr>
                <w:rFonts w:hint="eastAsia"/>
                <w:color w:val="auto"/>
              </w:rPr>
              <w:t>，主要为生活用水、生产用水、循环冷却水，由市政供水管网供给。</w:t>
            </w:r>
          </w:p>
          <w:p w14:paraId="27C62DF5">
            <w:pPr>
              <w:pStyle w:val="108"/>
              <w:adjustRightInd/>
              <w:spacing w:line="360" w:lineRule="auto"/>
              <w:ind w:firstLine="480" w:firstLineChars="200"/>
              <w:jc w:val="both"/>
              <w:rPr>
                <w:color w:val="auto"/>
              </w:rPr>
            </w:pPr>
            <w:r>
              <w:rPr>
                <w:rFonts w:hint="eastAsia"/>
                <w:color w:val="auto"/>
              </w:rPr>
              <w:t>本次改建项目，每套热端喷涂装置均配套喷嘴冷却箱，内置10L水箱，喷嘴冷却水循环使用，全部蒸发损耗，每月定期向水箱内补充1次新鲜水，2套装置单次补水量为0.016t，年用水量约0.192t。</w:t>
            </w:r>
          </w:p>
          <w:p w14:paraId="1C9B65BC">
            <w:pPr>
              <w:pStyle w:val="108"/>
              <w:adjustRightInd/>
              <w:spacing w:line="360" w:lineRule="auto"/>
              <w:ind w:firstLine="480" w:firstLineChars="200"/>
              <w:jc w:val="both"/>
              <w:rPr>
                <w:color w:val="auto"/>
              </w:rPr>
            </w:pPr>
            <w:r>
              <w:rPr>
                <w:rFonts w:hint="eastAsia"/>
                <w:color w:val="auto"/>
              </w:rPr>
              <w:t>（2）排水</w:t>
            </w:r>
          </w:p>
          <w:p w14:paraId="79F276F9">
            <w:pPr>
              <w:pStyle w:val="108"/>
              <w:spacing w:line="360" w:lineRule="auto"/>
              <w:ind w:firstLine="480" w:firstLineChars="200"/>
              <w:jc w:val="both"/>
              <w:rPr>
                <w:color w:val="auto"/>
              </w:rPr>
            </w:pPr>
            <w:r>
              <w:rPr>
                <w:color w:val="auto"/>
                <w:szCs w:val="21"/>
              </w:rPr>
              <w:t>现有厂区已实行雨污分流制度，雨水通过雨水管网收集，经雨水总排口汇入园区雨水管网；</w:t>
            </w:r>
            <w:r>
              <w:rPr>
                <w:rFonts w:hint="eastAsia" w:ascii="宋体" w:hAnsi="宋体"/>
                <w:color w:val="auto"/>
              </w:rPr>
              <w:t>厂区现有项目冷却排水、生活污水、循环水池置换水产生后经厂区自建污水处理站处理后回用于玻璃生产线，不外排</w:t>
            </w:r>
            <w:r>
              <w:rPr>
                <w:color w:val="auto"/>
                <w:szCs w:val="21"/>
              </w:rPr>
              <w:t>。</w:t>
            </w:r>
          </w:p>
          <w:p w14:paraId="6E4E0A5D">
            <w:pPr>
              <w:pStyle w:val="108"/>
              <w:adjustRightInd/>
              <w:spacing w:line="360" w:lineRule="auto"/>
              <w:ind w:firstLine="480" w:firstLineChars="200"/>
              <w:rPr>
                <w:color w:val="auto"/>
                <w:kern w:val="2"/>
              </w:rPr>
            </w:pPr>
            <w:r>
              <w:rPr>
                <w:rFonts w:hint="eastAsia"/>
                <w:color w:val="auto"/>
                <w:kern w:val="2"/>
              </w:rPr>
              <w:t>本次改建项目，喷嘴冷却水循环使用，不外排。</w:t>
            </w:r>
          </w:p>
          <w:p w14:paraId="081364C2">
            <w:pPr>
              <w:pStyle w:val="108"/>
              <w:adjustRightInd/>
              <w:spacing w:line="360" w:lineRule="auto"/>
              <w:ind w:firstLine="480" w:firstLineChars="200"/>
              <w:rPr>
                <w:color w:val="auto"/>
                <w:kern w:val="2"/>
              </w:rPr>
            </w:pPr>
            <w:r>
              <w:rPr>
                <w:rFonts w:hint="eastAsia"/>
                <w:color w:val="auto"/>
                <w:kern w:val="2"/>
              </w:rPr>
              <w:t>水平衡图见下图：</w:t>
            </w:r>
          </w:p>
          <w:p w14:paraId="369C3909">
            <w:pPr>
              <w:pStyle w:val="108"/>
              <w:adjustRightInd/>
              <w:spacing w:line="360" w:lineRule="auto"/>
              <w:ind w:firstLine="480" w:firstLineChars="200"/>
              <w:rPr>
                <w:color w:val="auto"/>
                <w:kern w:val="2"/>
              </w:rPr>
            </w:pPr>
            <w:r>
              <w:rPr>
                <w:bCs/>
                <w:color w:val="auto"/>
              </w:rPr>
              <w:pict>
                <v:group id="_x0000_s23771" o:spid="_x0000_s23771" o:spt="203" style="position:absolute;left:0pt;margin-left:32.15pt;margin-top:8.6pt;height:102.9pt;width:331.9pt;z-index:251663360;mso-width-relative:page;mso-height-relative:page;" coordorigin="2730,706" coordsize="6638,2058" editas="canvas">
                  <o:lock v:ext="edit"/>
                  <v:shape id="_x0000_s23772" o:spid="_x0000_s23772" o:spt="75" type="#_x0000_t75" style="position:absolute;left:2730;top:706;height:2058;width:6638;" filled="f" o:preferrelative="t" stroked="f" coordsize="21600,21600">
                    <v:path/>
                    <v:fill on="f" focussize="0,0"/>
                    <v:stroke on="f" joinstyle="miter"/>
                    <v:imagedata o:title=""/>
                    <o:lock v:ext="edit" aspectratio="t"/>
                  </v:shape>
                  <v:shape id="Text Box 10596" o:spid="_x0000_s23773" o:spt="202" type="#_x0000_t202" style="position:absolute;left:3636;top:1721;height:488;width:1036;"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">
                    <v:path/>
                    <v:fill on="f" focussize="0,0"/>
                    <v:stroke on="f" joinstyle="miter"/>
                    <v:imagedata o:title=""/>
                    <o:lock v:ext="edit"/>
                    <v:textbox>
                      <w:txbxContent>
                        <w:p w14:paraId="7F0CBE7B">
                          <w:pPr>
                            <w:jc w:val="center"/>
                            <w:rPr>
                              <w:rFonts w:eastAsia="黑体"/>
                              <w:sz w:val="18"/>
                              <w:szCs w:val="18"/>
                            </w:rPr>
                          </w:pPr>
                          <w:r>
                            <w:rPr>
                              <w:rFonts w:hAnsi="黑体" w:eastAsia="黑体"/>
                              <w:sz w:val="18"/>
                              <w:szCs w:val="18"/>
                            </w:rPr>
                            <w:t>新鲜水</w:t>
                          </w:r>
                        </w:p>
                      </w:txbxContent>
                    </v:textbox>
                  </v:shape>
                  <v:shape id="_x0000_s23776" o:spid="_x0000_s23776" style="position:absolute;left:6515;top:1404;height:312;width:374;" filled="f" coordsize="548,388" path="m0,388c94,267,189,146,238,130c287,114,242,314,294,292c346,270,447,135,548,0e">
                    <v:path arrowok="t"/>
                    <v:fill on="f" focussize="0,0"/>
                    <v:stroke dashstyle="dash" endarrow="block" endarrowwidth="narrow"/>
                    <v:imagedata o:title=""/>
                    <o:lock v:ext="edit"/>
                  </v:shape>
                  <v:shape id="_x0000_s23777" o:spid="_x0000_s23777" o:spt="32" type="#_x0000_t32" style="position:absolute;left:4743;top:1971;height:1;width:892;" o:connectortype="straight" filled="f" coordsize="21600,21600">
                    <v:path arrowok="t"/>
                    <v:fill on="f" focussize="0,0"/>
                    <v:stroke endarrow="block" endarrowwidth="narrow"/>
                    <v:imagedata o:title=""/>
                    <o:lock v:ext="edit"/>
                  </v:shape>
                  <v:shape id="Text Box 10596" o:spid="_x0000_s23778" o:spt="202" type="#_x0000_t202" style="position:absolute;left:4672;top:1615;height:466;width:9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">
                    <v:path/>
                    <v:fill on="f" focussize="0,0"/>
                    <v:stroke on="f" joinstyle="miter"/>
                    <v:imagedata o:title=""/>
                    <o:lock v:ext="edit"/>
                    <v:textbox>
                      <w:txbxContent>
                        <w:p w14:paraId="626B81BD">
                          <w:pPr>
                            <w:jc w:val="center"/>
                            <w:rPr>
                              <w:rFonts w:eastAsia="黑体"/>
                              <w:sz w:val="18"/>
                              <w:szCs w:val="18"/>
                            </w:rPr>
                          </w:pPr>
                          <w:r>
                            <w:rPr>
                              <w:rFonts w:hint="eastAsia" w:eastAsia="黑体"/>
                              <w:sz w:val="18"/>
                              <w:szCs w:val="18"/>
                            </w:rPr>
                            <w:t>0.00053</w:t>
                          </w:r>
                        </w:p>
                      </w:txbxContent>
                    </v:textbox>
                  </v:shape>
                  <v:shape id="_x0000_s23875" o:spid="_x0000_s23875" o:spt="202" type="#_x0000_t202" style="position:absolute;left:5635;top:1734;height:488;width:1908;" coordsize="21600,21600">
                    <v:path/>
                    <v:fill focussize="0,0"/>
                    <v:stroke endarrowwidth="narrow" endarrowlength="long"/>
                    <v:imagedata o:title=""/>
                    <o:lock v:ext="edit"/>
                    <v:textbox>
                      <w:txbxContent>
                        <w:p w14:paraId="68AF6815">
                          <w:pPr>
                            <w:jc w:val="center"/>
                            <w:rPr>
                              <w:rFonts w:ascii="黑体" w:hAnsi="黑体" w:eastAsia="黑体"/>
                              <w:sz w:val="18"/>
                              <w:szCs w:val="18"/>
                            </w:rPr>
                          </w:pPr>
                          <w:r>
                            <w:rPr>
                              <w:rFonts w:ascii="黑体" w:hAnsi="黑体" w:eastAsia="黑体"/>
                              <w:sz w:val="18"/>
                              <w:szCs w:val="18"/>
                            </w:rPr>
                            <w:t>喷嘴冷却用水</w:t>
                          </w:r>
                        </w:p>
                      </w:txbxContent>
                    </v:textbox>
                  </v:shape>
                  <v:shape id="Text Box 10596" o:spid="_x0000_s23876" o:spt="202" type="#_x0000_t202" style="position:absolute;left:6603;top:1058;height:466;width:9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">
                    <v:path/>
                    <v:fill on="f" focussize="0,0"/>
                    <v:stroke on="f" joinstyle="miter"/>
                    <v:imagedata o:title=""/>
                    <o:lock v:ext="edit"/>
                    <v:textbox>
                      <w:txbxContent>
                        <w:p w14:paraId="6AFDC212">
                          <w:pPr>
                            <w:jc w:val="center"/>
                            <w:rPr>
                              <w:rFonts w:eastAsia="黑体"/>
                              <w:sz w:val="18"/>
                              <w:szCs w:val="18"/>
                            </w:rPr>
                          </w:pPr>
                          <w:r>
                            <w:rPr>
                              <w:rFonts w:hint="eastAsia" w:eastAsia="黑体"/>
                              <w:sz w:val="18"/>
                              <w:szCs w:val="18"/>
                            </w:rPr>
                            <w:t>0.00053</w:t>
                          </w:r>
                        </w:p>
                      </w:txbxContent>
                    </v:textbox>
                  </v:shape>
                </v:group>
              </w:pict>
            </w:r>
          </w:p>
          <w:p w14:paraId="668D670F">
            <w:pPr>
              <w:pStyle w:val="108"/>
              <w:adjustRightInd/>
              <w:spacing w:line="360" w:lineRule="auto"/>
              <w:ind w:firstLine="480" w:firstLineChars="200"/>
              <w:rPr>
                <w:color w:val="auto"/>
                <w:kern w:val="2"/>
              </w:rPr>
            </w:pPr>
          </w:p>
          <w:p w14:paraId="4AA31EF3">
            <w:pPr>
              <w:pStyle w:val="108"/>
              <w:adjustRightInd/>
              <w:spacing w:line="360" w:lineRule="auto"/>
              <w:ind w:firstLine="480" w:firstLineChars="200"/>
              <w:rPr>
                <w:color w:val="auto"/>
                <w:kern w:val="2"/>
              </w:rPr>
            </w:pPr>
          </w:p>
          <w:p w14:paraId="7CB865AB">
            <w:pPr>
              <w:pStyle w:val="108"/>
              <w:adjustRightInd/>
              <w:spacing w:line="360" w:lineRule="auto"/>
              <w:ind w:firstLine="480" w:firstLineChars="200"/>
              <w:rPr>
                <w:color w:val="auto"/>
                <w:kern w:val="2"/>
              </w:rPr>
            </w:pPr>
          </w:p>
          <w:p w14:paraId="21D2A7AB">
            <w:pPr>
              <w:pStyle w:val="108"/>
              <w:adjustRightInd/>
              <w:spacing w:line="360" w:lineRule="auto"/>
              <w:ind w:firstLine="480" w:firstLineChars="200"/>
              <w:rPr>
                <w:color w:val="auto"/>
                <w:kern w:val="2"/>
              </w:rPr>
            </w:pPr>
          </w:p>
          <w:p w14:paraId="2F71B1C1">
            <w:pPr>
              <w:autoSpaceDE w:val="0"/>
              <w:autoSpaceDN w:val="0"/>
              <w:adjustRightInd w:val="0"/>
              <w:snapToGrid w:val="0"/>
              <w:jc w:val="center"/>
              <w:rPr>
                <w:rFonts w:hAnsi="黑体" w:eastAsia="黑体"/>
                <w:color w:val="auto"/>
                <w:sz w:val="24"/>
                <w:szCs w:val="24"/>
              </w:rPr>
            </w:pPr>
            <w:r>
              <w:rPr>
                <w:rFonts w:hAnsi="黑体" w:eastAsia="黑体"/>
                <w:color w:val="auto"/>
                <w:sz w:val="24"/>
                <w:szCs w:val="24"/>
              </w:rPr>
              <w:t>图</w:t>
            </w:r>
            <w:r>
              <w:rPr>
                <w:rFonts w:hint="eastAsia" w:hAnsi="黑体" w:eastAsia="黑体"/>
                <w:color w:val="auto"/>
                <w:sz w:val="24"/>
                <w:szCs w:val="24"/>
              </w:rPr>
              <w:t>2</w:t>
            </w:r>
            <w:r>
              <w:rPr>
                <w:rFonts w:hAnsi="黑体" w:eastAsia="黑体"/>
                <w:color w:val="auto"/>
                <w:sz w:val="24"/>
                <w:szCs w:val="24"/>
              </w:rPr>
              <w:t xml:space="preserve">  本次改建项目水平衡图   单位：m</w:t>
            </w:r>
            <w:r>
              <w:rPr>
                <w:rFonts w:hAnsi="黑体" w:eastAsia="黑体"/>
                <w:color w:val="auto"/>
                <w:sz w:val="24"/>
                <w:szCs w:val="24"/>
                <w:vertAlign w:val="superscript"/>
              </w:rPr>
              <w:t>3</w:t>
            </w:r>
            <w:r>
              <w:rPr>
                <w:rFonts w:hAnsi="黑体" w:eastAsia="黑体"/>
                <w:color w:val="auto"/>
                <w:sz w:val="24"/>
                <w:szCs w:val="24"/>
              </w:rPr>
              <w:t>/d</w:t>
            </w:r>
          </w:p>
          <w:p w14:paraId="3AC484FC">
            <w:pPr>
              <w:spacing w:line="360" w:lineRule="auto"/>
              <w:ind w:firstLine="420" w:firstLineChars="200"/>
              <w:rPr>
                <w:color w:val="auto"/>
                <w:sz w:val="24"/>
                <w:szCs w:val="28"/>
              </w:rPr>
            </w:pPr>
            <w:r>
              <w:rPr>
                <w:bCs/>
                <w:color w:val="auto"/>
              </w:rPr>
              <w:pict>
                <v:group id="_x0000_s23727" o:spid="_x0000_s23727" o:spt="203" style="height:395.45pt;width:401.7pt;" coordorigin="2221,305" coordsize="8034,7909" editas="canvas">
                  <o:lock v:ext="edit"/>
                  <v:shape id="_x0000_s23728" o:spid="_x0000_s23728" o:spt="75" type="#_x0000_t75" style="position:absolute;left:2221;top:305;height:7909;width:8034;" filled="f" o:preferrelative="t" stroked="f" coordsize="21600,21600">
                    <v:path/>
                    <v:fill on="f" focussize="0,0"/>
                    <v:stroke on="f" joinstyle="miter"/>
                    <v:imagedata o:title=""/>
                    <o:lock v:ext="edit" aspectratio="t"/>
                  </v:shape>
                  <v:shape id="Text Box 1934" o:spid="_x0000_s23729" o:spt="202" type="#_x0000_t202" style="position:absolute;left:5097;top:1495;height:462;width:71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">
                    <v:path/>
                    <v:fill on="f" focussize="0,0"/>
                    <v:stroke on="f" joinstyle="miter"/>
                    <v:imagedata o:title=""/>
                    <o:lock v:ext="edit"/>
                    <v:textbox>
                      <w:txbxContent>
                        <w:p w14:paraId="6114B85E">
                          <w:pPr>
                            <w:jc w:val="center"/>
                            <w:rPr>
                              <w:rFonts w:eastAsia="黑体"/>
                              <w:sz w:val="18"/>
                              <w:szCs w:val="18"/>
                            </w:rPr>
                          </w:pPr>
                          <w:r>
                            <w:rPr>
                              <w:rFonts w:hint="eastAsia" w:eastAsia="黑体"/>
                              <w:sz w:val="18"/>
                              <w:szCs w:val="18"/>
                            </w:rPr>
                            <w:t>4.42</w:t>
                          </w:r>
                        </w:p>
                      </w:txbxContent>
                    </v:textbox>
                  </v:shape>
                  <v:shape id="Text Box 1935" o:spid="_x0000_s23730" o:spt="202" type="#_x0000_t202" style="position:absolute;left:3357;top:1993;height:401;width:64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">
                    <v:path/>
                    <v:fill on="f" focussize="0,0"/>
                    <v:stroke on="f" joinstyle="miter"/>
                    <v:imagedata o:title=""/>
                    <o:lock v:ext="edit"/>
                    <v:textbox>
                      <w:txbxContent>
                        <w:p w14:paraId="1D2C80D5">
                          <w:pPr>
                            <w:jc w:val="center"/>
                            <w:rPr>
                              <w:rFonts w:eastAsia="黑体"/>
                              <w:sz w:val="18"/>
                              <w:szCs w:val="18"/>
                            </w:rPr>
                          </w:pPr>
                          <w:r>
                            <w:rPr>
                              <w:rFonts w:hint="eastAsia" w:eastAsia="黑体"/>
                              <w:sz w:val="18"/>
                              <w:szCs w:val="18"/>
                            </w:rPr>
                            <w:t>22.1</w:t>
                          </w:r>
                        </w:p>
                      </w:txbxContent>
                    </v:textbox>
                  </v:shape>
                  <v:rect id="Rectangle 10607" o:spid="_x0000_s23731" o:spt="1" style="position:absolute;left:4470;top:2130;height:449;width:108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">
                    <v:path/>
                    <v:fill focussize="0,0"/>
                    <v:stroke/>
                    <v:imagedata o:title=""/>
                    <o:lock v:ext="edit"/>
                    <v:textbox>
                      <w:txbxContent>
                        <w:p w14:paraId="58701099">
                          <w:pPr>
                            <w:jc w:val="center"/>
                            <w:rPr>
                              <w:rFonts w:eastAsia="黑体"/>
                            </w:rPr>
                          </w:pPr>
                          <w:r>
                            <w:rPr>
                              <w:rFonts w:hAnsi="黑体" w:eastAsia="黑体"/>
                              <w:sz w:val="18"/>
                              <w:szCs w:val="18"/>
                            </w:rPr>
                            <w:t>生活用水喷嘴冷却用水</w:t>
                          </w:r>
                        </w:p>
                      </w:txbxContent>
                    </v:textbox>
                  </v:rect>
                  <v:shape id="Text Box 10596" o:spid="_x0000_s23732" o:spt="202" type="#_x0000_t202" style="position:absolute;left:2647;top:628;height:717;width:111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">
                    <v:path/>
                    <v:fill on="f" focussize="0,0"/>
                    <v:stroke on="f" joinstyle="miter"/>
                    <v:imagedata o:title=""/>
                    <o:lock v:ext="edit"/>
                    <v:textbox>
                      <w:txbxContent>
                        <w:p w14:paraId="1A482C90">
                          <w:pPr>
                            <w:jc w:val="center"/>
                            <w:rPr>
                              <w:rFonts w:eastAsia="黑体"/>
                              <w:sz w:val="18"/>
                              <w:szCs w:val="18"/>
                            </w:rPr>
                          </w:pPr>
                          <w:r>
                            <w:rPr>
                              <w:rFonts w:hAnsi="黑体" w:eastAsia="黑体"/>
                              <w:sz w:val="18"/>
                              <w:szCs w:val="18"/>
                            </w:rPr>
                            <w:t>新鲜水</w:t>
                          </w:r>
                        </w:p>
                        <w:p w14:paraId="37F26C5C">
                          <w:pPr>
                            <w:jc w:val="center"/>
                            <w:rPr>
                              <w:rFonts w:eastAsia="黑体"/>
                              <w:sz w:val="18"/>
                              <w:szCs w:val="18"/>
                            </w:rPr>
                          </w:pPr>
                          <w:r>
                            <w:rPr>
                              <w:rFonts w:hint="eastAsia" w:eastAsia="黑体"/>
                              <w:sz w:val="18"/>
                              <w:szCs w:val="18"/>
                            </w:rPr>
                            <w:t>106.40053</w:t>
                          </w:r>
                        </w:p>
                      </w:txbxContent>
                    </v:textbox>
                  </v:shape>
                  <v:shape id="Text Box 1942" o:spid="_x0000_s23733" o:spt="202" type="#_x0000_t202" style="position:absolute;left:3360;top:3210;height:456;width:64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">
                    <v:path/>
                    <v:fill on="f" focussize="0,0"/>
                    <v:stroke on="f" joinstyle="miter"/>
                    <v:imagedata o:title=""/>
                    <o:lock v:ext="edit"/>
                    <v:textbox style="mso-fit-shape-to-text:t;">
                      <w:txbxContent>
                        <w:p w14:paraId="632EC00E">
                          <w:pPr>
                            <w:rPr>
                              <w:rFonts w:eastAsia="黑体"/>
                              <w:sz w:val="18"/>
                              <w:szCs w:val="18"/>
                            </w:rPr>
                          </w:pPr>
                          <w:r>
                            <w:rPr>
                              <w:rFonts w:hint="eastAsia" w:eastAsia="黑体"/>
                              <w:sz w:val="18"/>
                              <w:szCs w:val="18"/>
                            </w:rPr>
                            <w:t>24.9</w:t>
                          </w:r>
                        </w:p>
                      </w:txbxContent>
                    </v:textbox>
                  </v:shape>
                  <v:rect id="Rectangle 523" o:spid="_x0000_s23734" o:spt="1" style="position:absolute;left:8042;top:3336;height:449;width:165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">
                    <v:path/>
                    <v:fill focussize="0,0"/>
                    <v:stroke/>
                    <v:imagedata o:title=""/>
                    <o:lock v:ext="edit"/>
                    <v:textbox>
                      <w:txbxContent>
                        <w:p w14:paraId="50758BCE">
                          <w:pPr>
                            <w:jc w:val="center"/>
                            <w:rPr>
                              <w:rFonts w:eastAsia="黑体"/>
                              <w:sz w:val="18"/>
                              <w:szCs w:val="18"/>
                            </w:rPr>
                          </w:pPr>
                          <w:r>
                            <w:rPr>
                              <w:rFonts w:hAnsi="黑体" w:eastAsia="黑体"/>
                              <w:sz w:val="18"/>
                              <w:szCs w:val="18"/>
                            </w:rPr>
                            <w:t>厂区污水处理站</w:t>
                          </w:r>
                        </w:p>
                      </w:txbxContent>
                    </v:textbox>
                  </v:rect>
                  <v:shape id="Text Box 1960" o:spid="_x0000_s23735" o:spt="202" type="#_x0000_t202" style="position:absolute;left:5281;top:2714;height:449;width:74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">
                    <v:path/>
                    <v:fill on="f" focussize="0,0"/>
                    <v:stroke on="f" joinstyle="miter"/>
                    <v:imagedata o:title=""/>
                    <o:lock v:ext="edit"/>
                    <v:textbox>
                      <w:txbxContent>
                        <w:p w14:paraId="07804073">
                          <w:pPr>
                            <w:rPr>
                              <w:rFonts w:eastAsia="黑体"/>
                              <w:sz w:val="18"/>
                              <w:szCs w:val="18"/>
                            </w:rPr>
                          </w:pPr>
                          <w:r>
                            <w:rPr>
                              <w:rFonts w:hint="eastAsia" w:eastAsia="黑体"/>
                              <w:sz w:val="18"/>
                              <w:szCs w:val="18"/>
                            </w:rPr>
                            <w:t>51.580.0005</w:t>
                          </w:r>
                        </w:p>
                      </w:txbxContent>
                    </v:textbox>
                  </v:shape>
                  <v:shape id="Text Box 1966" o:spid="_x0000_s23736" o:spt="202" type="#_x0000_t202" style="position:absolute;left:6492;top:1957;height:426;width:76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">
                    <v:path/>
                    <v:fill on="f" focussize="0,0"/>
                    <v:stroke on="f" joinstyle="miter"/>
                    <v:imagedata o:title=""/>
                    <o:lock v:ext="edit"/>
                    <v:textbox>
                      <w:txbxContent>
                        <w:p w14:paraId="75230DE0">
                          <w:pPr>
                            <w:rPr>
                              <w:rFonts w:eastAsia="黑体"/>
                              <w:sz w:val="18"/>
                              <w:szCs w:val="18"/>
                            </w:rPr>
                          </w:pPr>
                          <w:r>
                            <w:rPr>
                              <w:rFonts w:hint="eastAsia" w:eastAsia="黑体"/>
                              <w:sz w:val="18"/>
                              <w:szCs w:val="18"/>
                            </w:rPr>
                            <w:t>17.68</w:t>
                          </w:r>
                        </w:p>
                      </w:txbxContent>
                    </v:textbox>
                  </v:shape>
                  <v:shape id="Text Box 2241" o:spid="_x0000_s23737" o:spt="202" type="#_x0000_t202" style="position:absolute;left:5732;top:4030;height:376;width:76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">
                    <v:path/>
                    <v:fill on="f" focussize="0,0"/>
                    <v:stroke on="f" joinstyle="miter"/>
                    <v:imagedata o:title=""/>
                    <o:lock v:ext="edit"/>
                    <v:textbox>
                      <w:txbxContent>
                        <w:p w14:paraId="3B37F412">
                          <w:pPr>
                            <w:rPr>
                              <w:rFonts w:eastAsia="黑体"/>
                              <w:sz w:val="15"/>
                              <w:szCs w:val="15"/>
                            </w:rPr>
                          </w:pPr>
                          <w:r>
                            <w:rPr>
                              <w:rFonts w:eastAsia="黑体"/>
                              <w:sz w:val="18"/>
                              <w:szCs w:val="18"/>
                            </w:rPr>
                            <w:t>1250</w:t>
                          </w:r>
                        </w:p>
                      </w:txbxContent>
                    </v:textbox>
                  </v:shape>
                  <v:shape id="Text Box 2244" o:spid="_x0000_s23738" o:spt="202" type="#_x0000_t202" style="position:absolute;left:7256;top:3218;height:427;width:61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">
                    <v:path/>
                    <v:fill on="f" focussize="0,0"/>
                    <v:stroke on="f" joinstyle="miter"/>
                    <v:imagedata o:title=""/>
                    <o:lock v:ext="edit"/>
                    <v:textbox>
                      <w:txbxContent>
                        <w:p w14:paraId="2CFC5020">
                          <w:pPr>
                            <w:jc w:val="center"/>
                            <w:rPr>
                              <w:rFonts w:eastAsia="黑体"/>
                              <w:sz w:val="18"/>
                              <w:szCs w:val="18"/>
                            </w:rPr>
                          </w:pPr>
                          <w:r>
                            <w:rPr>
                              <w:rFonts w:hint="eastAsia" w:eastAsia="黑体"/>
                              <w:sz w:val="18"/>
                              <w:szCs w:val="18"/>
                            </w:rPr>
                            <w:t>8.0</w:t>
                          </w:r>
                        </w:p>
                      </w:txbxContent>
                    </v:textbox>
                  </v:shape>
                  <v:shape id="Text Box 2246" o:spid="_x0000_s23739" o:spt="202" type="#_x0000_t202" style="position:absolute;left:5982;top:4481;height:389;width:77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">
                    <v:path/>
                    <v:fill on="f" focussize="0,0"/>
                    <v:stroke on="f" joinstyle="miter"/>
                    <v:imagedata o:title=""/>
                    <o:lock v:ext="edit"/>
                    <v:textbox>
                      <w:txbxContent>
                        <w:p w14:paraId="4D61BE0E">
                          <w:pPr>
                            <w:rPr>
                              <w:rFonts w:eastAsia="黑体"/>
                              <w:sz w:val="18"/>
                              <w:szCs w:val="18"/>
                            </w:rPr>
                          </w:pPr>
                          <w:r>
                            <w:rPr>
                              <w:rFonts w:hint="eastAsia" w:eastAsia="黑体"/>
                              <w:sz w:val="18"/>
                              <w:szCs w:val="18"/>
                            </w:rPr>
                            <w:t>34.68</w:t>
                          </w:r>
                        </w:p>
                      </w:txbxContent>
                    </v:textbox>
                  </v:shape>
                  <v:shape id="AutoShape 2247" o:spid="_x0000_s23740" o:spt="32" type="#_x0000_t32" style="position:absolute;left:8878;top:3780;height:1077;width: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">
                    <v:path arrowok="t"/>
                    <v:fill on="f" focussize="0,0"/>
                    <v:stroke endarrowwidth="narrow" endarrowlength="short"/>
                    <v:imagedata o:title=""/>
                    <o:lock v:ext="edit"/>
                  </v:shape>
                  <v:shape id="AutoShape 2248" o:spid="_x0000_s23741" o:spt="32" type="#_x0000_t32" style="position:absolute;left:4140;top:4862;flip:x;height:1;width:4729;"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">
                    <v:path arrowok="t"/>
                    <v:fill on="f" focussize="0,0"/>
                    <v:stroke endarrowwidth="narrow" endarrowlength="short"/>
                    <v:imagedata o:title=""/>
                    <o:lock v:ext="edit"/>
                  </v:shape>
                  <v:shape id="AutoShape 2250" o:spid="_x0000_s23742" o:spt="32" type="#_x0000_t32" style="position:absolute;left:4131;top:3573;flip:y;height:1289;width:9;"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">
                    <v:path arrowok="t"/>
                    <v:fill on="f" focussize="0,0"/>
                    <v:stroke endarrow="block" endarrowwidth="narrow"/>
                    <v:imagedata o:title=""/>
                    <o:lock v:ext="edit"/>
                  </v:shape>
                  <v:rect id="Rectangle 10602" o:spid="_x0000_s23743" o:spt="1" style="position:absolute;left:4470;top:5761;height:449;width:160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">
                    <v:path/>
                    <v:fill focussize="0,0"/>
                    <v:stroke/>
                    <v:imagedata o:title=""/>
                    <o:lock v:ext="edit"/>
                    <v:textbox>
                      <w:txbxContent>
                        <w:p w14:paraId="0DB37B1B">
                          <w:pPr>
                            <w:jc w:val="center"/>
                            <w:rPr>
                              <w:rFonts w:eastAsia="黑体"/>
                            </w:rPr>
                          </w:pPr>
                          <w:r>
                            <w:rPr>
                              <w:rFonts w:hAnsi="黑体" w:eastAsia="黑体"/>
                              <w:sz w:val="18"/>
                              <w:szCs w:val="18"/>
                            </w:rPr>
                            <w:t>制氧站循环水池</w:t>
                          </w:r>
                        </w:p>
                      </w:txbxContent>
                    </v:textbox>
                  </v:rect>
                  <v:shape id="AutoShape 2255" o:spid="_x0000_s23744" o:spt="32" type="#_x0000_t32" style="position:absolute;left:3187;top:6002;height:1;width:1272;"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">
                    <v:path arrowok="t"/>
                    <v:fill on="f" focussize="0,0"/>
                    <v:stroke endarrow="block" endarrowwidth="narrow"/>
                    <v:imagedata o:title=""/>
                    <o:lock v:ext="edit"/>
                  </v:shape>
                  <v:shape id="_x0000_s23745" o:spid="_x0000_s23745" o:spt="32" type="#_x0000_t32" style="position:absolute;left:3187;top:1367;flip:x;height:6182;width:6;" o:connectortype="straight" filled="f" coordsize="21600,21600">
                    <v:path arrowok="t"/>
                    <v:fill on="f" focussize="0,0"/>
                    <v:stroke endarrowwidth="narrow"/>
                    <v:imagedata o:title=""/>
                    <o:lock v:ext="edit"/>
                  </v:shape>
                  <v:shape id="Text Box 1942" o:spid="_x0000_s23746" o:spt="202" type="#_x0000_t202" style="position:absolute;left:3349;top:5614;height:456;width:64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">
                    <v:path/>
                    <v:fill on="f" focussize="0,0"/>
                    <v:stroke on="f" joinstyle="miter"/>
                    <v:imagedata o:title=""/>
                    <o:lock v:ext="edit"/>
                    <v:textbox style="mso-fit-shape-to-text:t;">
                      <w:txbxContent>
                        <w:p w14:paraId="3C0B4C40">
                          <w:pPr>
                            <w:jc w:val="center"/>
                            <w:rPr>
                              <w:rFonts w:eastAsia="黑体"/>
                              <w:sz w:val="18"/>
                              <w:szCs w:val="18"/>
                            </w:rPr>
                          </w:pPr>
                          <w:r>
                            <w:rPr>
                              <w:rFonts w:hint="eastAsia" w:eastAsia="黑体"/>
                              <w:sz w:val="18"/>
                              <w:szCs w:val="18"/>
                            </w:rPr>
                            <w:t>59.4</w:t>
                          </w:r>
                        </w:p>
                      </w:txbxContent>
                    </v:textbox>
                  </v:shape>
                  <v:shape id="_x0000_s23747" o:spid="_x0000_s23747" o:spt="32" type="#_x0000_t32" style="position:absolute;left:6089;top:5927;height:1;width:3081;" o:connectortype="straight" filled="f" coordsize="21600,21600">
                    <v:path arrowok="t"/>
                    <v:fill on="f" focussize="0,0"/>
                    <v:stroke endarrowwidth="narrow"/>
                    <v:imagedata o:title=""/>
                    <o:lock v:ext="edit"/>
                  </v:shape>
                  <v:shape id="_x0000_s23748" o:spid="_x0000_s23748" o:spt="32" type="#_x0000_t32" style="position:absolute;left:9169;top:3775;flip:y;height:2153;width:1;" o:connectortype="straight" filled="f" coordsize="21600,21600">
                    <v:path arrowok="t"/>
                    <v:fill on="f" focussize="0,0"/>
                    <v:stroke endarrow="block" endarrowwidth="narrow"/>
                    <v:imagedata o:title=""/>
                    <o:lock v:ext="edit"/>
                  </v:shape>
                  <v:shape id="Text Box 2241" o:spid="_x0000_s23749" o:spt="202" type="#_x0000_t202" style="position:absolute;left:5553;top:6210;height:438;width:72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">
                    <v:path/>
                    <v:fill on="f" focussize="0,0"/>
                    <v:stroke on="f" joinstyle="miter"/>
                    <v:imagedata o:title=""/>
                    <o:lock v:ext="edit"/>
                    <v:textbox>
                      <w:txbxContent>
                        <w:p w14:paraId="047ABEB5">
                          <w:pPr>
                            <w:jc w:val="center"/>
                            <w:rPr>
                              <w:rFonts w:eastAsia="黑体"/>
                              <w:sz w:val="15"/>
                              <w:szCs w:val="15"/>
                            </w:rPr>
                          </w:pPr>
                          <w:r>
                            <w:rPr>
                              <w:rFonts w:hint="eastAsia" w:eastAsia="黑体"/>
                              <w:sz w:val="18"/>
                              <w:szCs w:val="18"/>
                            </w:rPr>
                            <w:t>1680</w:t>
                          </w:r>
                        </w:p>
                      </w:txbxContent>
                    </v:textbox>
                  </v:shape>
                  <v:shape id="Text Box 1960" o:spid="_x0000_s23750" o:spt="202" type="#_x0000_t202" style="position:absolute;left:5463;top:5103;height:449;width:61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">
                    <v:path/>
                    <v:fill on="f" focussize="0,0"/>
                    <v:stroke on="f" joinstyle="miter"/>
                    <v:imagedata o:title=""/>
                    <o:lock v:ext="edit"/>
                    <v:textbox>
                      <w:txbxContent>
                        <w:p w14:paraId="439B0E59">
                          <w:pPr>
                            <w:rPr>
                              <w:rFonts w:eastAsia="黑体"/>
                              <w:sz w:val="18"/>
                              <w:szCs w:val="18"/>
                            </w:rPr>
                          </w:pPr>
                          <w:r>
                            <w:rPr>
                              <w:rFonts w:hint="eastAsia" w:eastAsia="黑体"/>
                              <w:sz w:val="18"/>
                              <w:szCs w:val="18"/>
                            </w:rPr>
                            <w:t>50.4</w:t>
                          </w:r>
                        </w:p>
                      </w:txbxContent>
                    </v:textbox>
                  </v:shape>
                  <v:shape id="Text Box 1960" o:spid="_x0000_s23751" o:spt="202" type="#_x0000_t202" style="position:absolute;left:7282;top:5512;height:449;width:61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">
                    <v:path/>
                    <v:fill on="f" focussize="0,0"/>
                    <v:stroke on="f" joinstyle="miter"/>
                    <v:imagedata o:title=""/>
                    <o:lock v:ext="edit"/>
                    <v:textbox>
                      <w:txbxContent>
                        <w:p w14:paraId="3762274E">
                          <w:pPr>
                            <w:rPr>
                              <w:rFonts w:eastAsia="黑体"/>
                              <w:sz w:val="18"/>
                              <w:szCs w:val="18"/>
                            </w:rPr>
                          </w:pPr>
                          <w:r>
                            <w:rPr>
                              <w:rFonts w:hint="eastAsia" w:eastAsia="黑体"/>
                              <w:sz w:val="18"/>
                              <w:szCs w:val="18"/>
                            </w:rPr>
                            <w:t>9.0</w:t>
                          </w:r>
                        </w:p>
                      </w:txbxContent>
                    </v:textbox>
                  </v:shape>
                  <v:rect id="Rectangle 10607" o:spid="_x0000_s23752" o:spt="1" style="position:absolute;left:4470;top:3367;height:449;width:162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">
                    <v:path/>
                    <v:fill focussize="0,0"/>
                    <v:stroke/>
                    <v:imagedata o:title=""/>
                    <o:lock v:ext="edit"/>
                    <v:textbox>
                      <w:txbxContent>
                        <w:p w14:paraId="11DC6385">
                          <w:pPr>
                            <w:jc w:val="center"/>
                            <w:rPr>
                              <w:rFonts w:eastAsia="黑体"/>
                            </w:rPr>
                          </w:pPr>
                          <w:r>
                            <w:rPr>
                              <w:rFonts w:hint="eastAsia" w:hAnsi="黑体" w:eastAsia="黑体"/>
                              <w:sz w:val="18"/>
                              <w:szCs w:val="18"/>
                            </w:rPr>
                            <w:t>车间冷却用水</w:t>
                          </w:r>
                        </w:p>
                      </w:txbxContent>
                    </v:textbox>
                  </v:rect>
                  <v:shape id="_x0000_s23753" o:spid="_x0000_s23753" o:spt="32" type="#_x0000_t32" style="position:absolute;left:7026;top:3717;height:711;width:1;" o:connectortype="straight" filled="f" coordsize="21600,21600">
                    <v:path arrowok="t"/>
                    <v:fill on="f" focussize="0,0"/>
                    <v:stroke endarrowwidth="narrow"/>
                    <v:imagedata o:title=""/>
                    <o:lock v:ext="edit"/>
                  </v:shape>
                  <v:shape id="_x0000_s23754" o:spid="_x0000_s23754" o:spt="32" type="#_x0000_t32" style="position:absolute;left:5263;top:4427;flip:x;height:1;width:1763;" o:connectortype="straight" filled="f" coordsize="21600,21600">
                    <v:path arrowok="t"/>
                    <v:fill on="f" focussize="0,0"/>
                    <v:stroke endarrowwidth="narrow"/>
                    <v:imagedata o:title=""/>
                    <o:lock v:ext="edit"/>
                  </v:shape>
                  <v:shape id="_x0000_s23755" o:spid="_x0000_s23755" o:spt="32" type="#_x0000_t32" style="position:absolute;left:5263;top:3816;flip:y;height:611;width:1;" o:connectortype="straight" filled="f" coordsize="21600,21600">
                    <v:path arrowok="t"/>
                    <v:fill on="f" focussize="0,0"/>
                    <v:stroke endarrow="block" endarrowwidth="narrow"/>
                    <v:imagedata o:title=""/>
                    <o:lock v:ext="edit"/>
                  </v:shape>
                  <v:shape id="_x0000_s23759" o:spid="_x0000_s23759" o:spt="35" type="#_x0000_t35" style="position:absolute;left:5272;top:6042;flip:y;height:168;width:801;rotation:11796480f;" o:connectortype="elbow" filled="f" coordsize="21600,21600" adj="-9061,67757,-163766">
                    <v:path arrowok="t"/>
                    <v:fill on="f" focussize="0,0"/>
                    <v:stroke endarrow="block" endarrowwidth="narrow"/>
                    <v:imagedata o:title=""/>
                    <o:lock v:ext="edit"/>
                  </v:shape>
                  <v:rect id="Rectangle 10607" o:spid="_x0000_s23760" o:spt="1" style="position:absolute;left:4486;top:7319;height:449;width:168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">
                    <v:path/>
                    <v:fill focussize="0,0"/>
                    <v:stroke/>
                    <v:imagedata o:title=""/>
                    <o:lock v:ext="edit"/>
                    <v:textbox>
                      <w:txbxContent>
                        <w:p w14:paraId="152774E7">
                          <w:pPr>
                            <w:jc w:val="center"/>
                            <w:rPr>
                              <w:rFonts w:eastAsia="黑体"/>
                            </w:rPr>
                          </w:pPr>
                          <w:r>
                            <w:rPr>
                              <w:rFonts w:hAnsi="黑体" w:eastAsia="黑体"/>
                              <w:sz w:val="18"/>
                              <w:szCs w:val="18"/>
                            </w:rPr>
                            <w:t>喷嘴冷却用水</w:t>
                          </w:r>
                        </w:p>
                      </w:txbxContent>
                    </v:textbox>
                  </v:rect>
                  <v:shape id="AutoShape 2255" o:spid="_x0000_s23761" o:spt="32" type="#_x0000_t32" style="position:absolute;left:3187;top:3578;height:1;width:1272;"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">
                    <v:path arrowok="t"/>
                    <v:fill on="f" focussize="0,0"/>
                    <v:stroke endarrow="block" endarrowwidth="narrow"/>
                    <v:imagedata o:title=""/>
                    <o:lock v:ext="edit"/>
                  </v:shape>
                  <v:shape id="_x0000_s23762" o:spid="_x0000_s23762" o:spt="32" type="#_x0000_t32" style="position:absolute;left:6089;top:3570;height:1;width:1953;" o:connectortype="straight" filled="f" coordsize="21600,21600">
                    <v:path arrowok="t"/>
                    <v:fill on="f" focussize="0,0"/>
                    <v:stroke endarrow="block" endarrowwidth="narrow"/>
                    <v:imagedata o:title=""/>
                    <o:lock v:ext="edit"/>
                  </v:shape>
                  <v:shape id="AutoShape 2255" o:spid="_x0000_s23763" o:spt="32" type="#_x0000_t32" style="position:absolute;left:3198;top:2355;height:1;width:1272;"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">
                    <v:path arrowok="t"/>
                    <v:fill on="f" focussize="0,0"/>
                    <v:stroke endarrow="block" endarrowwidth="narrow"/>
                    <v:imagedata o:title=""/>
                    <o:lock v:ext="edit"/>
                  </v:shape>
                  <v:shape id="AutoShape 2255" o:spid="_x0000_s23765" o:spt="32" type="#_x0000_t32" style="position:absolute;left:3200;top:7548;height:1;width:1272;"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">
                    <v:path arrowok="t"/>
                    <v:fill on="f" focussize="0,0"/>
                    <v:stroke endarrow="block" endarrowwidth="narrow"/>
                    <v:imagedata o:title=""/>
                    <o:lock v:ext="edit"/>
                  </v:shape>
                  <v:shape id="Text Box 1960" o:spid="_x0000_s23767" o:spt="202" type="#_x0000_t202" style="position:absolute;left:5375;top:6689;height:449;width:106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">
                    <v:path/>
                    <v:fill on="f" focussize="0,0"/>
                    <v:stroke on="f" joinstyle="miter"/>
                    <v:imagedata o:title=""/>
                    <o:lock v:ext="edit"/>
                    <v:textbox>
                      <w:txbxContent>
                        <w:p w14:paraId="68365CCD">
                          <w:pPr>
                            <w:rPr>
                              <w:rFonts w:eastAsia="黑体"/>
                              <w:sz w:val="18"/>
                              <w:szCs w:val="18"/>
                            </w:rPr>
                          </w:pPr>
                          <w:r>
                            <w:rPr>
                              <w:rFonts w:hint="eastAsia" w:eastAsia="黑体"/>
                              <w:sz w:val="18"/>
                              <w:szCs w:val="18"/>
                            </w:rPr>
                            <w:t>0.00053</w:t>
                          </w:r>
                        </w:p>
                      </w:txbxContent>
                    </v:textbox>
                  </v:shape>
                  <v:shape id="Text Box 1960" o:spid="_x0000_s23768" o:spt="202" type="#_x0000_t202" style="position:absolute;left:3341;top:7138;height:449;width:92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">
                    <v:path/>
                    <v:fill on="f" focussize="0,0"/>
                    <v:stroke on="f" joinstyle="miter"/>
                    <v:imagedata o:title=""/>
                    <o:lock v:ext="edit"/>
                    <v:textbox>
                      <w:txbxContent>
                        <w:p w14:paraId="6CE7AB40">
                          <w:pPr>
                            <w:jc w:val="center"/>
                            <w:rPr>
                              <w:rFonts w:eastAsia="黑体"/>
                              <w:sz w:val="18"/>
                              <w:szCs w:val="18"/>
                            </w:rPr>
                          </w:pPr>
                          <w:r>
                            <w:rPr>
                              <w:rFonts w:hint="eastAsia" w:eastAsia="黑体"/>
                              <w:sz w:val="18"/>
                              <w:szCs w:val="18"/>
                            </w:rPr>
                            <w:t>0.00053</w:t>
                          </w:r>
                        </w:p>
                      </w:txbxContent>
                    </v:textbox>
                  </v:shape>
                  <v:shape id="_x0000_s23769" o:spid="_x0000_s23769" style="position:absolute;left:5032;top:1818;height:312;width:374;" filled="f" coordsize="548,388" path="m0,388c94,267,189,146,238,130c287,114,242,314,294,292c346,270,447,135,548,0e">
                    <v:path arrowok="t"/>
                    <v:fill on="f" focussize="0,0"/>
                    <v:stroke dashstyle="dash" endarrow="block" endarrowwidth="narrow"/>
                    <v:imagedata o:title=""/>
                    <o:lock v:ext="edit"/>
                  </v:shape>
                  <v:shape id="_x0000_s23779" o:spid="_x0000_s23779" style="position:absolute;left:5272;top:3024;height:312;width:374;" filled="f" coordsize="548,388" path="m0,388c94,267,189,146,238,130c287,114,242,314,294,292c346,270,447,135,548,0e">
                    <v:path arrowok="t"/>
                    <v:fill on="f" focussize="0,0"/>
                    <v:stroke dashstyle="dash" endarrow="block" endarrowwidth="narrow"/>
                    <v:imagedata o:title=""/>
                    <o:lock v:ext="edit"/>
                  </v:shape>
                  <v:shape id="_x0000_s23780" o:spid="_x0000_s23780" style="position:absolute;left:5358;top:5421;height:312;width:374;" filled="f" coordsize="548,388" path="m0,388c94,267,189,146,238,130c287,114,242,314,294,292c346,270,447,135,548,0e">
                    <v:path arrowok="t"/>
                    <v:fill on="f" focussize="0,0"/>
                    <v:stroke dashstyle="dash" endarrow="block" endarrowwidth="narrow"/>
                    <v:imagedata o:title=""/>
                    <o:lock v:ext="edit"/>
                  </v:shape>
                  <v:shape id="_x0000_s23781" o:spid="_x0000_s23781" style="position:absolute;left:5353;top:7007;height:312;width:374;" filled="f" coordsize="548,388" path="m0,388c94,267,189,146,238,130c287,114,242,314,294,292c346,270,447,135,548,0e">
                    <v:path arrowok="t"/>
                    <v:fill on="f" focussize="0,0"/>
                    <v:stroke dashstyle="dash" endarrow="block" endarrowwidth="narrow"/>
                    <v:imagedata o:title=""/>
                    <o:lock v:ext="edit"/>
                  </v:shape>
                  <v:shape id="_x0000_s23846" o:spid="_x0000_s23846" o:spt="33" type="#_x0000_t33" style="position:absolute;left:5553;top:2355;height:981;width:3316;" o:connectortype="elbow" filled="f" coordsize="21600,21600" adj="-36172,-186319,-36172">
                    <v:path arrowok="t"/>
                    <v:fill on="f" focussize="0,0"/>
                    <v:stroke endarrow="block" endarrowwidth="narrow"/>
                    <v:imagedata o:title=""/>
                    <o:lock v:ext="edit"/>
                  </v:shape>
                  <v:shape id="_x0000_s23848" o:spid="_x0000_s23848" o:spt="32" type="#_x0000_t32" style="position:absolute;left:6089;top:3717;height:1;width:938;" o:connectortype="straight" filled="f" coordsize="21600,21600">
                    <v:path arrowok="t"/>
                    <v:fill on="f" focussize="0,0"/>
                    <v:stroke endarrowwidth="narrow" endarrowlength="long"/>
                    <v:imagedata o:title=""/>
                    <o:lock v:ext="edit"/>
                  </v:shape>
                  <w10:wrap type="none"/>
                  <w10:anchorlock/>
                </v:group>
              </w:pict>
            </w:r>
          </w:p>
          <w:p w14:paraId="6D68B022">
            <w:pPr>
              <w:spacing w:line="360" w:lineRule="auto"/>
              <w:ind w:firstLine="480" w:firstLineChars="200"/>
              <w:jc w:val="center"/>
              <w:rPr>
                <w:color w:val="auto"/>
                <w:sz w:val="24"/>
                <w:szCs w:val="28"/>
              </w:rPr>
            </w:pPr>
            <w:r>
              <w:rPr>
                <w:rFonts w:hAnsi="黑体" w:eastAsia="黑体"/>
                <w:color w:val="auto"/>
                <w:sz w:val="24"/>
                <w:szCs w:val="24"/>
              </w:rPr>
              <w:t>图</w:t>
            </w:r>
            <w:r>
              <w:rPr>
                <w:rFonts w:hint="eastAsia" w:hAnsi="黑体" w:eastAsia="黑体"/>
                <w:color w:val="auto"/>
                <w:sz w:val="24"/>
                <w:szCs w:val="24"/>
              </w:rPr>
              <w:t>3</w:t>
            </w:r>
            <w:r>
              <w:rPr>
                <w:rFonts w:hAnsi="黑体" w:eastAsia="黑体"/>
                <w:color w:val="auto"/>
                <w:sz w:val="24"/>
                <w:szCs w:val="24"/>
              </w:rPr>
              <w:t xml:space="preserve">  改建后全厂水平衡图   单位：m</w:t>
            </w:r>
            <w:r>
              <w:rPr>
                <w:rFonts w:hAnsi="黑体" w:eastAsia="黑体"/>
                <w:color w:val="auto"/>
                <w:sz w:val="24"/>
                <w:szCs w:val="24"/>
                <w:vertAlign w:val="superscript"/>
              </w:rPr>
              <w:t>3</w:t>
            </w:r>
            <w:r>
              <w:rPr>
                <w:rFonts w:hAnsi="黑体" w:eastAsia="黑体"/>
                <w:color w:val="auto"/>
                <w:sz w:val="24"/>
                <w:szCs w:val="24"/>
              </w:rPr>
              <w:t>/d</w:t>
            </w:r>
          </w:p>
          <w:p w14:paraId="5BDD0B20">
            <w:pPr>
              <w:spacing w:line="360" w:lineRule="auto"/>
              <w:ind w:firstLine="480" w:firstLineChars="200"/>
              <w:rPr>
                <w:color w:val="auto"/>
                <w:sz w:val="24"/>
                <w:szCs w:val="28"/>
              </w:rPr>
            </w:pPr>
          </w:p>
          <w:p w14:paraId="439EF946">
            <w:pPr>
              <w:spacing w:line="360" w:lineRule="auto"/>
              <w:ind w:firstLine="480" w:firstLineChars="200"/>
              <w:rPr>
                <w:color w:val="auto"/>
                <w:sz w:val="24"/>
                <w:szCs w:val="28"/>
              </w:rPr>
            </w:pPr>
            <w:r>
              <w:rPr>
                <w:color w:val="auto"/>
                <w:sz w:val="24"/>
                <w:szCs w:val="28"/>
              </w:rPr>
              <w:t>（</w:t>
            </w:r>
            <w:r>
              <w:rPr>
                <w:rFonts w:hint="eastAsia"/>
                <w:color w:val="auto"/>
                <w:sz w:val="24"/>
                <w:szCs w:val="28"/>
              </w:rPr>
              <w:t>3</w:t>
            </w:r>
            <w:r>
              <w:rPr>
                <w:color w:val="auto"/>
                <w:sz w:val="24"/>
                <w:szCs w:val="28"/>
              </w:rPr>
              <w:t>）供电</w:t>
            </w:r>
          </w:p>
          <w:p w14:paraId="1B5C72A8">
            <w:pPr>
              <w:spacing w:line="360" w:lineRule="auto"/>
              <w:ind w:firstLine="480" w:firstLineChars="200"/>
              <w:rPr>
                <w:rFonts w:hAnsi="宋体"/>
                <w:color w:val="auto"/>
                <w:sz w:val="24"/>
              </w:rPr>
            </w:pPr>
            <w:r>
              <w:rPr>
                <w:rFonts w:hAnsi="宋体"/>
                <w:bCs/>
                <w:color w:val="auto"/>
                <w:sz w:val="24"/>
              </w:rPr>
              <w:t>来自市政供电管网，本项目用电量</w:t>
            </w:r>
            <w:r>
              <w:rPr>
                <w:rFonts w:hint="eastAsia" w:hAnsi="宋体"/>
                <w:bCs/>
                <w:color w:val="auto"/>
                <w:sz w:val="24"/>
              </w:rPr>
              <w:t>72</w:t>
            </w:r>
            <w:r>
              <w:rPr>
                <w:rFonts w:hAnsi="宋体"/>
                <w:bCs/>
                <w:color w:val="auto"/>
                <w:sz w:val="24"/>
              </w:rPr>
              <w:t>万</w:t>
            </w:r>
            <w:r>
              <w:rPr>
                <w:color w:val="auto"/>
                <w:sz w:val="24"/>
              </w:rPr>
              <w:t>kW·h/a</w:t>
            </w:r>
            <w:r>
              <w:rPr>
                <w:rFonts w:hAnsi="宋体"/>
                <w:color w:val="auto"/>
                <w:sz w:val="24"/>
              </w:rPr>
              <w:t>。</w:t>
            </w:r>
          </w:p>
          <w:p w14:paraId="05CE306A">
            <w:pPr>
              <w:spacing w:line="360" w:lineRule="auto"/>
              <w:ind w:firstLine="482" w:firstLineChars="200"/>
              <w:rPr>
                <w:b/>
                <w:color w:val="auto"/>
                <w:sz w:val="24"/>
              </w:rPr>
            </w:pPr>
            <w:r>
              <w:rPr>
                <w:rFonts w:hint="eastAsia"/>
                <w:b/>
                <w:color w:val="auto"/>
                <w:sz w:val="24"/>
              </w:rPr>
              <w:t>8</w:t>
            </w:r>
            <w:r>
              <w:rPr>
                <w:b/>
                <w:color w:val="auto"/>
                <w:sz w:val="24"/>
              </w:rPr>
              <w:t>、</w:t>
            </w:r>
            <w:r>
              <w:rPr>
                <w:rFonts w:hint="eastAsia"/>
                <w:b/>
                <w:color w:val="auto"/>
                <w:sz w:val="24"/>
              </w:rPr>
              <w:t>劳动定员</w:t>
            </w:r>
          </w:p>
          <w:p w14:paraId="5C3072B4">
            <w:pPr>
              <w:pStyle w:val="108"/>
              <w:adjustRightInd/>
              <w:spacing w:line="360" w:lineRule="auto"/>
              <w:ind w:firstLine="480" w:firstLineChars="200"/>
              <w:rPr>
                <w:color w:val="auto"/>
              </w:rPr>
            </w:pPr>
            <w:r>
              <w:rPr>
                <w:color w:val="auto"/>
                <w:szCs w:val="28"/>
              </w:rPr>
              <w:t>本项目</w:t>
            </w:r>
            <w:r>
              <w:rPr>
                <w:rFonts w:hint="eastAsia"/>
                <w:color w:val="auto"/>
                <w:szCs w:val="28"/>
              </w:rPr>
              <w:t>不新增</w:t>
            </w:r>
            <w:r>
              <w:rPr>
                <w:color w:val="auto"/>
                <w:szCs w:val="28"/>
              </w:rPr>
              <w:t>劳动定员。</w:t>
            </w:r>
          </w:p>
          <w:p w14:paraId="341AE530">
            <w:pPr>
              <w:spacing w:line="360" w:lineRule="auto"/>
              <w:ind w:firstLine="482" w:firstLineChars="200"/>
              <w:rPr>
                <w:b/>
                <w:color w:val="auto"/>
                <w:sz w:val="24"/>
              </w:rPr>
            </w:pPr>
            <w:r>
              <w:rPr>
                <w:rFonts w:hint="eastAsia"/>
                <w:b/>
                <w:color w:val="auto"/>
                <w:sz w:val="24"/>
              </w:rPr>
              <w:t>9</w:t>
            </w:r>
            <w:r>
              <w:rPr>
                <w:b/>
                <w:color w:val="auto"/>
                <w:sz w:val="24"/>
              </w:rPr>
              <w:t>、</w:t>
            </w:r>
            <w:r>
              <w:rPr>
                <w:rFonts w:hint="eastAsia"/>
                <w:b/>
                <w:color w:val="auto"/>
                <w:sz w:val="24"/>
              </w:rPr>
              <w:t>总平面布置</w:t>
            </w:r>
          </w:p>
          <w:p w14:paraId="3AE4F7AE">
            <w:pPr>
              <w:spacing w:line="360" w:lineRule="auto"/>
              <w:ind w:firstLine="480" w:firstLineChars="200"/>
              <w:rPr>
                <w:snapToGrid w:val="0"/>
                <w:color w:val="auto"/>
                <w:kern w:val="0"/>
                <w:sz w:val="24"/>
                <w:szCs w:val="24"/>
              </w:rPr>
            </w:pPr>
            <w:r>
              <w:rPr>
                <w:rFonts w:hint="eastAsia"/>
                <w:color w:val="auto"/>
                <w:sz w:val="24"/>
              </w:rPr>
              <w:t>项目位于淮南市安成镇（淮南市十涧湖中路）安徽发强玻璃有限责任公司，根据项目区平面布局图，厂内由西向东、由南向北主要建构筑物依次为1#厂房（一车间）、2#厂房（二车间）、3#厂房、4#厂房、5#厂房、6#厂房、7#厂房、8#液氧气化站、9#原料库、10#配料中心、11#门卫、12#厂房、13#办公楼、14#研发楼、15#办公楼、16#门卫、17#制氧车间、18#厂房、19#厂房、20#厂房（三车间）、21#厂房、22#厂房（加工车间）、23#厂房、24#厂房、25#厂房、26#厂房、27#公厕等。本次改建项目依托现有生产厂房1#（一车间）、厂房20#（三车间）建设，各车间玻璃生产线仅新增1套热端喷涂装置。生产厂房</w:t>
            </w:r>
            <w:r>
              <w:rPr>
                <w:rFonts w:hint="eastAsia"/>
                <w:snapToGrid w:val="0"/>
                <w:color w:val="auto"/>
                <w:kern w:val="0"/>
                <w:sz w:val="24"/>
                <w:szCs w:val="24"/>
              </w:rPr>
              <w:t>各功能单元衔接顺畅，操作效率稳定。具体平面布置图详见附图4。</w:t>
            </w:r>
          </w:p>
          <w:p w14:paraId="3875FD19">
            <w:pPr>
              <w:spacing w:line="360" w:lineRule="auto"/>
              <w:rPr>
                <w:snapToGrid w:val="0"/>
                <w:color w:val="auto"/>
                <w:kern w:val="0"/>
                <w:sz w:val="24"/>
                <w:szCs w:val="24"/>
              </w:rPr>
            </w:pPr>
          </w:p>
          <w:p w14:paraId="5E2C9122">
            <w:pPr>
              <w:spacing w:line="360" w:lineRule="auto"/>
              <w:rPr>
                <w:snapToGrid w:val="0"/>
                <w:color w:val="auto"/>
                <w:kern w:val="0"/>
                <w:sz w:val="24"/>
                <w:szCs w:val="24"/>
              </w:rPr>
            </w:pPr>
          </w:p>
          <w:p w14:paraId="1761FDFA">
            <w:pPr>
              <w:spacing w:line="360" w:lineRule="auto"/>
              <w:rPr>
                <w:snapToGrid w:val="0"/>
                <w:color w:val="auto"/>
                <w:kern w:val="0"/>
                <w:sz w:val="24"/>
                <w:szCs w:val="24"/>
              </w:rPr>
            </w:pPr>
          </w:p>
          <w:p w14:paraId="1AC59F53">
            <w:pPr>
              <w:spacing w:line="360" w:lineRule="auto"/>
              <w:rPr>
                <w:snapToGrid w:val="0"/>
                <w:color w:val="auto"/>
                <w:kern w:val="0"/>
                <w:sz w:val="24"/>
                <w:szCs w:val="24"/>
              </w:rPr>
            </w:pPr>
          </w:p>
          <w:p w14:paraId="20068163">
            <w:pPr>
              <w:spacing w:line="360" w:lineRule="auto"/>
              <w:rPr>
                <w:snapToGrid w:val="0"/>
                <w:color w:val="auto"/>
                <w:kern w:val="0"/>
                <w:sz w:val="24"/>
                <w:szCs w:val="24"/>
              </w:rPr>
            </w:pPr>
          </w:p>
          <w:p w14:paraId="1EEB1019">
            <w:pPr>
              <w:spacing w:line="360" w:lineRule="auto"/>
              <w:rPr>
                <w:snapToGrid w:val="0"/>
                <w:color w:val="auto"/>
                <w:kern w:val="0"/>
                <w:sz w:val="24"/>
                <w:szCs w:val="24"/>
              </w:rPr>
            </w:pPr>
          </w:p>
          <w:p w14:paraId="74A74B9E">
            <w:pPr>
              <w:spacing w:line="360" w:lineRule="auto"/>
              <w:rPr>
                <w:snapToGrid w:val="0"/>
                <w:color w:val="auto"/>
                <w:kern w:val="0"/>
                <w:sz w:val="24"/>
                <w:szCs w:val="24"/>
              </w:rPr>
            </w:pPr>
          </w:p>
          <w:p w14:paraId="12CE58FA">
            <w:pPr>
              <w:spacing w:line="360" w:lineRule="auto"/>
              <w:rPr>
                <w:snapToGrid w:val="0"/>
                <w:color w:val="auto"/>
                <w:kern w:val="0"/>
                <w:sz w:val="24"/>
                <w:szCs w:val="24"/>
              </w:rPr>
            </w:pPr>
          </w:p>
          <w:p w14:paraId="0ACCC163">
            <w:pPr>
              <w:spacing w:line="360" w:lineRule="auto"/>
              <w:rPr>
                <w:snapToGrid w:val="0"/>
                <w:color w:val="auto"/>
                <w:kern w:val="0"/>
                <w:sz w:val="24"/>
                <w:szCs w:val="24"/>
              </w:rPr>
            </w:pPr>
          </w:p>
          <w:p w14:paraId="052424EB">
            <w:pPr>
              <w:spacing w:line="360" w:lineRule="auto"/>
              <w:rPr>
                <w:snapToGrid w:val="0"/>
                <w:color w:val="auto"/>
                <w:kern w:val="0"/>
                <w:sz w:val="24"/>
                <w:szCs w:val="24"/>
              </w:rPr>
            </w:pPr>
          </w:p>
          <w:p w14:paraId="4DCB7A59">
            <w:pPr>
              <w:spacing w:line="360" w:lineRule="auto"/>
              <w:rPr>
                <w:snapToGrid w:val="0"/>
                <w:color w:val="auto"/>
                <w:kern w:val="0"/>
                <w:sz w:val="24"/>
                <w:szCs w:val="24"/>
              </w:rPr>
            </w:pPr>
          </w:p>
          <w:p w14:paraId="198E638B">
            <w:pPr>
              <w:spacing w:line="360" w:lineRule="auto"/>
              <w:rPr>
                <w:snapToGrid w:val="0"/>
                <w:color w:val="auto"/>
                <w:kern w:val="0"/>
                <w:sz w:val="24"/>
                <w:szCs w:val="24"/>
              </w:rPr>
            </w:pPr>
          </w:p>
          <w:p w14:paraId="6A569BC4">
            <w:pPr>
              <w:spacing w:line="360" w:lineRule="auto"/>
              <w:rPr>
                <w:snapToGrid w:val="0"/>
                <w:color w:val="auto"/>
                <w:kern w:val="0"/>
                <w:sz w:val="24"/>
                <w:szCs w:val="24"/>
              </w:rPr>
            </w:pPr>
          </w:p>
          <w:p w14:paraId="52D3D28B">
            <w:pPr>
              <w:spacing w:line="360" w:lineRule="auto"/>
              <w:rPr>
                <w:snapToGrid w:val="0"/>
                <w:color w:val="auto"/>
                <w:kern w:val="0"/>
                <w:sz w:val="24"/>
                <w:szCs w:val="24"/>
              </w:rPr>
            </w:pPr>
          </w:p>
          <w:p w14:paraId="630A43CF">
            <w:pPr>
              <w:spacing w:line="360" w:lineRule="auto"/>
              <w:rPr>
                <w:snapToGrid w:val="0"/>
                <w:color w:val="auto"/>
                <w:kern w:val="0"/>
                <w:sz w:val="24"/>
                <w:szCs w:val="24"/>
              </w:rPr>
            </w:pPr>
          </w:p>
        </w:tc>
      </w:tr>
      <w:tr w14:paraId="43D9C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77" w:hRule="atLeast"/>
        </w:trPr>
        <w:tc>
          <w:tcPr>
            <w:tcW w:w="454" w:type="dxa"/>
            <w:vAlign w:val="center"/>
          </w:tcPr>
          <w:p w14:paraId="3A7E545A">
            <w:pPr>
              <w:widowControl/>
              <w:spacing w:line="360" w:lineRule="auto"/>
              <w:jc w:val="center"/>
              <w:rPr>
                <w:rFonts w:hAnsi="宋体"/>
                <w:color w:val="auto"/>
                <w:kern w:val="0"/>
                <w:sz w:val="24"/>
              </w:rPr>
            </w:pPr>
            <w:r>
              <w:rPr>
                <w:rFonts w:hAnsi="宋体"/>
                <w:color w:val="auto"/>
                <w:kern w:val="0"/>
                <w:sz w:val="24"/>
              </w:rPr>
              <w:t>工艺流程和产污环节</w:t>
            </w:r>
          </w:p>
        </w:tc>
        <w:tc>
          <w:tcPr>
            <w:tcW w:w="8363" w:type="dxa"/>
          </w:tcPr>
          <w:p w14:paraId="5034B65D">
            <w:pPr>
              <w:spacing w:line="360" w:lineRule="auto"/>
              <w:ind w:firstLine="482" w:firstLineChars="200"/>
              <w:rPr>
                <w:b/>
                <w:color w:val="auto"/>
                <w:sz w:val="24"/>
              </w:rPr>
            </w:pPr>
            <w:r>
              <w:rPr>
                <w:rFonts w:hint="eastAsia"/>
                <w:b/>
                <w:color w:val="auto"/>
                <w:sz w:val="24"/>
              </w:rPr>
              <w:t>1、施工期工艺流程</w:t>
            </w:r>
          </w:p>
          <w:p w14:paraId="419D07AB">
            <w:pPr>
              <w:spacing w:line="360" w:lineRule="auto"/>
              <w:ind w:firstLine="480" w:firstLineChars="200"/>
              <w:rPr>
                <w:color w:val="auto"/>
                <w:sz w:val="24"/>
              </w:rPr>
            </w:pPr>
            <w:r>
              <w:rPr>
                <w:rFonts w:hint="eastAsia"/>
                <w:color w:val="auto"/>
                <w:sz w:val="24"/>
              </w:rPr>
              <w:t>本项目仅于现有厂房一车间、三车间内进行生产设备、附属设施、环保设施等安装，</w:t>
            </w:r>
            <w:r>
              <w:rPr>
                <w:rFonts w:hint="eastAsia"/>
                <w:snapToGrid w:val="0"/>
                <w:color w:val="auto"/>
                <w:sz w:val="24"/>
              </w:rPr>
              <w:t>不涉及土建施工活动。施工期对环境的主要影响为设备安装引起的噪声。施工的时间较短，且施工区域集中在现有厂房车间内部，对区域环境影响效果不显著。</w:t>
            </w:r>
          </w:p>
          <w:p w14:paraId="15EA1C9C">
            <w:pPr>
              <w:spacing w:line="360" w:lineRule="auto"/>
              <w:ind w:firstLine="482" w:firstLineChars="200"/>
              <w:rPr>
                <w:b/>
                <w:color w:val="auto"/>
                <w:sz w:val="24"/>
              </w:rPr>
            </w:pPr>
            <w:r>
              <w:rPr>
                <w:rFonts w:hint="eastAsia"/>
                <w:b/>
                <w:color w:val="auto"/>
                <w:sz w:val="24"/>
              </w:rPr>
              <w:t>2、运营期工艺流程</w:t>
            </w:r>
          </w:p>
          <w:p w14:paraId="51FFB39F">
            <w:pPr>
              <w:pStyle w:val="108"/>
              <w:adjustRightInd/>
              <w:spacing w:line="360" w:lineRule="auto"/>
              <w:ind w:firstLine="480" w:firstLineChars="200"/>
              <w:rPr>
                <w:color w:val="auto"/>
              </w:rPr>
            </w:pPr>
            <w:r>
              <w:rPr>
                <w:rFonts w:hint="eastAsia"/>
                <w:color w:val="auto"/>
              </w:rPr>
              <w:t>厂区现有工程原辅材料主要为石英砂、纯碱、长石、方解石、硝酸钠、碎玻璃，生产工艺过程是将原辅材料按比例进行称重称量后输送至配料中心充分混合，制备好所需配合料；制备的配合料再通过爬坡机提升至制瓶车间窑头料仓，经窑头料仓下裹入式投料机加至窑炉内；配合料在熔窑内部高温加热，进行一系列物理、化学变化完成玻璃液的熔制、澄清和均化；</w:t>
            </w:r>
            <w:r>
              <w:rPr>
                <w:color w:val="auto"/>
              </w:rPr>
              <w:t>熔制澄清良好的玻璃液经回流小、冷却效果好的倾斜式流液洞进入工作部进一步均化后分配给各制瓶机供料道，玻璃液经电加热供料道进一步调温、均化；供料机将玻璃液剪切成料形适宜、重量均匀的料滴，料滴经行列式制瓶机的初型模、成形模通过吹—吹法制成玻璃瓶制品；成型后的热玻璃制品在行列式制瓶机的输瓶机延长段上经弧线递送机、横向输瓶机送至退火窑端头，由曲线推瓶机定时推入退火窑内进行退火；退火窑末端的玻璃制品经自动质量检测，检验合格的产品自动包装后再由厂内运输车辆转送至成品库存放。</w:t>
            </w:r>
          </w:p>
          <w:p w14:paraId="29256991">
            <w:pPr>
              <w:pStyle w:val="108"/>
              <w:adjustRightInd/>
              <w:spacing w:line="360" w:lineRule="auto"/>
              <w:ind w:firstLine="480" w:firstLineChars="200"/>
              <w:rPr>
                <w:color w:val="auto"/>
              </w:rPr>
            </w:pPr>
            <w:r>
              <w:rPr>
                <w:rFonts w:hint="eastAsia"/>
                <w:color w:val="auto"/>
              </w:rPr>
              <w:t>本次改建项目仅在成型工序后新增热端喷涂工序，新增喷涂工序具体工艺流程和产排污环节如下图所示：</w:t>
            </w:r>
          </w:p>
          <w:p w14:paraId="584434C7">
            <w:pPr>
              <w:adjustRightInd w:val="0"/>
              <w:spacing w:line="360" w:lineRule="auto"/>
              <w:rPr>
                <w:rFonts w:hAnsi="黑体" w:eastAsia="黑体"/>
                <w:bCs/>
                <w:color w:val="auto"/>
                <w:sz w:val="24"/>
              </w:rPr>
            </w:pPr>
          </w:p>
          <w:p w14:paraId="7C67863D">
            <w:pPr>
              <w:autoSpaceDE w:val="0"/>
              <w:autoSpaceDN w:val="0"/>
              <w:adjustRightInd w:val="0"/>
              <w:snapToGrid w:val="0"/>
              <w:jc w:val="center"/>
              <w:rPr>
                <w:rFonts w:hAnsi="黑体" w:eastAsia="黑体"/>
                <w:color w:val="auto"/>
                <w:sz w:val="24"/>
                <w:szCs w:val="24"/>
              </w:rPr>
            </w:pPr>
            <w:r>
              <w:rPr>
                <w:rFonts w:eastAsia="黑体"/>
                <w:color w:val="auto"/>
              </w:rPr>
              <w:pict>
                <v:group id="_x0000_s7892" o:spid="_x0000_s7892" o:spt="203" style="height:317.55pt;width:415.6pt;" coordorigin="2186,8349" coordsize="8312,6351" editas="canvas">
                  <o:lock v:ext="edit"/>
                  <v:shape id="_x0000_s7893" o:spid="_x0000_s7893" o:spt="75" type="#_x0000_t75" style="position:absolute;left:2186;top:8349;height:6351;width:8312;" filled="f" o:preferrelative="t" stroked="f" coordsize="21600,21600">
                    <v:path/>
                    <v:fill on="f" focussize="0,0"/>
                    <v:stroke on="f" joinstyle="miter"/>
                    <v:imagedata o:title=""/>
                    <o:lock v:ext="edit" aspectratio="t"/>
                  </v:shape>
                  <v:shape id="Text Box 2046" o:spid="_x0000_s7903" o:spt="202" type="#_x0000_t202" style="position:absolute;left:5618;top:9639;height:460;width:1237;"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">
                    <v:path/>
                    <v:fill on="f" focussize="0,0"/>
                    <v:stroke color="#000000" endarrowwidth="narrow" endarrowlength="short"/>
                    <v:imagedata o:title=""/>
                    <o:lock v:ext="edit"/>
                    <v:textbox>
                      <w:txbxContent>
                        <w:p w14:paraId="70FD047F">
                          <w:pPr>
                            <w:jc w:val="center"/>
                            <w:rPr>
                              <w:rFonts w:ascii="黑体" w:hAnsi="黑体" w:eastAsia="黑体"/>
                              <w:sz w:val="18"/>
                              <w:szCs w:val="18"/>
                            </w:rPr>
                          </w:pPr>
                          <w:r>
                            <w:rPr>
                              <w:rFonts w:hint="eastAsia" w:ascii="黑体" w:hAnsi="黑体" w:eastAsia="黑体"/>
                              <w:sz w:val="18"/>
                              <w:szCs w:val="18"/>
                            </w:rPr>
                            <w:t>成型机</w:t>
                          </w:r>
                        </w:p>
                      </w:txbxContent>
                    </v:textbox>
                  </v:shape>
                  <v:shape id="Text Box 2047" o:spid="_x0000_s7904" o:spt="202" type="#_x0000_t202" style="position:absolute;left:5618;top:11362;height:460;width:1237;"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">
                    <v:path/>
                    <v:fill on="f" focussize="0,0"/>
                    <v:stroke color="#000000" endarrowwidth="narrow" endarrowlength="short"/>
                    <v:imagedata o:title=""/>
                    <o:lock v:ext="edit"/>
                    <v:textbox>
                      <w:txbxContent>
                        <w:p w14:paraId="637F4379">
                          <w:pPr>
                            <w:jc w:val="center"/>
                            <w:rPr>
                              <w:rFonts w:ascii="黑体" w:hAnsi="黑体" w:eastAsia="黑体"/>
                              <w:sz w:val="18"/>
                              <w:szCs w:val="18"/>
                            </w:rPr>
                          </w:pPr>
                          <w:r>
                            <w:rPr>
                              <w:rFonts w:hint="eastAsia" w:ascii="黑体" w:hAnsi="黑体" w:eastAsia="黑体"/>
                              <w:sz w:val="18"/>
                              <w:szCs w:val="18"/>
                            </w:rPr>
                            <w:t>退火窑</w:t>
                          </w:r>
                        </w:p>
                      </w:txbxContent>
                    </v:textbox>
                  </v:shape>
                  <v:shape id="Text Box 2048" o:spid="_x0000_s7905" o:spt="202" type="#_x0000_t202" style="position:absolute;left:5618;top:12219;height:458;width:1237;"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">
                    <v:path/>
                    <v:fill on="f" focussize="0,0"/>
                    <v:stroke color="#000000" endarrowwidth="narrow" endarrowlength="short"/>
                    <v:imagedata o:title=""/>
                    <o:lock v:ext="edit"/>
                    <v:textbox>
                      <w:txbxContent>
                        <w:p w14:paraId="23FA523D">
                          <w:pPr>
                            <w:jc w:val="center"/>
                            <w:rPr>
                              <w:rFonts w:ascii="黑体" w:hAnsi="黑体" w:eastAsia="黑体"/>
                              <w:sz w:val="18"/>
                              <w:szCs w:val="18"/>
                            </w:rPr>
                          </w:pPr>
                          <w:r>
                            <w:rPr>
                              <w:rFonts w:hint="eastAsia" w:ascii="黑体" w:hAnsi="黑体" w:eastAsia="黑体"/>
                              <w:sz w:val="18"/>
                              <w:szCs w:val="18"/>
                            </w:rPr>
                            <w:t>检验</w:t>
                          </w:r>
                        </w:p>
                      </w:txbxContent>
                    </v:textbox>
                  </v:shape>
                  <v:shape id="Text Box 2049" o:spid="_x0000_s7906" o:spt="202" type="#_x0000_t202" style="position:absolute;left:5618;top:13072;height:457;width:1237;"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">
                    <v:path/>
                    <v:fill on="f" focussize="0,0"/>
                    <v:stroke color="#000000" endarrowwidth="narrow" endarrowlength="short"/>
                    <v:imagedata o:title=""/>
                    <o:lock v:ext="edit"/>
                    <v:textbox>
                      <w:txbxContent>
                        <w:p w14:paraId="1095B7CD">
                          <w:pPr>
                            <w:jc w:val="center"/>
                            <w:rPr>
                              <w:rFonts w:ascii="黑体" w:hAnsi="黑体" w:eastAsia="黑体"/>
                              <w:sz w:val="18"/>
                              <w:szCs w:val="18"/>
                            </w:rPr>
                          </w:pPr>
                          <w:r>
                            <w:rPr>
                              <w:rFonts w:hint="eastAsia" w:ascii="黑体" w:hAnsi="黑体" w:eastAsia="黑体"/>
                              <w:sz w:val="18"/>
                              <w:szCs w:val="18"/>
                            </w:rPr>
                            <w:t>包装</w:t>
                          </w:r>
                        </w:p>
                      </w:txbxContent>
                    </v:textbox>
                  </v:shape>
                  <v:shape id="Text Box 2050" o:spid="_x0000_s7907" o:spt="202" type="#_x0000_t202" style="position:absolute;left:5618;top:13925;height:457;width:123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">
                    <v:path/>
                    <v:fill on="f" focussize="0,0"/>
                    <v:stroke on="f" color="#000000" endarrowwidth="narrow" endarrowlength="short"/>
                    <v:imagedata o:title=""/>
                    <o:lock v:ext="edit"/>
                    <v:textbox>
                      <w:txbxContent>
                        <w:p w14:paraId="4601FAC0">
                          <w:pPr>
                            <w:jc w:val="center"/>
                            <w:rPr>
                              <w:rFonts w:ascii="黑体" w:hAnsi="黑体" w:eastAsia="黑体"/>
                              <w:sz w:val="18"/>
                              <w:szCs w:val="18"/>
                            </w:rPr>
                          </w:pPr>
                          <w:r>
                            <w:rPr>
                              <w:rFonts w:hint="eastAsia" w:ascii="黑体" w:hAnsi="黑体" w:eastAsia="黑体"/>
                              <w:sz w:val="18"/>
                              <w:szCs w:val="18"/>
                            </w:rPr>
                            <w:t>入库</w:t>
                          </w:r>
                        </w:p>
                      </w:txbxContent>
                    </v:textbox>
                  </v:shape>
                  <v:shape id="AutoShape 2067" o:spid="_x0000_s7921" o:spt="32" type="#_x0000_t32" style="position:absolute;left:6230;top:9219;height:395;width: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">
                    <v:path arrowok="t"/>
                    <v:fill on="f" focussize="0,0"/>
                    <v:stroke endarrow="block" endarrowwidth="narrow"/>
                    <v:imagedata o:title=""/>
                    <o:lock v:ext="edit"/>
                  </v:shape>
                  <v:shape id="AutoShape 2068" o:spid="_x0000_s7922" o:spt="32" type="#_x0000_t32" style="position:absolute;left:6229;top:10099;height:395;width: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">
                    <v:path arrowok="t"/>
                    <v:fill on="f" focussize="0,0"/>
                    <v:stroke endarrow="block" endarrowwidth="narrow"/>
                    <v:imagedata o:title=""/>
                    <o:lock v:ext="edit"/>
                  </v:shape>
                  <v:shape id="AutoShape 2069" o:spid="_x0000_s7923" o:spt="32" type="#_x0000_t32" style="position:absolute;left:6228;top:11824;height:395;width: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">
                    <v:path arrowok="t"/>
                    <v:fill on="f" focussize="0,0"/>
                    <v:stroke endarrow="block" endarrowwidth="narrow"/>
                    <v:imagedata o:title=""/>
                    <o:lock v:ext="edit"/>
                  </v:shape>
                  <v:shape id="AutoShape 2070" o:spid="_x0000_s7924" o:spt="32" type="#_x0000_t32" style="position:absolute;left:6226;top:12677;height:395;width:2;"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">
                    <v:path arrowok="t"/>
                    <v:fill on="f" focussize="0,0"/>
                    <v:stroke endarrow="block" endarrowwidth="narrow"/>
                    <v:imagedata o:title=""/>
                    <o:lock v:ext="edit"/>
                  </v:shape>
                  <v:shape id="AutoShape 2071" o:spid="_x0000_s7925" o:spt="32" type="#_x0000_t32" style="position:absolute;left:6226;top:13529;height:396;width:2;"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">
                    <v:path arrowok="t"/>
                    <v:fill on="f" focussize="0,0"/>
                    <v:stroke endarrow="block" endarrowwidth="narrow"/>
                    <v:imagedata o:title=""/>
                    <o:lock v:ext="edit"/>
                  </v:shape>
                  <v:shape id="Text Box 2046" o:spid="_x0000_s7931" o:spt="202" type="#_x0000_t202" style="position:absolute;left:5633;top:10479;height:460;width:1237;"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">
                    <v:path/>
                    <v:fill on="f" focussize="0,0"/>
                    <v:stroke color="#000000" endarrowwidth="narrow" endarrowlength="short"/>
                    <v:imagedata o:title=""/>
                    <o:lock v:ext="edit"/>
                    <v:textbox>
                      <w:txbxContent>
                        <w:p w14:paraId="2F866705">
                          <w:pPr>
                            <w:jc w:val="center"/>
                            <w:rPr>
                              <w:rFonts w:ascii="黑体" w:hAnsi="黑体" w:eastAsia="黑体"/>
                              <w:sz w:val="18"/>
                              <w:szCs w:val="18"/>
                            </w:rPr>
                          </w:pPr>
                          <w:r>
                            <w:rPr>
                              <w:rFonts w:hint="eastAsia" w:ascii="黑体" w:hAnsi="黑体" w:eastAsia="黑体"/>
                              <w:sz w:val="18"/>
                              <w:szCs w:val="18"/>
                            </w:rPr>
                            <w:t>热端喷涂</w:t>
                          </w:r>
                        </w:p>
                      </w:txbxContent>
                    </v:textbox>
                  </v:shape>
                  <v:shape id="AutoShape 2068" o:spid="_x0000_s7932" o:spt="32" type="#_x0000_t32" style="position:absolute;left:6244;top:10939;height:395;width: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">
                    <v:path arrowok="t"/>
                    <v:fill on="f" focussize="0,0"/>
                    <v:stroke endarrow="block" endarrowwidth="narrow"/>
                    <v:imagedata o:title=""/>
                    <o:lock v:ext="edit"/>
                  </v:shape>
                  <v:shape id="_x0000_s7937" o:spid="_x0000_s7937" style="position:absolute;left:6870;top:10328;height:279;width:342;" filled="f" stroked="t" coordsize="342,278" path="m0,278c53,182,106,87,142,69c178,51,184,178,217,167c250,156,321,28,342,0e">
                    <v:path arrowok="t"/>
                    <v:fill on="f" focussize="0,0"/>
                    <v:stroke color="#9BBB59" dashstyle="dash" endarrow="block" endarrowwidth="narrow"/>
                    <v:imagedata o:title=""/>
                    <o:lock v:ext="edit"/>
                  </v:shape>
                  <v:rect id="矩形 3509" o:spid="_x0000_s7938" o:spt="1" style="position:absolute;left:7197;top:10205;height:362;width:1838;" fillcolor="#EAF1DD" filled="t" stroked="f" coordsize="21600,21600">
                    <v:path/>
                    <v:fill on="t" focussize="0,0"/>
                    <v:stroke on="f"/>
                    <v:imagedata o:title=""/>
                    <o:lock v:ext="edit"/>
                    <v:textbox inset="1.5mm,1.27mm,1.5mm,1.27mm">
                      <w:txbxContent>
                        <w:p w14:paraId="31E764A5">
                          <w:pPr>
                            <w:adjustRightInd w:val="0"/>
                            <w:snapToGrid w:val="0"/>
                            <w:jc w:val="center"/>
                            <w:rPr>
                              <w:rFonts w:eastAsia="黑体"/>
                              <w:color w:val="00B050"/>
                              <w:sz w:val="18"/>
                              <w:szCs w:val="18"/>
                            </w:rPr>
                          </w:pPr>
                          <w:r>
                            <w:rPr>
                              <w:rFonts w:eastAsia="黑体"/>
                              <w:color w:val="00B050"/>
                              <w:sz w:val="18"/>
                              <w:szCs w:val="18"/>
                            </w:rPr>
                            <w:t>G</w:t>
                          </w:r>
                          <w:r>
                            <w:rPr>
                              <w:rFonts w:hint="eastAsia" w:eastAsia="黑体"/>
                              <w:color w:val="00B050"/>
                              <w:sz w:val="18"/>
                              <w:szCs w:val="18"/>
                              <w:vertAlign w:val="subscript"/>
                            </w:rPr>
                            <w:t>1</w:t>
                          </w:r>
                          <w:r>
                            <w:rPr>
                              <w:rFonts w:hint="eastAsia" w:hAnsi="黑体" w:eastAsia="黑体"/>
                              <w:color w:val="00B050"/>
                              <w:sz w:val="18"/>
                              <w:szCs w:val="18"/>
                            </w:rPr>
                            <w:t>：喷涂废气</w:t>
                          </w:r>
                        </w:p>
                      </w:txbxContent>
                    </v:textbox>
                  </v:rect>
                  <v:rect id="矩形 3509" o:spid="_x0000_s7940" o:spt="1" style="position:absolute;left:7212;top:12269;height:343;width:1418;" fillcolor="#FDE9D9" filled="t" stroked="f" coordsize="21600,21600">
                    <v:path/>
                    <v:fill on="t" focussize="0,0"/>
                    <v:stroke on="f"/>
                    <v:imagedata o:title=""/>
                    <o:lock v:ext="edit"/>
                    <v:textbox inset="1.5mm,1.27mm,1.5mm,1.27mm">
                      <w:txbxContent>
                        <w:p w14:paraId="220C73B5">
                          <w:pPr>
                            <w:adjustRightInd w:val="0"/>
                            <w:snapToGrid w:val="0"/>
                            <w:jc w:val="center"/>
                            <w:rPr>
                              <w:rFonts w:eastAsia="黑体"/>
                              <w:color w:val="FF0000"/>
                              <w:sz w:val="18"/>
                              <w:szCs w:val="18"/>
                            </w:rPr>
                          </w:pPr>
                          <w:r>
                            <w:rPr>
                              <w:rFonts w:eastAsia="黑体"/>
                              <w:color w:val="FF0000"/>
                              <w:sz w:val="18"/>
                              <w:szCs w:val="18"/>
                            </w:rPr>
                            <w:t>S</w:t>
                          </w:r>
                          <w:r>
                            <w:rPr>
                              <w:rFonts w:hint="eastAsia" w:eastAsia="黑体"/>
                              <w:color w:val="FF0000"/>
                              <w:sz w:val="18"/>
                              <w:szCs w:val="18"/>
                              <w:vertAlign w:val="subscript"/>
                            </w:rPr>
                            <w:t>3</w:t>
                          </w:r>
                          <w:r>
                            <w:rPr>
                              <w:rFonts w:hint="eastAsia" w:hAnsi="黑体" w:eastAsia="黑体"/>
                              <w:color w:val="FF0000"/>
                              <w:sz w:val="18"/>
                              <w:szCs w:val="18"/>
                            </w:rPr>
                            <w:t>：不合格品</w:t>
                          </w:r>
                        </w:p>
                      </w:txbxContent>
                    </v:textbox>
                  </v:rect>
                  <v:shape id="_x0000_s7941" o:spid="_x0000_s7941" o:spt="32" type="#_x0000_t32" style="position:absolute;left:6859;top:12439;flip:y;height:11;width:333;" o:connectortype="straight" filled="f" stroked="t" coordsize="21600,21600">
                    <v:path arrowok="t"/>
                    <v:fill on="f" focussize="0,0"/>
                    <v:stroke color="#FF0000" dashstyle="dash" endarrow="block" endarrowwidth="narrow"/>
                    <v:imagedata o:title=""/>
                    <o:lock v:ext="edit"/>
                  </v:shape>
                  <v:shape id="_x0000_s7944" o:spid="_x0000_s7944" o:spt="32" type="#_x0000_t32" style="position:absolute;left:4289;top:10918;height:444;width:1;" o:connectortype="straight" filled="f" stroked="t" coordsize="21600,21600">
                    <v:path arrowok="t"/>
                    <v:fill on="f" focussize="0,0"/>
                    <v:stroke color="#FF0000" dashstyle="dash" endarrow="block" endarrowwidth="narrow"/>
                    <v:imagedata o:title=""/>
                    <o:lock v:ext="edit"/>
                  </v:shape>
                  <v:shape id="_x0000_s7946" o:spid="_x0000_s7946" o:spt="32" type="#_x0000_t32" style="position:absolute;left:4899;top:10699;height:1;width:714;" o:connectortype="straight" filled="f" coordsize="21600,21600">
                    <v:path arrowok="t"/>
                    <v:fill on="f" focussize="0,0"/>
                    <v:stroke endarrow="block" endarrowwidth="narrow"/>
                    <v:imagedata o:title=""/>
                    <o:lock v:ext="edit"/>
                  </v:shape>
                  <v:shape id="Text Box 2055" o:spid="_x0000_s7948" o:spt="202" type="#_x0000_t202" style="position:absolute;left:3662;top:10479;height:460;width:123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">
                    <v:path/>
                    <v:fill on="f" focussize="0,0"/>
                    <v:stroke on="f" color="#000000" endarrowwidth="narrow" endarrowlength="short"/>
                    <v:imagedata o:title=""/>
                    <o:lock v:ext="edit"/>
                    <v:textbox>
                      <w:txbxContent>
                        <w:p w14:paraId="64CE3227">
                          <w:pPr>
                            <w:jc w:val="center"/>
                            <w:rPr>
                              <w:rFonts w:ascii="黑体" w:hAnsi="黑体" w:eastAsia="黑体"/>
                              <w:sz w:val="18"/>
                              <w:szCs w:val="18"/>
                            </w:rPr>
                          </w:pPr>
                          <w:r>
                            <w:rPr>
                              <w:rFonts w:hint="eastAsia" w:ascii="黑体" w:hAnsi="黑体" w:eastAsia="黑体"/>
                              <w:sz w:val="18"/>
                              <w:szCs w:val="18"/>
                            </w:rPr>
                            <w:t>水性漆</w:t>
                          </w:r>
                        </w:p>
                      </w:txbxContent>
                    </v:textbox>
                  </v:shape>
                  <v:rect id="矩形 3509" o:spid="_x0000_s7949" o:spt="1" style="position:absolute;left:3599;top:11383;height:343;width:1418;" fillcolor="#FDE9D9" filled="t" stroked="f" coordsize="21600,21600">
                    <v:path/>
                    <v:fill on="t" focussize="0,0"/>
                    <v:stroke on="f"/>
                    <v:imagedata o:title=""/>
                    <o:lock v:ext="edit"/>
                    <v:textbox inset="1.5mm,1.27mm,1.5mm,1.27mm">
                      <w:txbxContent>
                        <w:p w14:paraId="70453674">
                          <w:pPr>
                            <w:adjustRightInd w:val="0"/>
                            <w:snapToGrid w:val="0"/>
                            <w:jc w:val="center"/>
                            <w:rPr>
                              <w:rFonts w:eastAsia="黑体"/>
                              <w:color w:val="FF0000"/>
                              <w:sz w:val="18"/>
                              <w:szCs w:val="18"/>
                            </w:rPr>
                          </w:pPr>
                          <w:r>
                            <w:rPr>
                              <w:rFonts w:eastAsia="黑体"/>
                              <w:color w:val="FF0000"/>
                              <w:sz w:val="18"/>
                              <w:szCs w:val="18"/>
                            </w:rPr>
                            <w:t>S</w:t>
                          </w:r>
                          <w:r>
                            <w:rPr>
                              <w:rFonts w:hint="eastAsia" w:eastAsia="黑体"/>
                              <w:color w:val="FF0000"/>
                              <w:sz w:val="18"/>
                              <w:szCs w:val="18"/>
                              <w:vertAlign w:val="subscript"/>
                            </w:rPr>
                            <w:t>1</w:t>
                          </w:r>
                          <w:r>
                            <w:rPr>
                              <w:rFonts w:hint="eastAsia" w:hAnsi="黑体" w:eastAsia="黑体"/>
                              <w:color w:val="FF0000"/>
                              <w:sz w:val="18"/>
                              <w:szCs w:val="18"/>
                            </w:rPr>
                            <w:t>：废包装桶</w:t>
                          </w:r>
                        </w:p>
                      </w:txbxContent>
                    </v:textbox>
                  </v:rect>
                  <v:rect id="_x0000_s23587" o:spid="_x0000_s23587" o:spt="1" style="position:absolute;left:3330;top:10144;height:1024;width:6542;" filled="f" stroked="t" coordsize="21600,21600">
                    <v:path/>
                    <v:fill on="f" focussize="0,0"/>
                    <v:stroke color="#FF0000" endarrowwidth="narrow" endarrowlength="long"/>
                    <v:imagedata o:title=""/>
                    <o:lock v:ext="edit"/>
                  </v:rect>
                  <v:shape id="Text Box 2055" o:spid="_x0000_s23725" o:spt="202" type="#_x0000_t202" style="position:absolute;left:7709;top:11036;height:460;width:216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">
                    <v:path/>
                    <v:fill on="f" focussize="0,0"/>
                    <v:stroke on="f" color="#000000" endarrowwidth="narrow" endarrowlength="short"/>
                    <v:imagedata o:title=""/>
                    <o:lock v:ext="edit"/>
                    <v:textbox>
                      <w:txbxContent>
                        <w:p w14:paraId="6986F48E">
                          <w:pPr>
                            <w:jc w:val="center"/>
                            <w:rPr>
                              <w:rFonts w:ascii="黑体" w:hAnsi="黑体" w:eastAsia="黑体"/>
                              <w:color w:val="FF0000"/>
                              <w:sz w:val="18"/>
                              <w:szCs w:val="18"/>
                            </w:rPr>
                          </w:pPr>
                          <w:r>
                            <w:rPr>
                              <w:rFonts w:hint="eastAsia" w:ascii="黑体" w:hAnsi="黑体" w:eastAsia="黑体"/>
                              <w:color w:val="FF0000"/>
                              <w:sz w:val="18"/>
                              <w:szCs w:val="18"/>
                            </w:rPr>
                            <w:t>本次改建新增工艺</w:t>
                          </w:r>
                        </w:p>
                      </w:txbxContent>
                    </v:textbox>
                  </v:shape>
                  <v:shape id="Text Box 2046" o:spid="_x0000_s23849" o:spt="202" type="#_x0000_t202" style="position:absolute;left:5613;top:8759;height:460;width:123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">
                    <v:path/>
                    <v:fill on="f" focussize="0,0"/>
                    <v:stroke on="f" color="#000000" endarrowwidth="narrow" endarrowlength="short"/>
                    <v:imagedata o:title=""/>
                    <o:lock v:ext="edit"/>
                    <v:textbox>
                      <w:txbxContent>
                        <w:p w14:paraId="40C4F358">
                          <w:pPr>
                            <w:jc w:val="center"/>
                            <w:rPr>
                              <w:rFonts w:ascii="黑体" w:hAnsi="黑体" w:eastAsia="黑体"/>
                              <w:sz w:val="18"/>
                              <w:szCs w:val="18"/>
                            </w:rPr>
                          </w:pPr>
                          <w:r>
                            <w:rPr>
                              <w:rFonts w:hint="eastAsia" w:ascii="黑体" w:hAnsi="黑体" w:eastAsia="黑体"/>
                              <w:sz w:val="18"/>
                              <w:szCs w:val="18"/>
                            </w:rPr>
                            <w:t>玻璃液</w:t>
                          </w:r>
                        </w:p>
                      </w:txbxContent>
                    </v:textbox>
                  </v:shape>
                  <v:shape id="_x0000_s23877" o:spid="_x0000_s23877" o:spt="32" type="#_x0000_t32" style="position:absolute;left:6859;top:10708;flip:y;height:11;width:333;" o:connectortype="straight" filled="f" stroked="t" coordsize="21600,21600">
                    <v:path arrowok="t"/>
                    <v:fill on="f" focussize="0,0"/>
                    <v:stroke color="#FF0000" dashstyle="dash" endarrow="block" endarrowwidth="narrow"/>
                    <v:imagedata o:title=""/>
                    <o:lock v:ext="edit"/>
                  </v:shape>
                  <v:rect id="矩形 3509" o:spid="_x0000_s23878" o:spt="1" style="position:absolute;left:7212;top:10575;height:343;width:1418;" fillcolor="#FDE9D9" filled="t" stroked="f" coordsize="21600,21600">
                    <v:path/>
                    <v:fill on="t" focussize="0,0"/>
                    <v:stroke on="f"/>
                    <v:imagedata o:title=""/>
                    <o:lock v:ext="edit"/>
                    <v:textbox inset="1.5mm,1.27mm,1.5mm,1.27mm">
                      <w:txbxContent>
                        <w:p w14:paraId="1429FAD3">
                          <w:pPr>
                            <w:adjustRightInd w:val="0"/>
                            <w:snapToGrid w:val="0"/>
                            <w:jc w:val="center"/>
                            <w:rPr>
                              <w:rFonts w:eastAsia="黑体"/>
                              <w:color w:val="FF0000"/>
                              <w:sz w:val="18"/>
                              <w:szCs w:val="18"/>
                            </w:rPr>
                          </w:pPr>
                          <w:r>
                            <w:rPr>
                              <w:rFonts w:eastAsia="黑体"/>
                              <w:color w:val="FF0000"/>
                              <w:sz w:val="18"/>
                              <w:szCs w:val="18"/>
                            </w:rPr>
                            <w:t>S</w:t>
                          </w:r>
                          <w:r>
                            <w:rPr>
                              <w:rFonts w:hint="eastAsia" w:eastAsia="黑体"/>
                              <w:color w:val="FF0000"/>
                              <w:sz w:val="18"/>
                              <w:szCs w:val="18"/>
                              <w:vertAlign w:val="subscript"/>
                            </w:rPr>
                            <w:t>2</w:t>
                          </w:r>
                          <w:r>
                            <w:rPr>
                              <w:rFonts w:hint="eastAsia" w:hAnsi="黑体" w:eastAsia="黑体"/>
                              <w:color w:val="FF0000"/>
                              <w:sz w:val="18"/>
                              <w:szCs w:val="18"/>
                            </w:rPr>
                            <w:t>：废漆料</w:t>
                          </w:r>
                        </w:p>
                      </w:txbxContent>
                    </v:textbox>
                  </v:rect>
                  <w10:wrap type="none"/>
                  <w10:anchorlock/>
                </v:group>
              </w:pict>
            </w:r>
          </w:p>
          <w:p w14:paraId="6B4B1469">
            <w:pPr>
              <w:autoSpaceDE w:val="0"/>
              <w:autoSpaceDN w:val="0"/>
              <w:adjustRightInd w:val="0"/>
              <w:snapToGrid w:val="0"/>
              <w:jc w:val="center"/>
              <w:rPr>
                <w:rFonts w:hAnsi="宋体"/>
                <w:color w:val="auto"/>
                <w:szCs w:val="21"/>
              </w:rPr>
            </w:pPr>
            <w:r>
              <w:rPr>
                <w:rFonts w:hint="eastAsia" w:hAnsi="黑体" w:eastAsia="黑体"/>
                <w:color w:val="auto"/>
                <w:sz w:val="24"/>
                <w:szCs w:val="24"/>
              </w:rPr>
              <w:t>图4</w:t>
            </w:r>
            <w:r>
              <w:rPr>
                <w:rFonts w:hAnsi="黑体" w:eastAsia="黑体"/>
                <w:color w:val="auto"/>
                <w:sz w:val="24"/>
                <w:szCs w:val="24"/>
              </w:rPr>
              <w:t xml:space="preserve">  本次新增</w:t>
            </w:r>
            <w:r>
              <w:rPr>
                <w:rFonts w:hint="eastAsia" w:hAnsi="黑体" w:eastAsia="黑体"/>
                <w:color w:val="auto"/>
                <w:sz w:val="24"/>
                <w:szCs w:val="24"/>
              </w:rPr>
              <w:t>生产工艺流程及产污节点图</w:t>
            </w:r>
          </w:p>
          <w:p w14:paraId="7A50B122">
            <w:pPr>
              <w:adjustRightInd w:val="0"/>
              <w:spacing w:line="360" w:lineRule="auto"/>
              <w:ind w:firstLine="482" w:firstLineChars="200"/>
              <w:rPr>
                <w:rFonts w:hAnsi="宋体"/>
                <w:b/>
                <w:color w:val="auto"/>
                <w:sz w:val="24"/>
              </w:rPr>
            </w:pPr>
            <w:r>
              <w:rPr>
                <w:rFonts w:hAnsi="宋体"/>
                <w:b/>
                <w:color w:val="auto"/>
                <w:sz w:val="24"/>
              </w:rPr>
              <w:t>工艺流程及产污环节简述：</w:t>
            </w:r>
          </w:p>
          <w:p w14:paraId="51C8EA79">
            <w:pPr>
              <w:spacing w:line="360" w:lineRule="auto"/>
              <w:ind w:firstLine="480" w:firstLineChars="200"/>
              <w:rPr>
                <w:b/>
                <w:color w:val="auto"/>
                <w:sz w:val="24"/>
                <w:szCs w:val="24"/>
              </w:rPr>
            </w:pPr>
            <w:r>
              <w:rPr>
                <w:rFonts w:hint="eastAsia"/>
                <w:color w:val="auto"/>
                <w:sz w:val="24"/>
                <w:szCs w:val="24"/>
              </w:rPr>
              <w:t>1</w:t>
            </w:r>
            <w:r>
              <w:rPr>
                <w:rFonts w:hint="eastAsia" w:ascii="宋体" w:hAnsi="宋体"/>
                <w:color w:val="auto"/>
                <w:sz w:val="24"/>
                <w:szCs w:val="24"/>
              </w:rPr>
              <w:t>）</w:t>
            </w:r>
            <w:r>
              <w:rPr>
                <w:rFonts w:hint="eastAsia" w:ascii="宋体" w:hAnsi="宋体"/>
                <w:b/>
                <w:color w:val="auto"/>
                <w:sz w:val="24"/>
                <w:szCs w:val="24"/>
              </w:rPr>
              <w:t>热端喷涂：成型后的热玻璃制品经车间内转盘机输送至热端喷涂装置喷嘴处，根据客户订单要求，喷涂机内充填琥珀色、七彩色或烟灰色水性漆，喷嘴对转盘机上玻璃制品表面进行喷涂着色。</w:t>
            </w:r>
          </w:p>
          <w:p w14:paraId="6FB0BE8A">
            <w:pPr>
              <w:spacing w:line="360" w:lineRule="auto"/>
              <w:ind w:firstLine="482" w:firstLineChars="200"/>
              <w:rPr>
                <w:color w:val="auto"/>
                <w:sz w:val="24"/>
                <w:szCs w:val="24"/>
              </w:rPr>
            </w:pPr>
            <w:r>
              <w:rPr>
                <w:rFonts w:hint="eastAsia" w:ascii="宋体" w:hAnsi="宋体"/>
                <w:b/>
                <w:bCs/>
                <w:color w:val="auto"/>
                <w:sz w:val="24"/>
                <w:szCs w:val="24"/>
              </w:rPr>
              <w:t>产排污环节分析：</w:t>
            </w:r>
            <w:r>
              <w:rPr>
                <w:rFonts w:hint="eastAsia" w:ascii="宋体" w:hAnsi="宋体"/>
                <w:bCs/>
                <w:color w:val="auto"/>
                <w:sz w:val="24"/>
                <w:szCs w:val="24"/>
              </w:rPr>
              <w:t>成型后的热玻璃制品表面温度较高，</w:t>
            </w:r>
            <w:r>
              <w:rPr>
                <w:rFonts w:ascii="宋体" w:hAnsi="宋体"/>
                <w:bCs/>
                <w:color w:val="auto"/>
                <w:sz w:val="24"/>
                <w:szCs w:val="24"/>
              </w:rPr>
              <w:t>约</w:t>
            </w:r>
            <w:r>
              <w:rPr>
                <w:bCs/>
                <w:color w:val="auto"/>
                <w:sz w:val="24"/>
                <w:szCs w:val="24"/>
              </w:rPr>
              <w:t>520℃</w:t>
            </w:r>
            <w:r>
              <w:rPr>
                <w:rFonts w:hint="eastAsia" w:ascii="宋体" w:hAnsi="宋体"/>
                <w:bCs/>
                <w:color w:val="auto"/>
                <w:sz w:val="24"/>
                <w:szCs w:val="24"/>
              </w:rPr>
              <w:t>，水性漆喷涂效率为</w:t>
            </w:r>
            <w:r>
              <w:rPr>
                <w:bCs/>
                <w:color w:val="auto"/>
                <w:sz w:val="24"/>
                <w:szCs w:val="24"/>
              </w:rPr>
              <w:t>50%</w:t>
            </w:r>
            <w:r>
              <w:rPr>
                <w:rFonts w:hint="eastAsia" w:ascii="宋体" w:hAnsi="宋体"/>
                <w:bCs/>
                <w:color w:val="auto"/>
                <w:sz w:val="24"/>
                <w:szCs w:val="24"/>
              </w:rPr>
              <w:t>。根据企业提供的水性漆</w:t>
            </w:r>
            <w:r>
              <w:rPr>
                <w:rFonts w:hint="eastAsia"/>
                <w:bCs/>
                <w:color w:val="auto"/>
                <w:sz w:val="24"/>
                <w:szCs w:val="24"/>
              </w:rPr>
              <w:t>MSDS</w:t>
            </w:r>
            <w:r>
              <w:rPr>
                <w:rFonts w:hint="eastAsia" w:ascii="宋体" w:hAnsi="宋体"/>
                <w:bCs/>
                <w:color w:val="auto"/>
                <w:sz w:val="24"/>
                <w:szCs w:val="24"/>
              </w:rPr>
              <w:t>成分分析，本次改建项目使用的水性漆中含乙醇（沸点为</w:t>
            </w:r>
            <w:r>
              <w:rPr>
                <w:bCs/>
                <w:color w:val="auto"/>
                <w:sz w:val="24"/>
                <w:szCs w:val="24"/>
              </w:rPr>
              <w:t>78℃</w:t>
            </w:r>
            <w:r>
              <w:rPr>
                <w:rFonts w:ascii="宋体" w:hAnsi="宋体"/>
                <w:bCs/>
                <w:color w:val="auto"/>
                <w:sz w:val="24"/>
                <w:szCs w:val="24"/>
              </w:rPr>
              <w:t>）</w:t>
            </w:r>
            <w:r>
              <w:rPr>
                <w:rFonts w:hint="eastAsia" w:ascii="宋体" w:hAnsi="宋体"/>
                <w:bCs/>
                <w:color w:val="auto"/>
                <w:sz w:val="24"/>
                <w:szCs w:val="24"/>
              </w:rPr>
              <w:t>、水性丙烯酸树脂</w:t>
            </w:r>
            <w:r>
              <w:rPr>
                <w:bCs/>
                <w:color w:val="auto"/>
                <w:sz w:val="24"/>
                <w:szCs w:val="24"/>
              </w:rPr>
              <w:t>（分解温度为</w:t>
            </w:r>
            <w:r>
              <w:rPr>
                <w:rFonts w:hint="eastAsia"/>
                <w:bCs/>
                <w:color w:val="auto"/>
                <w:sz w:val="24"/>
                <w:szCs w:val="24"/>
              </w:rPr>
              <w:t>200~350℃</w:t>
            </w:r>
            <w:r>
              <w:rPr>
                <w:bCs/>
                <w:color w:val="auto"/>
                <w:sz w:val="24"/>
                <w:szCs w:val="24"/>
              </w:rPr>
              <w:t>）</w:t>
            </w:r>
            <w:r>
              <w:rPr>
                <w:rFonts w:ascii="宋体" w:hAnsi="宋体"/>
                <w:bCs/>
                <w:color w:val="auto"/>
                <w:sz w:val="24"/>
                <w:szCs w:val="24"/>
              </w:rPr>
              <w:t>，</w:t>
            </w:r>
            <w:r>
              <w:rPr>
                <w:rFonts w:hint="eastAsia" w:ascii="宋体" w:hAnsi="宋体"/>
                <w:bCs/>
                <w:color w:val="auto"/>
                <w:sz w:val="24"/>
                <w:szCs w:val="24"/>
              </w:rPr>
              <w:t>在</w:t>
            </w:r>
            <w:r>
              <w:rPr>
                <w:bCs/>
                <w:color w:val="auto"/>
                <w:sz w:val="24"/>
                <w:szCs w:val="24"/>
              </w:rPr>
              <w:t>520℃</w:t>
            </w:r>
            <w:r>
              <w:rPr>
                <w:rFonts w:hint="eastAsia" w:ascii="宋体" w:hAnsi="宋体"/>
                <w:bCs/>
                <w:color w:val="auto"/>
                <w:sz w:val="24"/>
                <w:szCs w:val="24"/>
              </w:rPr>
              <w:t>高温下乙醇全部挥发</w:t>
            </w:r>
            <w:r>
              <w:rPr>
                <w:rFonts w:hAnsi="宋体"/>
                <w:bCs/>
                <w:color w:val="auto"/>
                <w:sz w:val="24"/>
                <w:szCs w:val="24"/>
              </w:rPr>
              <w:t>，以非甲烷总烃计；水性漆中水性丙烯酸树脂热分解比例为</w:t>
            </w:r>
            <w:r>
              <w:rPr>
                <w:rFonts w:hint="eastAsia" w:hAnsi="宋体"/>
                <w:bCs/>
                <w:color w:val="auto"/>
                <w:sz w:val="24"/>
                <w:szCs w:val="24"/>
              </w:rPr>
              <w:t>10%</w:t>
            </w:r>
            <w:r>
              <w:rPr>
                <w:rFonts w:hint="eastAsia" w:ascii="宋体" w:hAnsi="宋体"/>
                <w:bCs/>
                <w:color w:val="auto"/>
                <w:sz w:val="24"/>
                <w:szCs w:val="24"/>
              </w:rPr>
              <w:t>，分解物质以挥发性有机物为主。因此，喷涂工序产生喷涂废气（</w:t>
            </w:r>
            <w:r>
              <w:rPr>
                <w:rFonts w:hint="eastAsia"/>
                <w:bCs/>
                <w:color w:val="auto"/>
                <w:sz w:val="24"/>
                <w:szCs w:val="24"/>
              </w:rPr>
              <w:t>G</w:t>
            </w:r>
            <w:r>
              <w:rPr>
                <w:rFonts w:hint="eastAsia"/>
                <w:bCs/>
                <w:color w:val="auto"/>
                <w:sz w:val="24"/>
                <w:szCs w:val="24"/>
                <w:vertAlign w:val="subscript"/>
              </w:rPr>
              <w:t>1</w:t>
            </w:r>
            <w:r>
              <w:rPr>
                <w:rFonts w:hint="eastAsia" w:ascii="宋体" w:hAnsi="宋体"/>
                <w:bCs/>
                <w:color w:val="auto"/>
                <w:sz w:val="24"/>
                <w:szCs w:val="24"/>
              </w:rPr>
              <w:t>），废气污染物主要成分为挥发性有机物。一车间、三车间喷涂废气经喷嘴上方集气罩进行收集，收集后通过密闭管道分别输送至</w:t>
            </w:r>
            <w:r>
              <w:rPr>
                <w:rFonts w:hint="eastAsia"/>
                <w:bCs/>
                <w:color w:val="auto"/>
                <w:sz w:val="24"/>
                <w:szCs w:val="24"/>
              </w:rPr>
              <w:t>2</w:t>
            </w:r>
            <w:r>
              <w:rPr>
                <w:rFonts w:hint="eastAsia" w:ascii="宋体" w:hAnsi="宋体"/>
                <w:bCs/>
                <w:color w:val="auto"/>
                <w:sz w:val="24"/>
                <w:szCs w:val="24"/>
              </w:rPr>
              <w:t>套两级活性炭吸附装置处理，处理后分别由新增的</w:t>
            </w:r>
            <w:r>
              <w:rPr>
                <w:rFonts w:hint="eastAsia"/>
                <w:bCs/>
                <w:color w:val="auto"/>
                <w:sz w:val="24"/>
                <w:szCs w:val="24"/>
              </w:rPr>
              <w:t>DA010</w:t>
            </w:r>
            <w:r>
              <w:rPr>
                <w:rFonts w:hint="eastAsia" w:ascii="宋体" w:hAnsi="宋体"/>
                <w:bCs/>
                <w:color w:val="auto"/>
                <w:sz w:val="24"/>
                <w:szCs w:val="24"/>
              </w:rPr>
              <w:t>排气筒、厂区现有</w:t>
            </w:r>
            <w:r>
              <w:rPr>
                <w:rFonts w:hint="eastAsia"/>
                <w:bCs/>
                <w:color w:val="auto"/>
                <w:sz w:val="24"/>
                <w:szCs w:val="24"/>
              </w:rPr>
              <w:t>DA009</w:t>
            </w:r>
            <w:r>
              <w:rPr>
                <w:rFonts w:hint="eastAsia" w:ascii="宋体" w:hAnsi="宋体"/>
                <w:bCs/>
                <w:color w:val="auto"/>
                <w:sz w:val="24"/>
                <w:szCs w:val="24"/>
              </w:rPr>
              <w:t>排气筒排放；热端喷涂使用的水性漆经拆包产生的废包装桶（</w:t>
            </w:r>
            <w:r>
              <w:rPr>
                <w:rFonts w:hint="eastAsia"/>
                <w:bCs/>
                <w:color w:val="auto"/>
                <w:sz w:val="24"/>
                <w:szCs w:val="24"/>
              </w:rPr>
              <w:t>S</w:t>
            </w:r>
            <w:r>
              <w:rPr>
                <w:rFonts w:hint="eastAsia"/>
                <w:bCs/>
                <w:color w:val="auto"/>
                <w:sz w:val="24"/>
                <w:szCs w:val="24"/>
                <w:vertAlign w:val="subscript"/>
              </w:rPr>
              <w:t>1</w:t>
            </w:r>
            <w:r>
              <w:rPr>
                <w:rFonts w:hint="eastAsia" w:ascii="宋体" w:hAnsi="宋体"/>
                <w:bCs/>
                <w:color w:val="auto"/>
                <w:sz w:val="24"/>
                <w:szCs w:val="24"/>
              </w:rPr>
              <w:t>）统一收集暂存于危废暂存间，定期委托有资质单位运走处理处置；</w:t>
            </w:r>
            <w:r>
              <w:rPr>
                <w:rFonts w:hAnsi="宋体"/>
                <w:bCs/>
                <w:color w:val="auto"/>
                <w:sz w:val="24"/>
                <w:szCs w:val="24"/>
              </w:rPr>
              <w:t>喷嘴喷涂时</w:t>
            </w:r>
            <w:r>
              <w:rPr>
                <w:bCs/>
                <w:color w:val="auto"/>
                <w:sz w:val="24"/>
                <w:szCs w:val="24"/>
              </w:rPr>
              <w:t>50%</w:t>
            </w:r>
            <w:r>
              <w:rPr>
                <w:rFonts w:hAnsi="宋体"/>
                <w:bCs/>
                <w:color w:val="auto"/>
                <w:sz w:val="24"/>
                <w:szCs w:val="24"/>
              </w:rPr>
              <w:t>的水性漆未能附着于热玻璃制品表面，剩余未附着固份残留于转盘机上，残留的废漆料（</w:t>
            </w:r>
            <w:r>
              <w:rPr>
                <w:rFonts w:hint="eastAsia" w:hAnsi="宋体"/>
                <w:bCs/>
                <w:color w:val="auto"/>
                <w:sz w:val="24"/>
                <w:szCs w:val="24"/>
              </w:rPr>
              <w:t>S</w:t>
            </w:r>
            <w:r>
              <w:rPr>
                <w:rFonts w:hint="eastAsia" w:hAnsi="宋体"/>
                <w:bCs/>
                <w:color w:val="auto"/>
                <w:sz w:val="24"/>
                <w:szCs w:val="24"/>
                <w:vertAlign w:val="subscript"/>
              </w:rPr>
              <w:t>2</w:t>
            </w:r>
            <w:r>
              <w:rPr>
                <w:rFonts w:hAnsi="宋体"/>
                <w:bCs/>
                <w:color w:val="auto"/>
                <w:sz w:val="24"/>
                <w:szCs w:val="24"/>
              </w:rPr>
              <w:t>）及时清理收集，暂存于危废暂存间中，定期委托有资质单位运走处理处置。</w:t>
            </w:r>
          </w:p>
          <w:p w14:paraId="2DF8CCBC">
            <w:pPr>
              <w:spacing w:line="360" w:lineRule="auto"/>
              <w:ind w:firstLine="480" w:firstLineChars="200"/>
              <w:rPr>
                <w:rFonts w:eastAsiaTheme="minorEastAsia"/>
                <w:color w:val="auto"/>
                <w:sz w:val="24"/>
                <w:szCs w:val="24"/>
              </w:rPr>
            </w:pPr>
            <w:r>
              <w:rPr>
                <w:rFonts w:hint="eastAsia" w:eastAsiaTheme="minorEastAsia"/>
                <w:color w:val="auto"/>
                <w:sz w:val="24"/>
              </w:rPr>
              <w:t>2</w:t>
            </w:r>
            <w:r>
              <w:rPr>
                <w:rFonts w:eastAsiaTheme="minorEastAsia"/>
                <w:color w:val="auto"/>
                <w:sz w:val="24"/>
              </w:rPr>
              <w:t>）退</w:t>
            </w:r>
            <w:r>
              <w:rPr>
                <w:rFonts w:eastAsiaTheme="minorEastAsia"/>
                <w:color w:val="auto"/>
                <w:sz w:val="24"/>
                <w:szCs w:val="24"/>
              </w:rPr>
              <w:t>火：</w:t>
            </w:r>
            <w:r>
              <w:rPr>
                <w:rFonts w:hint="eastAsia" w:eastAsiaTheme="minorEastAsia"/>
                <w:color w:val="auto"/>
                <w:sz w:val="24"/>
                <w:szCs w:val="24"/>
              </w:rPr>
              <w:t>着色</w:t>
            </w:r>
            <w:r>
              <w:rPr>
                <w:rFonts w:eastAsiaTheme="minorEastAsia"/>
                <w:color w:val="auto"/>
                <w:sz w:val="24"/>
                <w:szCs w:val="24"/>
              </w:rPr>
              <w:t>后的热玻璃制品由转盘机转移至行列式制瓶机的输瓶机延长段上，然后经弧线递送机、横向输瓶机送至退火窑端头，再由曲线推瓶机定时推入退火窑内进行退火。退火窑为电加热热风循环式，分区自动控温，消除制品的内应力。</w:t>
            </w:r>
          </w:p>
          <w:p w14:paraId="06134AE4">
            <w:pPr>
              <w:adjustRightInd w:val="0"/>
              <w:spacing w:line="360" w:lineRule="auto"/>
              <w:ind w:firstLine="480" w:firstLineChars="200"/>
              <w:rPr>
                <w:rFonts w:hAnsi="宋体"/>
                <w:color w:val="auto"/>
                <w:sz w:val="24"/>
                <w:szCs w:val="24"/>
              </w:rPr>
            </w:pPr>
            <w:r>
              <w:rPr>
                <w:rFonts w:hint="eastAsia" w:hAnsiTheme="minorHAnsi" w:eastAsiaTheme="minorEastAsia"/>
                <w:color w:val="auto"/>
                <w:sz w:val="24"/>
                <w:szCs w:val="24"/>
              </w:rPr>
              <w:t>3</w:t>
            </w:r>
            <w:r>
              <w:rPr>
                <w:rFonts w:hAnsiTheme="minorHAnsi" w:eastAsiaTheme="minorEastAsia"/>
                <w:color w:val="auto"/>
                <w:sz w:val="24"/>
                <w:szCs w:val="24"/>
              </w:rPr>
              <w:t>）检验包装工序：生产线退火窑末端的玻璃制品经自动质量检测，检验合格的产品自动包装后再由厂内运输车辆转送至成品库存放。</w:t>
            </w:r>
          </w:p>
          <w:p w14:paraId="4A228FF7">
            <w:pPr>
              <w:adjustRightInd w:val="0"/>
              <w:spacing w:line="360" w:lineRule="auto"/>
              <w:ind w:firstLine="482" w:firstLineChars="200"/>
              <w:rPr>
                <w:bCs/>
                <w:color w:val="auto"/>
                <w:sz w:val="24"/>
              </w:rPr>
            </w:pPr>
            <w:r>
              <w:rPr>
                <w:rFonts w:hint="eastAsia"/>
                <w:b/>
                <w:bCs/>
                <w:color w:val="auto"/>
                <w:sz w:val="24"/>
              </w:rPr>
              <w:t>产排污环节分析：</w:t>
            </w:r>
            <w:r>
              <w:rPr>
                <w:rFonts w:hint="eastAsia"/>
                <w:bCs/>
                <w:color w:val="auto"/>
                <w:sz w:val="24"/>
              </w:rPr>
              <w:t>检验工序产生的不合格品（S</w:t>
            </w:r>
            <w:r>
              <w:rPr>
                <w:rFonts w:hint="eastAsia"/>
                <w:bCs/>
                <w:color w:val="auto"/>
                <w:sz w:val="24"/>
                <w:vertAlign w:val="subscript"/>
              </w:rPr>
              <w:t>3</w:t>
            </w:r>
            <w:r>
              <w:rPr>
                <w:rFonts w:hint="eastAsia"/>
                <w:bCs/>
                <w:color w:val="auto"/>
                <w:sz w:val="24"/>
              </w:rPr>
              <w:t>），统一收集存放于原料库1，回用于玻璃生产线。</w:t>
            </w:r>
          </w:p>
          <w:p w14:paraId="65872632">
            <w:pPr>
              <w:pStyle w:val="219"/>
              <w:jc w:val="center"/>
              <w:rPr>
                <w:rFonts w:eastAsia="黑体" w:cs="Times New Roman"/>
                <w:color w:val="auto"/>
              </w:rPr>
            </w:pPr>
            <w:r>
              <w:rPr>
                <w:rFonts w:hAnsi="黑体" w:eastAsia="黑体" w:cs="Times New Roman"/>
                <w:color w:val="auto"/>
              </w:rPr>
              <w:t>表</w:t>
            </w:r>
            <w:r>
              <w:rPr>
                <w:rFonts w:hint="eastAsia" w:eastAsia="黑体" w:cs="Times New Roman"/>
                <w:color w:val="auto"/>
              </w:rPr>
              <w:t>19</w:t>
            </w:r>
            <w:r>
              <w:rPr>
                <w:rFonts w:eastAsia="黑体" w:cs="Times New Roman"/>
                <w:color w:val="auto"/>
              </w:rPr>
              <w:t xml:space="preserve">  </w:t>
            </w:r>
            <w:r>
              <w:rPr>
                <w:rFonts w:hAnsi="黑体" w:eastAsia="黑体" w:cs="Times New Roman"/>
                <w:color w:val="auto"/>
              </w:rPr>
              <w:t>本次改建项目产污环节及治理措施一览表</w:t>
            </w:r>
          </w:p>
          <w:tbl>
            <w:tblPr>
              <w:tblStyle w:val="34"/>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977"/>
              <w:gridCol w:w="1840"/>
              <w:gridCol w:w="1273"/>
              <w:gridCol w:w="4057"/>
            </w:tblGrid>
            <w:tr w14:paraId="48B2341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600" w:type="pct"/>
                  <w:vAlign w:val="center"/>
                </w:tcPr>
                <w:p w14:paraId="1648B08D">
                  <w:pPr>
                    <w:pStyle w:val="108"/>
                    <w:spacing w:line="276" w:lineRule="auto"/>
                    <w:jc w:val="center"/>
                    <w:rPr>
                      <w:b/>
                      <w:color w:val="auto"/>
                      <w:sz w:val="21"/>
                      <w:szCs w:val="21"/>
                    </w:rPr>
                  </w:pPr>
                  <w:r>
                    <w:rPr>
                      <w:rFonts w:hint="eastAsia"/>
                      <w:b/>
                      <w:color w:val="auto"/>
                      <w:sz w:val="21"/>
                      <w:szCs w:val="21"/>
                    </w:rPr>
                    <w:t>类别</w:t>
                  </w:r>
                </w:p>
              </w:tc>
              <w:tc>
                <w:tcPr>
                  <w:tcW w:w="1129" w:type="pct"/>
                  <w:vAlign w:val="center"/>
                </w:tcPr>
                <w:p w14:paraId="16A21598">
                  <w:pPr>
                    <w:pStyle w:val="108"/>
                    <w:spacing w:line="276" w:lineRule="auto"/>
                    <w:jc w:val="center"/>
                    <w:rPr>
                      <w:b/>
                      <w:color w:val="auto"/>
                      <w:sz w:val="21"/>
                      <w:szCs w:val="21"/>
                    </w:rPr>
                  </w:pPr>
                  <w:r>
                    <w:rPr>
                      <w:rFonts w:hint="eastAsia"/>
                      <w:b/>
                      <w:color w:val="auto"/>
                      <w:sz w:val="21"/>
                      <w:szCs w:val="21"/>
                    </w:rPr>
                    <w:t>编号</w:t>
                  </w:r>
                </w:p>
              </w:tc>
              <w:tc>
                <w:tcPr>
                  <w:tcW w:w="781" w:type="pct"/>
                  <w:vAlign w:val="center"/>
                </w:tcPr>
                <w:p w14:paraId="0BA65AFF">
                  <w:pPr>
                    <w:pStyle w:val="108"/>
                    <w:spacing w:line="276" w:lineRule="auto"/>
                    <w:jc w:val="center"/>
                    <w:rPr>
                      <w:b/>
                      <w:color w:val="auto"/>
                      <w:sz w:val="21"/>
                      <w:szCs w:val="21"/>
                    </w:rPr>
                  </w:pPr>
                  <w:r>
                    <w:rPr>
                      <w:rFonts w:hint="eastAsia"/>
                      <w:b/>
                      <w:color w:val="auto"/>
                      <w:sz w:val="21"/>
                      <w:szCs w:val="21"/>
                    </w:rPr>
                    <w:t>污染物</w:t>
                  </w:r>
                </w:p>
              </w:tc>
              <w:tc>
                <w:tcPr>
                  <w:tcW w:w="2490" w:type="pct"/>
                  <w:vAlign w:val="center"/>
                </w:tcPr>
                <w:p w14:paraId="16247BC8">
                  <w:pPr>
                    <w:pStyle w:val="108"/>
                    <w:spacing w:line="276" w:lineRule="auto"/>
                    <w:jc w:val="center"/>
                    <w:rPr>
                      <w:b/>
                      <w:color w:val="auto"/>
                      <w:sz w:val="21"/>
                      <w:szCs w:val="21"/>
                    </w:rPr>
                  </w:pPr>
                  <w:r>
                    <w:rPr>
                      <w:rFonts w:hint="eastAsia"/>
                      <w:b/>
                      <w:color w:val="auto"/>
                      <w:sz w:val="21"/>
                      <w:szCs w:val="21"/>
                    </w:rPr>
                    <w:t>收集及治理措施</w:t>
                  </w:r>
                </w:p>
              </w:tc>
            </w:tr>
            <w:tr w14:paraId="2423BF9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600" w:type="pct"/>
                  <w:vAlign w:val="center"/>
                </w:tcPr>
                <w:p w14:paraId="404DCDAE">
                  <w:pPr>
                    <w:pStyle w:val="108"/>
                    <w:spacing w:line="276" w:lineRule="auto"/>
                    <w:jc w:val="center"/>
                    <w:rPr>
                      <w:color w:val="auto"/>
                      <w:sz w:val="21"/>
                      <w:szCs w:val="21"/>
                    </w:rPr>
                  </w:pPr>
                  <w:r>
                    <w:rPr>
                      <w:rFonts w:hint="eastAsia"/>
                      <w:color w:val="auto"/>
                      <w:sz w:val="21"/>
                      <w:szCs w:val="21"/>
                    </w:rPr>
                    <w:t>废气</w:t>
                  </w:r>
                </w:p>
              </w:tc>
              <w:tc>
                <w:tcPr>
                  <w:tcW w:w="1129" w:type="pct"/>
                  <w:vAlign w:val="center"/>
                </w:tcPr>
                <w:p w14:paraId="5D0B83DE">
                  <w:pPr>
                    <w:pStyle w:val="108"/>
                    <w:spacing w:line="276" w:lineRule="auto"/>
                    <w:jc w:val="center"/>
                    <w:rPr>
                      <w:color w:val="auto"/>
                      <w:sz w:val="21"/>
                      <w:szCs w:val="21"/>
                    </w:rPr>
                  </w:pPr>
                  <w:r>
                    <w:rPr>
                      <w:color w:val="auto"/>
                      <w:sz w:val="21"/>
                      <w:szCs w:val="21"/>
                    </w:rPr>
                    <w:t>喷涂废气（</w:t>
                  </w:r>
                  <w:r>
                    <w:rPr>
                      <w:rFonts w:hint="eastAsia"/>
                      <w:color w:val="auto"/>
                      <w:sz w:val="21"/>
                      <w:szCs w:val="21"/>
                    </w:rPr>
                    <w:t>G</w:t>
                  </w:r>
                  <w:r>
                    <w:rPr>
                      <w:rFonts w:hint="eastAsia"/>
                      <w:color w:val="auto"/>
                      <w:sz w:val="21"/>
                      <w:szCs w:val="21"/>
                      <w:vertAlign w:val="subscript"/>
                    </w:rPr>
                    <w:t>1</w:t>
                  </w:r>
                  <w:r>
                    <w:rPr>
                      <w:color w:val="auto"/>
                      <w:sz w:val="21"/>
                      <w:szCs w:val="21"/>
                    </w:rPr>
                    <w:t>）</w:t>
                  </w:r>
                </w:p>
              </w:tc>
              <w:tc>
                <w:tcPr>
                  <w:tcW w:w="781" w:type="pct"/>
                  <w:vAlign w:val="center"/>
                </w:tcPr>
                <w:p w14:paraId="7D3C6D8F">
                  <w:pPr>
                    <w:pStyle w:val="108"/>
                    <w:spacing w:line="276" w:lineRule="auto"/>
                    <w:jc w:val="center"/>
                    <w:rPr>
                      <w:color w:val="auto"/>
                      <w:sz w:val="21"/>
                      <w:szCs w:val="21"/>
                    </w:rPr>
                  </w:pPr>
                  <w:r>
                    <w:rPr>
                      <w:rFonts w:hint="eastAsia"/>
                      <w:color w:val="auto"/>
                      <w:sz w:val="21"/>
                      <w:szCs w:val="21"/>
                    </w:rPr>
                    <w:t>非甲烷总烃</w:t>
                  </w:r>
                </w:p>
              </w:tc>
              <w:tc>
                <w:tcPr>
                  <w:tcW w:w="2490" w:type="pct"/>
                  <w:vAlign w:val="center"/>
                </w:tcPr>
                <w:p w14:paraId="6136C21B">
                  <w:pPr>
                    <w:pStyle w:val="108"/>
                    <w:spacing w:line="276" w:lineRule="auto"/>
                    <w:jc w:val="center"/>
                    <w:rPr>
                      <w:color w:val="auto"/>
                      <w:sz w:val="21"/>
                      <w:szCs w:val="21"/>
                    </w:rPr>
                  </w:pPr>
                  <w:r>
                    <w:rPr>
                      <w:rFonts w:hint="eastAsia"/>
                      <w:bCs/>
                      <w:color w:val="auto"/>
                      <w:sz w:val="21"/>
                      <w:szCs w:val="21"/>
                    </w:rPr>
                    <w:t>一车间、三车间喷涂废气经装置上方集气罩收集，通过两级活性炭吸附装置处理达标后，最终分别由新增的DA010排气筒、现有DA009排气筒排放</w:t>
                  </w:r>
                </w:p>
              </w:tc>
            </w:tr>
            <w:tr w14:paraId="32888E4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600" w:type="pct"/>
                  <w:vMerge w:val="restart"/>
                  <w:vAlign w:val="center"/>
                </w:tcPr>
                <w:p w14:paraId="58F6DF10">
                  <w:pPr>
                    <w:pStyle w:val="108"/>
                    <w:spacing w:line="276" w:lineRule="auto"/>
                    <w:jc w:val="center"/>
                    <w:rPr>
                      <w:color w:val="auto"/>
                      <w:sz w:val="21"/>
                      <w:szCs w:val="21"/>
                    </w:rPr>
                  </w:pPr>
                  <w:r>
                    <w:rPr>
                      <w:rFonts w:hint="eastAsia"/>
                      <w:color w:val="auto"/>
                      <w:sz w:val="21"/>
                      <w:szCs w:val="21"/>
                    </w:rPr>
                    <w:t>固废</w:t>
                  </w:r>
                </w:p>
              </w:tc>
              <w:tc>
                <w:tcPr>
                  <w:tcW w:w="1129" w:type="pct"/>
                  <w:vAlign w:val="center"/>
                </w:tcPr>
                <w:p w14:paraId="14003B0A">
                  <w:pPr>
                    <w:pStyle w:val="108"/>
                    <w:spacing w:line="276" w:lineRule="auto"/>
                    <w:jc w:val="center"/>
                    <w:rPr>
                      <w:color w:val="auto"/>
                      <w:sz w:val="21"/>
                      <w:szCs w:val="21"/>
                    </w:rPr>
                  </w:pPr>
                  <w:r>
                    <w:rPr>
                      <w:rFonts w:hint="eastAsia"/>
                      <w:color w:val="auto"/>
                      <w:sz w:val="21"/>
                      <w:szCs w:val="21"/>
                    </w:rPr>
                    <w:t>不合格品（S</w:t>
                  </w:r>
                  <w:r>
                    <w:rPr>
                      <w:rFonts w:hint="eastAsia"/>
                      <w:color w:val="auto"/>
                      <w:sz w:val="21"/>
                      <w:szCs w:val="21"/>
                      <w:vertAlign w:val="subscript"/>
                    </w:rPr>
                    <w:t>3</w:t>
                  </w:r>
                  <w:r>
                    <w:rPr>
                      <w:rFonts w:hint="eastAsia"/>
                      <w:color w:val="auto"/>
                      <w:sz w:val="21"/>
                      <w:szCs w:val="21"/>
                    </w:rPr>
                    <w:t>）</w:t>
                  </w:r>
                </w:p>
              </w:tc>
              <w:tc>
                <w:tcPr>
                  <w:tcW w:w="781" w:type="pct"/>
                  <w:vAlign w:val="center"/>
                </w:tcPr>
                <w:p w14:paraId="08DBDB2F">
                  <w:pPr>
                    <w:pStyle w:val="108"/>
                    <w:spacing w:line="276" w:lineRule="auto"/>
                    <w:jc w:val="center"/>
                    <w:rPr>
                      <w:color w:val="auto"/>
                      <w:sz w:val="21"/>
                      <w:szCs w:val="21"/>
                    </w:rPr>
                  </w:pPr>
                  <w:r>
                    <w:rPr>
                      <w:color w:val="auto"/>
                      <w:sz w:val="21"/>
                      <w:szCs w:val="21"/>
                    </w:rPr>
                    <w:t>一般固废</w:t>
                  </w:r>
                </w:p>
              </w:tc>
              <w:tc>
                <w:tcPr>
                  <w:tcW w:w="2490" w:type="pct"/>
                  <w:vAlign w:val="center"/>
                </w:tcPr>
                <w:p w14:paraId="07BEF331">
                  <w:pPr>
                    <w:pStyle w:val="108"/>
                    <w:spacing w:line="276" w:lineRule="auto"/>
                    <w:jc w:val="center"/>
                    <w:rPr>
                      <w:bCs/>
                      <w:color w:val="auto"/>
                      <w:sz w:val="21"/>
                      <w:szCs w:val="21"/>
                    </w:rPr>
                  </w:pPr>
                  <w:r>
                    <w:rPr>
                      <w:rFonts w:hint="eastAsia"/>
                      <w:color w:val="auto"/>
                      <w:sz w:val="21"/>
                      <w:szCs w:val="21"/>
                    </w:rPr>
                    <w:t>统一收集存放于原料库1，回用于玻璃生产线</w:t>
                  </w:r>
                </w:p>
              </w:tc>
            </w:tr>
            <w:tr w14:paraId="19A2D64B">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00" w:type="pct"/>
                  <w:vMerge w:val="continue"/>
                  <w:vAlign w:val="center"/>
                </w:tcPr>
                <w:p w14:paraId="2C164182">
                  <w:pPr>
                    <w:pStyle w:val="108"/>
                    <w:spacing w:line="276" w:lineRule="auto"/>
                    <w:jc w:val="center"/>
                    <w:rPr>
                      <w:color w:val="auto"/>
                      <w:sz w:val="21"/>
                      <w:szCs w:val="21"/>
                    </w:rPr>
                  </w:pPr>
                </w:p>
              </w:tc>
              <w:tc>
                <w:tcPr>
                  <w:tcW w:w="1129" w:type="pct"/>
                  <w:vAlign w:val="center"/>
                </w:tcPr>
                <w:p w14:paraId="1F1E7630">
                  <w:pPr>
                    <w:pStyle w:val="108"/>
                    <w:spacing w:line="276" w:lineRule="auto"/>
                    <w:jc w:val="center"/>
                    <w:rPr>
                      <w:color w:val="auto"/>
                      <w:sz w:val="21"/>
                      <w:szCs w:val="21"/>
                    </w:rPr>
                  </w:pPr>
                  <w:r>
                    <w:rPr>
                      <w:color w:val="auto"/>
                      <w:sz w:val="21"/>
                      <w:szCs w:val="21"/>
                    </w:rPr>
                    <w:t>废包装</w:t>
                  </w:r>
                  <w:r>
                    <w:rPr>
                      <w:rFonts w:hint="eastAsia"/>
                      <w:color w:val="auto"/>
                      <w:sz w:val="21"/>
                      <w:szCs w:val="21"/>
                    </w:rPr>
                    <w:t>桶（S</w:t>
                  </w:r>
                  <w:r>
                    <w:rPr>
                      <w:rFonts w:hint="eastAsia"/>
                      <w:color w:val="auto"/>
                      <w:sz w:val="21"/>
                      <w:szCs w:val="21"/>
                      <w:vertAlign w:val="subscript"/>
                    </w:rPr>
                    <w:t>1</w:t>
                  </w:r>
                  <w:r>
                    <w:rPr>
                      <w:rFonts w:hint="eastAsia"/>
                      <w:color w:val="auto"/>
                      <w:sz w:val="21"/>
                      <w:szCs w:val="21"/>
                    </w:rPr>
                    <w:t>）</w:t>
                  </w:r>
                </w:p>
              </w:tc>
              <w:tc>
                <w:tcPr>
                  <w:tcW w:w="781" w:type="pct"/>
                  <w:vMerge w:val="restart"/>
                  <w:vAlign w:val="center"/>
                </w:tcPr>
                <w:p w14:paraId="057B8094">
                  <w:pPr>
                    <w:pStyle w:val="108"/>
                    <w:spacing w:line="276" w:lineRule="auto"/>
                    <w:jc w:val="center"/>
                    <w:rPr>
                      <w:color w:val="auto"/>
                      <w:sz w:val="21"/>
                      <w:szCs w:val="21"/>
                    </w:rPr>
                  </w:pPr>
                  <w:r>
                    <w:rPr>
                      <w:rFonts w:hint="eastAsia"/>
                      <w:color w:val="auto"/>
                      <w:sz w:val="21"/>
                      <w:szCs w:val="21"/>
                    </w:rPr>
                    <w:t>危险废物</w:t>
                  </w:r>
                </w:p>
              </w:tc>
              <w:tc>
                <w:tcPr>
                  <w:tcW w:w="2490" w:type="pct"/>
                  <w:vMerge w:val="restart"/>
                  <w:vAlign w:val="center"/>
                </w:tcPr>
                <w:p w14:paraId="3A6B02EC">
                  <w:pPr>
                    <w:pStyle w:val="108"/>
                    <w:spacing w:line="276" w:lineRule="auto"/>
                    <w:jc w:val="center"/>
                    <w:rPr>
                      <w:color w:val="auto"/>
                      <w:sz w:val="21"/>
                      <w:szCs w:val="21"/>
                    </w:rPr>
                  </w:pPr>
                  <w:r>
                    <w:rPr>
                      <w:rFonts w:hint="eastAsia"/>
                      <w:bCs/>
                      <w:color w:val="auto"/>
                      <w:sz w:val="21"/>
                      <w:szCs w:val="21"/>
                    </w:rPr>
                    <w:t>暂存于危废暂存间，委托有资质单位定期收集处理处置</w:t>
                  </w:r>
                </w:p>
              </w:tc>
            </w:tr>
            <w:tr w14:paraId="304D281F">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00" w:type="pct"/>
                  <w:vMerge w:val="continue"/>
                  <w:vAlign w:val="center"/>
                </w:tcPr>
                <w:p w14:paraId="6833FD4E">
                  <w:pPr>
                    <w:pStyle w:val="108"/>
                    <w:spacing w:line="276" w:lineRule="auto"/>
                    <w:jc w:val="center"/>
                    <w:rPr>
                      <w:color w:val="auto"/>
                      <w:sz w:val="21"/>
                      <w:szCs w:val="21"/>
                    </w:rPr>
                  </w:pPr>
                </w:p>
              </w:tc>
              <w:tc>
                <w:tcPr>
                  <w:tcW w:w="1129" w:type="pct"/>
                  <w:vAlign w:val="center"/>
                </w:tcPr>
                <w:p w14:paraId="310DF785">
                  <w:pPr>
                    <w:pStyle w:val="108"/>
                    <w:spacing w:line="276" w:lineRule="auto"/>
                    <w:jc w:val="center"/>
                    <w:rPr>
                      <w:color w:val="auto"/>
                      <w:sz w:val="21"/>
                      <w:szCs w:val="21"/>
                    </w:rPr>
                  </w:pPr>
                  <w:r>
                    <w:rPr>
                      <w:color w:val="auto"/>
                      <w:sz w:val="21"/>
                      <w:szCs w:val="21"/>
                    </w:rPr>
                    <w:t>废漆料（</w:t>
                  </w:r>
                  <w:r>
                    <w:rPr>
                      <w:rFonts w:hint="eastAsia"/>
                      <w:color w:val="auto"/>
                      <w:sz w:val="21"/>
                      <w:szCs w:val="21"/>
                    </w:rPr>
                    <w:t>S</w:t>
                  </w:r>
                  <w:r>
                    <w:rPr>
                      <w:rFonts w:hint="eastAsia"/>
                      <w:color w:val="auto"/>
                      <w:sz w:val="21"/>
                      <w:szCs w:val="21"/>
                      <w:vertAlign w:val="subscript"/>
                    </w:rPr>
                    <w:t>2</w:t>
                  </w:r>
                  <w:r>
                    <w:rPr>
                      <w:color w:val="auto"/>
                      <w:sz w:val="21"/>
                      <w:szCs w:val="21"/>
                    </w:rPr>
                    <w:t>）</w:t>
                  </w:r>
                </w:p>
              </w:tc>
              <w:tc>
                <w:tcPr>
                  <w:tcW w:w="781" w:type="pct"/>
                  <w:vMerge w:val="continue"/>
                  <w:vAlign w:val="center"/>
                </w:tcPr>
                <w:p w14:paraId="37A2EA56">
                  <w:pPr>
                    <w:pStyle w:val="108"/>
                    <w:spacing w:line="276" w:lineRule="auto"/>
                    <w:jc w:val="center"/>
                    <w:rPr>
                      <w:color w:val="auto"/>
                      <w:sz w:val="21"/>
                      <w:szCs w:val="21"/>
                    </w:rPr>
                  </w:pPr>
                </w:p>
              </w:tc>
              <w:tc>
                <w:tcPr>
                  <w:tcW w:w="2490" w:type="pct"/>
                  <w:vMerge w:val="continue"/>
                  <w:vAlign w:val="center"/>
                </w:tcPr>
                <w:p w14:paraId="4CEC755C">
                  <w:pPr>
                    <w:pStyle w:val="108"/>
                    <w:spacing w:line="276" w:lineRule="auto"/>
                    <w:jc w:val="center"/>
                    <w:rPr>
                      <w:color w:val="auto"/>
                      <w:sz w:val="21"/>
                      <w:szCs w:val="21"/>
                    </w:rPr>
                  </w:pPr>
                </w:p>
              </w:tc>
            </w:tr>
            <w:tr w14:paraId="29159198">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00" w:type="pct"/>
                  <w:vMerge w:val="continue"/>
                  <w:vAlign w:val="center"/>
                </w:tcPr>
                <w:p w14:paraId="3316C0C6">
                  <w:pPr>
                    <w:pStyle w:val="108"/>
                    <w:spacing w:line="276" w:lineRule="auto"/>
                    <w:jc w:val="center"/>
                    <w:rPr>
                      <w:color w:val="auto"/>
                      <w:sz w:val="21"/>
                      <w:szCs w:val="21"/>
                    </w:rPr>
                  </w:pPr>
                </w:p>
              </w:tc>
              <w:tc>
                <w:tcPr>
                  <w:tcW w:w="1129" w:type="pct"/>
                  <w:vAlign w:val="center"/>
                </w:tcPr>
                <w:p w14:paraId="1BC4C7CA">
                  <w:pPr>
                    <w:pStyle w:val="108"/>
                    <w:spacing w:line="276" w:lineRule="auto"/>
                    <w:jc w:val="center"/>
                    <w:rPr>
                      <w:color w:val="auto"/>
                      <w:sz w:val="21"/>
                      <w:szCs w:val="21"/>
                    </w:rPr>
                  </w:pPr>
                  <w:r>
                    <w:rPr>
                      <w:color w:val="auto"/>
                      <w:sz w:val="21"/>
                      <w:szCs w:val="21"/>
                    </w:rPr>
                    <w:t>废活性炭</w:t>
                  </w:r>
                </w:p>
              </w:tc>
              <w:tc>
                <w:tcPr>
                  <w:tcW w:w="781" w:type="pct"/>
                  <w:vMerge w:val="continue"/>
                  <w:vAlign w:val="center"/>
                </w:tcPr>
                <w:p w14:paraId="03FC3F91">
                  <w:pPr>
                    <w:pStyle w:val="108"/>
                    <w:spacing w:line="276" w:lineRule="auto"/>
                    <w:jc w:val="center"/>
                    <w:rPr>
                      <w:color w:val="auto"/>
                      <w:sz w:val="21"/>
                      <w:szCs w:val="21"/>
                    </w:rPr>
                  </w:pPr>
                </w:p>
              </w:tc>
              <w:tc>
                <w:tcPr>
                  <w:tcW w:w="2490" w:type="pct"/>
                  <w:vMerge w:val="continue"/>
                  <w:vAlign w:val="center"/>
                </w:tcPr>
                <w:p w14:paraId="4C9BB9AC">
                  <w:pPr>
                    <w:pStyle w:val="108"/>
                    <w:spacing w:line="276" w:lineRule="auto"/>
                    <w:jc w:val="center"/>
                    <w:rPr>
                      <w:color w:val="auto"/>
                      <w:sz w:val="21"/>
                      <w:szCs w:val="21"/>
                    </w:rPr>
                  </w:pPr>
                </w:p>
              </w:tc>
            </w:tr>
          </w:tbl>
          <w:p w14:paraId="071E0EFC">
            <w:pPr>
              <w:pStyle w:val="108"/>
              <w:spacing w:line="360" w:lineRule="auto"/>
              <w:ind w:firstLine="480" w:firstLineChars="200"/>
              <w:rPr>
                <w:color w:val="auto"/>
              </w:rPr>
            </w:pPr>
            <w:r>
              <w:rPr>
                <w:rFonts w:hint="eastAsia"/>
                <w:color w:val="auto"/>
              </w:rPr>
              <w:t>本次改建项目水性漆平衡详见下表和下图。</w:t>
            </w:r>
          </w:p>
          <w:p w14:paraId="47BC8029">
            <w:pPr>
              <w:pStyle w:val="219"/>
              <w:jc w:val="center"/>
              <w:rPr>
                <w:rFonts w:eastAsia="黑体" w:cs="Times New Roman"/>
                <w:bCs/>
                <w:color w:val="auto"/>
                <w:szCs w:val="21"/>
              </w:rPr>
            </w:pPr>
            <w:r>
              <w:rPr>
                <w:rFonts w:hAnsi="黑体" w:eastAsia="黑体" w:cs="Times New Roman"/>
                <w:color w:val="auto"/>
              </w:rPr>
              <w:t>表</w:t>
            </w:r>
            <w:r>
              <w:rPr>
                <w:rFonts w:hint="eastAsia" w:eastAsia="黑体" w:cs="Times New Roman"/>
                <w:color w:val="auto"/>
              </w:rPr>
              <w:t>20</w:t>
            </w:r>
            <w:r>
              <w:rPr>
                <w:rFonts w:eastAsia="黑体" w:cs="Times New Roman"/>
                <w:color w:val="auto"/>
              </w:rPr>
              <w:t xml:space="preserve">  </w:t>
            </w:r>
            <w:r>
              <w:rPr>
                <w:rFonts w:hAnsi="黑体" w:eastAsia="黑体" w:cs="Times New Roman"/>
                <w:color w:val="auto"/>
              </w:rPr>
              <w:t>项目水性漆平衡表</w:t>
            </w:r>
            <w:r>
              <w:rPr>
                <w:rFonts w:eastAsia="黑体" w:cs="Times New Roman"/>
                <w:color w:val="auto"/>
              </w:rPr>
              <w:t xml:space="preserve">  </w:t>
            </w:r>
            <w:r>
              <w:rPr>
                <w:rFonts w:hAnsi="黑体" w:eastAsia="黑体" w:cs="Times New Roman"/>
                <w:color w:val="auto"/>
              </w:rPr>
              <w:t>单位：</w:t>
            </w:r>
            <w:r>
              <w:rPr>
                <w:rFonts w:eastAsia="黑体" w:cs="Times New Roman"/>
                <w:color w:val="auto"/>
              </w:rPr>
              <w:t>t/a</w:t>
            </w:r>
          </w:p>
          <w:tbl>
            <w:tblPr>
              <w:tblStyle w:val="35"/>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114"/>
              <w:gridCol w:w="708"/>
              <w:gridCol w:w="2268"/>
              <w:gridCol w:w="1560"/>
              <w:gridCol w:w="1134"/>
              <w:gridCol w:w="1363"/>
            </w:tblGrid>
            <w:tr w14:paraId="587268B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4090" w:type="dxa"/>
                  <w:gridSpan w:val="3"/>
                  <w:vAlign w:val="center"/>
                </w:tcPr>
                <w:p w14:paraId="146EB5ED">
                  <w:pPr>
                    <w:pStyle w:val="108"/>
                    <w:spacing w:line="276" w:lineRule="auto"/>
                    <w:jc w:val="center"/>
                    <w:rPr>
                      <w:b/>
                      <w:color w:val="auto"/>
                      <w:sz w:val="21"/>
                      <w:szCs w:val="21"/>
                    </w:rPr>
                  </w:pPr>
                  <w:r>
                    <w:rPr>
                      <w:b/>
                      <w:color w:val="auto"/>
                      <w:sz w:val="21"/>
                      <w:szCs w:val="21"/>
                    </w:rPr>
                    <w:t>投入</w:t>
                  </w:r>
                </w:p>
              </w:tc>
              <w:tc>
                <w:tcPr>
                  <w:tcW w:w="4057" w:type="dxa"/>
                  <w:gridSpan w:val="3"/>
                  <w:vAlign w:val="center"/>
                </w:tcPr>
                <w:p w14:paraId="2772B831">
                  <w:pPr>
                    <w:pStyle w:val="108"/>
                    <w:spacing w:line="276" w:lineRule="auto"/>
                    <w:jc w:val="center"/>
                    <w:rPr>
                      <w:b/>
                      <w:color w:val="auto"/>
                      <w:sz w:val="21"/>
                      <w:szCs w:val="21"/>
                    </w:rPr>
                  </w:pPr>
                  <w:r>
                    <w:rPr>
                      <w:b/>
                      <w:color w:val="auto"/>
                      <w:sz w:val="21"/>
                      <w:szCs w:val="21"/>
                    </w:rPr>
                    <w:t>产出</w:t>
                  </w:r>
                </w:p>
              </w:tc>
            </w:tr>
            <w:tr w14:paraId="5E11657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14" w:type="dxa"/>
                  <w:vAlign w:val="center"/>
                </w:tcPr>
                <w:p w14:paraId="051E0CCC">
                  <w:pPr>
                    <w:pStyle w:val="108"/>
                    <w:spacing w:line="276" w:lineRule="auto"/>
                    <w:jc w:val="center"/>
                    <w:rPr>
                      <w:color w:val="auto"/>
                      <w:sz w:val="21"/>
                      <w:szCs w:val="21"/>
                    </w:rPr>
                  </w:pPr>
                  <w:r>
                    <w:rPr>
                      <w:color w:val="auto"/>
                      <w:sz w:val="21"/>
                      <w:szCs w:val="21"/>
                    </w:rPr>
                    <w:t>名称</w:t>
                  </w:r>
                </w:p>
              </w:tc>
              <w:tc>
                <w:tcPr>
                  <w:tcW w:w="2976" w:type="dxa"/>
                  <w:gridSpan w:val="2"/>
                  <w:vAlign w:val="center"/>
                </w:tcPr>
                <w:p w14:paraId="59762234">
                  <w:pPr>
                    <w:pStyle w:val="108"/>
                    <w:spacing w:line="276" w:lineRule="auto"/>
                    <w:jc w:val="center"/>
                    <w:rPr>
                      <w:color w:val="auto"/>
                      <w:sz w:val="21"/>
                      <w:szCs w:val="21"/>
                    </w:rPr>
                  </w:pPr>
                  <w:r>
                    <w:rPr>
                      <w:color w:val="auto"/>
                      <w:sz w:val="21"/>
                      <w:szCs w:val="21"/>
                    </w:rPr>
                    <w:t>数量（t）</w:t>
                  </w:r>
                </w:p>
              </w:tc>
              <w:tc>
                <w:tcPr>
                  <w:tcW w:w="2694" w:type="dxa"/>
                  <w:gridSpan w:val="2"/>
                  <w:vAlign w:val="center"/>
                </w:tcPr>
                <w:p w14:paraId="05B0004C">
                  <w:pPr>
                    <w:pStyle w:val="108"/>
                    <w:spacing w:line="276" w:lineRule="auto"/>
                    <w:jc w:val="center"/>
                    <w:rPr>
                      <w:color w:val="auto"/>
                      <w:sz w:val="21"/>
                      <w:szCs w:val="21"/>
                    </w:rPr>
                  </w:pPr>
                  <w:r>
                    <w:rPr>
                      <w:color w:val="auto"/>
                      <w:sz w:val="21"/>
                      <w:szCs w:val="21"/>
                    </w:rPr>
                    <w:t>名称</w:t>
                  </w:r>
                </w:p>
              </w:tc>
              <w:tc>
                <w:tcPr>
                  <w:tcW w:w="1363" w:type="dxa"/>
                  <w:vAlign w:val="center"/>
                </w:tcPr>
                <w:p w14:paraId="2D7186A7">
                  <w:pPr>
                    <w:pStyle w:val="108"/>
                    <w:spacing w:line="276" w:lineRule="auto"/>
                    <w:jc w:val="center"/>
                    <w:rPr>
                      <w:color w:val="auto"/>
                      <w:sz w:val="21"/>
                      <w:szCs w:val="21"/>
                    </w:rPr>
                  </w:pPr>
                  <w:r>
                    <w:rPr>
                      <w:color w:val="auto"/>
                      <w:sz w:val="21"/>
                      <w:szCs w:val="21"/>
                    </w:rPr>
                    <w:t>数量（t）</w:t>
                  </w:r>
                </w:p>
              </w:tc>
            </w:tr>
            <w:tr w14:paraId="0BE4DF2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14" w:type="dxa"/>
                  <w:vMerge w:val="restart"/>
                  <w:vAlign w:val="center"/>
                </w:tcPr>
                <w:p w14:paraId="5370C57A">
                  <w:pPr>
                    <w:pStyle w:val="108"/>
                    <w:spacing w:line="276" w:lineRule="auto"/>
                    <w:jc w:val="center"/>
                    <w:rPr>
                      <w:color w:val="auto"/>
                      <w:sz w:val="21"/>
                      <w:szCs w:val="21"/>
                    </w:rPr>
                  </w:pPr>
                  <w:r>
                    <w:rPr>
                      <w:rFonts w:hint="eastAsia"/>
                      <w:color w:val="auto"/>
                      <w:sz w:val="21"/>
                      <w:szCs w:val="21"/>
                    </w:rPr>
                    <w:t>水性漆</w:t>
                  </w:r>
                </w:p>
              </w:tc>
              <w:tc>
                <w:tcPr>
                  <w:tcW w:w="708" w:type="dxa"/>
                  <w:vMerge w:val="restart"/>
                  <w:vAlign w:val="center"/>
                </w:tcPr>
                <w:p w14:paraId="4BFBE309">
                  <w:pPr>
                    <w:pStyle w:val="108"/>
                    <w:spacing w:line="276" w:lineRule="auto"/>
                    <w:jc w:val="center"/>
                    <w:rPr>
                      <w:color w:val="auto"/>
                      <w:sz w:val="21"/>
                      <w:szCs w:val="21"/>
                    </w:rPr>
                  </w:pPr>
                  <w:r>
                    <w:rPr>
                      <w:rFonts w:hint="eastAsia"/>
                      <w:color w:val="auto"/>
                      <w:sz w:val="21"/>
                      <w:szCs w:val="21"/>
                    </w:rPr>
                    <w:t>45.0</w:t>
                  </w:r>
                </w:p>
              </w:tc>
              <w:tc>
                <w:tcPr>
                  <w:tcW w:w="2268" w:type="dxa"/>
                  <w:vMerge w:val="restart"/>
                  <w:vAlign w:val="center"/>
                </w:tcPr>
                <w:p w14:paraId="2898DB63">
                  <w:pPr>
                    <w:pStyle w:val="108"/>
                    <w:spacing w:line="276" w:lineRule="auto"/>
                    <w:jc w:val="center"/>
                    <w:rPr>
                      <w:color w:val="auto"/>
                      <w:sz w:val="21"/>
                      <w:szCs w:val="21"/>
                    </w:rPr>
                  </w:pPr>
                  <w:r>
                    <w:rPr>
                      <w:color w:val="auto"/>
                      <w:sz w:val="21"/>
                      <w:szCs w:val="21"/>
                    </w:rPr>
                    <w:t>水性丙烯酸树脂：</w:t>
                  </w:r>
                  <w:r>
                    <w:rPr>
                      <w:rFonts w:hint="eastAsia"/>
                      <w:color w:val="auto"/>
                      <w:sz w:val="21"/>
                      <w:szCs w:val="21"/>
                    </w:rPr>
                    <w:t>4.5</w:t>
                  </w:r>
                </w:p>
              </w:tc>
              <w:tc>
                <w:tcPr>
                  <w:tcW w:w="1560" w:type="dxa"/>
                  <w:vMerge w:val="restart"/>
                  <w:vAlign w:val="center"/>
                </w:tcPr>
                <w:p w14:paraId="5500D1EC">
                  <w:pPr>
                    <w:pStyle w:val="108"/>
                    <w:spacing w:line="276" w:lineRule="auto"/>
                    <w:jc w:val="center"/>
                    <w:rPr>
                      <w:color w:val="auto"/>
                      <w:sz w:val="21"/>
                      <w:szCs w:val="21"/>
                    </w:rPr>
                  </w:pPr>
                  <w:r>
                    <w:rPr>
                      <w:color w:val="auto"/>
                      <w:sz w:val="21"/>
                      <w:szCs w:val="21"/>
                    </w:rPr>
                    <w:t>玻璃制品附着</w:t>
                  </w:r>
                </w:p>
              </w:tc>
              <w:tc>
                <w:tcPr>
                  <w:tcW w:w="1134" w:type="dxa"/>
                  <w:vAlign w:val="center"/>
                </w:tcPr>
                <w:p w14:paraId="06EA2AB8">
                  <w:pPr>
                    <w:pStyle w:val="108"/>
                    <w:spacing w:line="276" w:lineRule="auto"/>
                    <w:jc w:val="center"/>
                    <w:rPr>
                      <w:color w:val="auto"/>
                      <w:sz w:val="21"/>
                      <w:szCs w:val="21"/>
                    </w:rPr>
                  </w:pPr>
                  <w:r>
                    <w:rPr>
                      <w:color w:val="auto"/>
                      <w:sz w:val="21"/>
                      <w:szCs w:val="21"/>
                    </w:rPr>
                    <w:t>不合格品</w:t>
                  </w:r>
                </w:p>
              </w:tc>
              <w:tc>
                <w:tcPr>
                  <w:tcW w:w="1363" w:type="dxa"/>
                  <w:vAlign w:val="center"/>
                </w:tcPr>
                <w:p w14:paraId="1AE0CC10">
                  <w:pPr>
                    <w:pStyle w:val="108"/>
                    <w:spacing w:line="276" w:lineRule="auto"/>
                    <w:jc w:val="center"/>
                    <w:rPr>
                      <w:color w:val="auto"/>
                      <w:sz w:val="21"/>
                      <w:szCs w:val="21"/>
                    </w:rPr>
                  </w:pPr>
                  <w:r>
                    <w:rPr>
                      <w:rFonts w:hint="eastAsia"/>
                      <w:color w:val="auto"/>
                      <w:sz w:val="21"/>
                      <w:szCs w:val="21"/>
                    </w:rPr>
                    <w:t>0.004</w:t>
                  </w:r>
                </w:p>
              </w:tc>
            </w:tr>
            <w:tr w14:paraId="1D11F10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14" w:type="dxa"/>
                  <w:vMerge w:val="continue"/>
                  <w:vAlign w:val="center"/>
                </w:tcPr>
                <w:p w14:paraId="07812B40">
                  <w:pPr>
                    <w:pStyle w:val="108"/>
                    <w:spacing w:line="276" w:lineRule="auto"/>
                    <w:jc w:val="center"/>
                    <w:rPr>
                      <w:color w:val="auto"/>
                      <w:sz w:val="21"/>
                      <w:szCs w:val="21"/>
                    </w:rPr>
                  </w:pPr>
                </w:p>
              </w:tc>
              <w:tc>
                <w:tcPr>
                  <w:tcW w:w="708" w:type="dxa"/>
                  <w:vMerge w:val="continue"/>
                  <w:vAlign w:val="center"/>
                </w:tcPr>
                <w:p w14:paraId="05A88A47">
                  <w:pPr>
                    <w:pStyle w:val="108"/>
                    <w:spacing w:line="276" w:lineRule="auto"/>
                    <w:jc w:val="center"/>
                    <w:rPr>
                      <w:color w:val="auto"/>
                      <w:sz w:val="21"/>
                      <w:szCs w:val="21"/>
                    </w:rPr>
                  </w:pPr>
                </w:p>
              </w:tc>
              <w:tc>
                <w:tcPr>
                  <w:tcW w:w="2268" w:type="dxa"/>
                  <w:vMerge w:val="continue"/>
                  <w:vAlign w:val="center"/>
                </w:tcPr>
                <w:p w14:paraId="3D9197D5">
                  <w:pPr>
                    <w:pStyle w:val="108"/>
                    <w:spacing w:line="276" w:lineRule="auto"/>
                    <w:jc w:val="center"/>
                    <w:rPr>
                      <w:color w:val="auto"/>
                      <w:sz w:val="21"/>
                      <w:szCs w:val="21"/>
                    </w:rPr>
                  </w:pPr>
                </w:p>
              </w:tc>
              <w:tc>
                <w:tcPr>
                  <w:tcW w:w="1560" w:type="dxa"/>
                  <w:vMerge w:val="continue"/>
                  <w:vAlign w:val="center"/>
                </w:tcPr>
                <w:p w14:paraId="07FBB819">
                  <w:pPr>
                    <w:pStyle w:val="108"/>
                    <w:spacing w:line="276" w:lineRule="auto"/>
                    <w:jc w:val="center"/>
                    <w:rPr>
                      <w:color w:val="auto"/>
                      <w:sz w:val="21"/>
                      <w:szCs w:val="21"/>
                    </w:rPr>
                  </w:pPr>
                </w:p>
              </w:tc>
              <w:tc>
                <w:tcPr>
                  <w:tcW w:w="1134" w:type="dxa"/>
                  <w:vAlign w:val="center"/>
                </w:tcPr>
                <w:p w14:paraId="6D3C48B6">
                  <w:pPr>
                    <w:pStyle w:val="108"/>
                    <w:spacing w:line="276" w:lineRule="auto"/>
                    <w:jc w:val="center"/>
                    <w:rPr>
                      <w:color w:val="auto"/>
                      <w:sz w:val="21"/>
                      <w:szCs w:val="21"/>
                    </w:rPr>
                  </w:pPr>
                  <w:r>
                    <w:rPr>
                      <w:color w:val="auto"/>
                      <w:sz w:val="21"/>
                      <w:szCs w:val="21"/>
                    </w:rPr>
                    <w:t>合格品</w:t>
                  </w:r>
                </w:p>
              </w:tc>
              <w:tc>
                <w:tcPr>
                  <w:tcW w:w="1363" w:type="dxa"/>
                  <w:vAlign w:val="center"/>
                </w:tcPr>
                <w:p w14:paraId="4265E202">
                  <w:pPr>
                    <w:pStyle w:val="108"/>
                    <w:spacing w:line="276" w:lineRule="auto"/>
                    <w:jc w:val="center"/>
                    <w:rPr>
                      <w:color w:val="auto"/>
                      <w:sz w:val="21"/>
                      <w:szCs w:val="21"/>
                    </w:rPr>
                  </w:pPr>
                  <w:r>
                    <w:rPr>
                      <w:rFonts w:hint="eastAsia"/>
                      <w:color w:val="auto"/>
                      <w:sz w:val="21"/>
                      <w:szCs w:val="21"/>
                    </w:rPr>
                    <w:t>4.271</w:t>
                  </w:r>
                </w:p>
              </w:tc>
            </w:tr>
            <w:tr w14:paraId="535DBCF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14" w:type="dxa"/>
                  <w:vMerge w:val="continue"/>
                  <w:vAlign w:val="center"/>
                </w:tcPr>
                <w:p w14:paraId="2F95DCF4">
                  <w:pPr>
                    <w:pStyle w:val="108"/>
                    <w:spacing w:line="276" w:lineRule="auto"/>
                    <w:jc w:val="center"/>
                    <w:rPr>
                      <w:color w:val="auto"/>
                      <w:sz w:val="21"/>
                      <w:szCs w:val="21"/>
                    </w:rPr>
                  </w:pPr>
                </w:p>
              </w:tc>
              <w:tc>
                <w:tcPr>
                  <w:tcW w:w="708" w:type="dxa"/>
                  <w:vMerge w:val="continue"/>
                  <w:vAlign w:val="center"/>
                </w:tcPr>
                <w:p w14:paraId="180393B0">
                  <w:pPr>
                    <w:pStyle w:val="108"/>
                    <w:spacing w:line="276" w:lineRule="auto"/>
                    <w:jc w:val="center"/>
                    <w:rPr>
                      <w:color w:val="auto"/>
                      <w:sz w:val="21"/>
                      <w:szCs w:val="21"/>
                    </w:rPr>
                  </w:pPr>
                </w:p>
              </w:tc>
              <w:tc>
                <w:tcPr>
                  <w:tcW w:w="2268" w:type="dxa"/>
                  <w:vMerge w:val="continue"/>
                  <w:vAlign w:val="center"/>
                </w:tcPr>
                <w:p w14:paraId="43013B73">
                  <w:pPr>
                    <w:pStyle w:val="108"/>
                    <w:spacing w:line="276" w:lineRule="auto"/>
                    <w:jc w:val="center"/>
                    <w:rPr>
                      <w:color w:val="auto"/>
                      <w:sz w:val="21"/>
                      <w:szCs w:val="21"/>
                    </w:rPr>
                  </w:pPr>
                </w:p>
              </w:tc>
              <w:tc>
                <w:tcPr>
                  <w:tcW w:w="2694" w:type="dxa"/>
                  <w:gridSpan w:val="2"/>
                  <w:vAlign w:val="center"/>
                </w:tcPr>
                <w:p w14:paraId="1056F3D4">
                  <w:pPr>
                    <w:pStyle w:val="108"/>
                    <w:spacing w:line="276" w:lineRule="auto"/>
                    <w:jc w:val="center"/>
                    <w:rPr>
                      <w:color w:val="auto"/>
                      <w:sz w:val="21"/>
                      <w:szCs w:val="21"/>
                    </w:rPr>
                  </w:pPr>
                  <w:r>
                    <w:rPr>
                      <w:rFonts w:hint="eastAsia"/>
                      <w:color w:val="auto"/>
                      <w:sz w:val="21"/>
                      <w:szCs w:val="21"/>
                    </w:rPr>
                    <w:t>废漆料（未附着的）</w:t>
                  </w:r>
                </w:p>
              </w:tc>
              <w:tc>
                <w:tcPr>
                  <w:tcW w:w="1363" w:type="dxa"/>
                  <w:vAlign w:val="center"/>
                </w:tcPr>
                <w:p w14:paraId="14DD4CA4">
                  <w:pPr>
                    <w:pStyle w:val="108"/>
                    <w:spacing w:line="276" w:lineRule="auto"/>
                    <w:jc w:val="center"/>
                    <w:rPr>
                      <w:color w:val="auto"/>
                      <w:sz w:val="21"/>
                      <w:szCs w:val="21"/>
                    </w:rPr>
                  </w:pPr>
                  <w:r>
                    <w:rPr>
                      <w:rFonts w:hint="eastAsia"/>
                      <w:color w:val="auto"/>
                      <w:sz w:val="21"/>
                      <w:szCs w:val="21"/>
                    </w:rPr>
                    <w:t>4.275</w:t>
                  </w:r>
                </w:p>
              </w:tc>
            </w:tr>
            <w:tr w14:paraId="2D36A71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14" w:type="dxa"/>
                  <w:vMerge w:val="continue"/>
                  <w:vAlign w:val="center"/>
                </w:tcPr>
                <w:p w14:paraId="103D1518">
                  <w:pPr>
                    <w:pStyle w:val="108"/>
                    <w:spacing w:line="276" w:lineRule="auto"/>
                    <w:jc w:val="center"/>
                    <w:rPr>
                      <w:color w:val="auto"/>
                      <w:sz w:val="21"/>
                      <w:szCs w:val="21"/>
                    </w:rPr>
                  </w:pPr>
                </w:p>
              </w:tc>
              <w:tc>
                <w:tcPr>
                  <w:tcW w:w="708" w:type="dxa"/>
                  <w:vMerge w:val="continue"/>
                  <w:vAlign w:val="center"/>
                </w:tcPr>
                <w:p w14:paraId="0379BD77">
                  <w:pPr>
                    <w:pStyle w:val="108"/>
                    <w:spacing w:line="276" w:lineRule="auto"/>
                    <w:jc w:val="center"/>
                    <w:rPr>
                      <w:color w:val="auto"/>
                      <w:sz w:val="21"/>
                      <w:szCs w:val="21"/>
                    </w:rPr>
                  </w:pPr>
                </w:p>
              </w:tc>
              <w:tc>
                <w:tcPr>
                  <w:tcW w:w="2268" w:type="dxa"/>
                  <w:vAlign w:val="center"/>
                </w:tcPr>
                <w:p w14:paraId="5BDCE199">
                  <w:pPr>
                    <w:pStyle w:val="108"/>
                    <w:spacing w:line="276" w:lineRule="auto"/>
                    <w:jc w:val="center"/>
                    <w:rPr>
                      <w:color w:val="auto"/>
                      <w:sz w:val="21"/>
                      <w:szCs w:val="21"/>
                    </w:rPr>
                  </w:pPr>
                  <w:r>
                    <w:rPr>
                      <w:color w:val="auto"/>
                      <w:sz w:val="21"/>
                      <w:szCs w:val="21"/>
                    </w:rPr>
                    <w:t>乙醇</w:t>
                  </w:r>
                  <w:r>
                    <w:rPr>
                      <w:rFonts w:hint="eastAsia"/>
                      <w:color w:val="auto"/>
                      <w:sz w:val="21"/>
                      <w:szCs w:val="21"/>
                    </w:rPr>
                    <w:t>：9.0</w:t>
                  </w:r>
                </w:p>
              </w:tc>
              <w:tc>
                <w:tcPr>
                  <w:tcW w:w="2694" w:type="dxa"/>
                  <w:gridSpan w:val="2"/>
                  <w:vAlign w:val="center"/>
                </w:tcPr>
                <w:p w14:paraId="693C3D39">
                  <w:pPr>
                    <w:pStyle w:val="108"/>
                    <w:spacing w:line="276" w:lineRule="auto"/>
                    <w:jc w:val="center"/>
                    <w:rPr>
                      <w:color w:val="auto"/>
                      <w:sz w:val="21"/>
                      <w:szCs w:val="21"/>
                    </w:rPr>
                  </w:pPr>
                  <w:r>
                    <w:rPr>
                      <w:rFonts w:hint="eastAsia"/>
                      <w:color w:val="auto"/>
                      <w:sz w:val="21"/>
                      <w:szCs w:val="21"/>
                    </w:rPr>
                    <w:t>通过排气筒排放</w:t>
                  </w:r>
                </w:p>
              </w:tc>
              <w:tc>
                <w:tcPr>
                  <w:tcW w:w="1363" w:type="dxa"/>
                  <w:vAlign w:val="center"/>
                </w:tcPr>
                <w:p w14:paraId="572B9750">
                  <w:pPr>
                    <w:pStyle w:val="108"/>
                    <w:spacing w:line="276" w:lineRule="auto"/>
                    <w:jc w:val="center"/>
                    <w:rPr>
                      <w:color w:val="auto"/>
                      <w:sz w:val="21"/>
                      <w:szCs w:val="21"/>
                    </w:rPr>
                  </w:pPr>
                  <w:r>
                    <w:rPr>
                      <w:rFonts w:hint="eastAsia"/>
                      <w:color w:val="auto"/>
                      <w:sz w:val="21"/>
                      <w:szCs w:val="21"/>
                    </w:rPr>
                    <w:t>0.850</w:t>
                  </w:r>
                </w:p>
              </w:tc>
            </w:tr>
            <w:tr w14:paraId="68198DA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14" w:type="dxa"/>
                  <w:vMerge w:val="continue"/>
                  <w:vAlign w:val="center"/>
                </w:tcPr>
                <w:p w14:paraId="34AB2820">
                  <w:pPr>
                    <w:pStyle w:val="108"/>
                    <w:spacing w:line="276" w:lineRule="auto"/>
                    <w:jc w:val="center"/>
                    <w:rPr>
                      <w:color w:val="auto"/>
                      <w:sz w:val="21"/>
                      <w:szCs w:val="21"/>
                    </w:rPr>
                  </w:pPr>
                </w:p>
              </w:tc>
              <w:tc>
                <w:tcPr>
                  <w:tcW w:w="708" w:type="dxa"/>
                  <w:vMerge w:val="continue"/>
                  <w:vAlign w:val="center"/>
                </w:tcPr>
                <w:p w14:paraId="7C42B53A">
                  <w:pPr>
                    <w:pStyle w:val="108"/>
                    <w:spacing w:line="276" w:lineRule="auto"/>
                    <w:jc w:val="center"/>
                    <w:rPr>
                      <w:color w:val="auto"/>
                      <w:sz w:val="21"/>
                      <w:szCs w:val="21"/>
                    </w:rPr>
                  </w:pPr>
                </w:p>
              </w:tc>
              <w:tc>
                <w:tcPr>
                  <w:tcW w:w="2268" w:type="dxa"/>
                  <w:vAlign w:val="center"/>
                </w:tcPr>
                <w:p w14:paraId="78E477C5">
                  <w:pPr>
                    <w:pStyle w:val="108"/>
                    <w:spacing w:line="276" w:lineRule="auto"/>
                    <w:jc w:val="center"/>
                    <w:rPr>
                      <w:color w:val="auto"/>
                      <w:sz w:val="21"/>
                      <w:szCs w:val="21"/>
                    </w:rPr>
                  </w:pPr>
                  <w:r>
                    <w:rPr>
                      <w:color w:val="auto"/>
                      <w:sz w:val="21"/>
                      <w:szCs w:val="21"/>
                    </w:rPr>
                    <w:t>氧化物：</w:t>
                  </w:r>
                  <w:r>
                    <w:rPr>
                      <w:rFonts w:hint="eastAsia"/>
                      <w:color w:val="auto"/>
                      <w:sz w:val="21"/>
                      <w:szCs w:val="21"/>
                    </w:rPr>
                    <w:t>4.5</w:t>
                  </w:r>
                </w:p>
              </w:tc>
              <w:tc>
                <w:tcPr>
                  <w:tcW w:w="2694" w:type="dxa"/>
                  <w:gridSpan w:val="2"/>
                  <w:vAlign w:val="center"/>
                </w:tcPr>
                <w:p w14:paraId="27ADDED3">
                  <w:pPr>
                    <w:pStyle w:val="108"/>
                    <w:spacing w:line="276" w:lineRule="auto"/>
                    <w:jc w:val="center"/>
                    <w:rPr>
                      <w:color w:val="auto"/>
                      <w:sz w:val="21"/>
                      <w:szCs w:val="21"/>
                    </w:rPr>
                  </w:pPr>
                  <w:r>
                    <w:rPr>
                      <w:color w:val="auto"/>
                      <w:sz w:val="21"/>
                      <w:szCs w:val="21"/>
                    </w:rPr>
                    <w:t>无组织形式排放</w:t>
                  </w:r>
                </w:p>
              </w:tc>
              <w:tc>
                <w:tcPr>
                  <w:tcW w:w="1363" w:type="dxa"/>
                  <w:vAlign w:val="center"/>
                </w:tcPr>
                <w:p w14:paraId="3635DD87">
                  <w:pPr>
                    <w:pStyle w:val="108"/>
                    <w:spacing w:line="276" w:lineRule="auto"/>
                    <w:jc w:val="center"/>
                    <w:rPr>
                      <w:color w:val="auto"/>
                      <w:sz w:val="21"/>
                      <w:szCs w:val="21"/>
                    </w:rPr>
                  </w:pPr>
                  <w:r>
                    <w:rPr>
                      <w:rFonts w:hint="eastAsia"/>
                      <w:color w:val="auto"/>
                      <w:sz w:val="21"/>
                      <w:szCs w:val="21"/>
                    </w:rPr>
                    <w:t>0.945</w:t>
                  </w:r>
                </w:p>
              </w:tc>
            </w:tr>
            <w:tr w14:paraId="1FB8158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14" w:type="dxa"/>
                  <w:vMerge w:val="continue"/>
                  <w:vAlign w:val="center"/>
                </w:tcPr>
                <w:p w14:paraId="4B139FD2">
                  <w:pPr>
                    <w:pStyle w:val="108"/>
                    <w:spacing w:line="276" w:lineRule="auto"/>
                    <w:jc w:val="center"/>
                    <w:rPr>
                      <w:color w:val="auto"/>
                      <w:sz w:val="21"/>
                      <w:szCs w:val="21"/>
                    </w:rPr>
                  </w:pPr>
                </w:p>
              </w:tc>
              <w:tc>
                <w:tcPr>
                  <w:tcW w:w="708" w:type="dxa"/>
                  <w:vMerge w:val="continue"/>
                  <w:vAlign w:val="center"/>
                </w:tcPr>
                <w:p w14:paraId="6646C1D6">
                  <w:pPr>
                    <w:pStyle w:val="108"/>
                    <w:spacing w:line="276" w:lineRule="auto"/>
                    <w:jc w:val="center"/>
                    <w:rPr>
                      <w:color w:val="auto"/>
                      <w:sz w:val="21"/>
                      <w:szCs w:val="21"/>
                    </w:rPr>
                  </w:pPr>
                </w:p>
              </w:tc>
              <w:tc>
                <w:tcPr>
                  <w:tcW w:w="2268" w:type="dxa"/>
                  <w:vMerge w:val="restart"/>
                  <w:vAlign w:val="center"/>
                </w:tcPr>
                <w:p w14:paraId="5863BD59">
                  <w:pPr>
                    <w:pStyle w:val="108"/>
                    <w:spacing w:line="276" w:lineRule="auto"/>
                    <w:jc w:val="center"/>
                    <w:rPr>
                      <w:color w:val="auto"/>
                      <w:sz w:val="21"/>
                      <w:szCs w:val="21"/>
                    </w:rPr>
                  </w:pPr>
                  <w:r>
                    <w:rPr>
                      <w:color w:val="auto"/>
                      <w:sz w:val="21"/>
                      <w:szCs w:val="21"/>
                    </w:rPr>
                    <w:t>水：</w:t>
                  </w:r>
                  <w:r>
                    <w:rPr>
                      <w:rFonts w:hint="eastAsia"/>
                      <w:color w:val="auto"/>
                      <w:sz w:val="21"/>
                      <w:szCs w:val="21"/>
                    </w:rPr>
                    <w:t>27.0</w:t>
                  </w:r>
                </w:p>
              </w:tc>
              <w:tc>
                <w:tcPr>
                  <w:tcW w:w="2694" w:type="dxa"/>
                  <w:gridSpan w:val="2"/>
                  <w:vAlign w:val="center"/>
                </w:tcPr>
                <w:p w14:paraId="358F2A5E">
                  <w:pPr>
                    <w:pStyle w:val="108"/>
                    <w:spacing w:line="276" w:lineRule="auto"/>
                    <w:jc w:val="center"/>
                    <w:rPr>
                      <w:color w:val="auto"/>
                      <w:sz w:val="21"/>
                      <w:szCs w:val="21"/>
                    </w:rPr>
                  </w:pPr>
                  <w:r>
                    <w:rPr>
                      <w:color w:val="auto"/>
                      <w:sz w:val="21"/>
                      <w:szCs w:val="21"/>
                    </w:rPr>
                    <w:t>活性炭吸附</w:t>
                  </w:r>
                </w:p>
              </w:tc>
              <w:tc>
                <w:tcPr>
                  <w:tcW w:w="1363" w:type="dxa"/>
                  <w:vAlign w:val="center"/>
                </w:tcPr>
                <w:p w14:paraId="49ACD855">
                  <w:pPr>
                    <w:pStyle w:val="108"/>
                    <w:spacing w:line="276" w:lineRule="auto"/>
                    <w:jc w:val="center"/>
                    <w:rPr>
                      <w:color w:val="auto"/>
                      <w:sz w:val="21"/>
                      <w:szCs w:val="21"/>
                    </w:rPr>
                  </w:pPr>
                  <w:r>
                    <w:rPr>
                      <w:rFonts w:hint="eastAsia"/>
                      <w:color w:val="auto"/>
                      <w:sz w:val="21"/>
                      <w:szCs w:val="21"/>
                    </w:rPr>
                    <w:t>7.655</w:t>
                  </w:r>
                </w:p>
              </w:tc>
            </w:tr>
            <w:tr w14:paraId="2436E69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14" w:type="dxa"/>
                  <w:vMerge w:val="continue"/>
                  <w:vAlign w:val="center"/>
                </w:tcPr>
                <w:p w14:paraId="4408E7C2">
                  <w:pPr>
                    <w:pStyle w:val="108"/>
                    <w:spacing w:line="276" w:lineRule="auto"/>
                    <w:jc w:val="center"/>
                    <w:rPr>
                      <w:color w:val="auto"/>
                      <w:sz w:val="21"/>
                      <w:szCs w:val="21"/>
                    </w:rPr>
                  </w:pPr>
                </w:p>
              </w:tc>
              <w:tc>
                <w:tcPr>
                  <w:tcW w:w="708" w:type="dxa"/>
                  <w:vMerge w:val="continue"/>
                  <w:vAlign w:val="center"/>
                </w:tcPr>
                <w:p w14:paraId="58B179E8">
                  <w:pPr>
                    <w:pStyle w:val="108"/>
                    <w:spacing w:line="276" w:lineRule="auto"/>
                    <w:jc w:val="center"/>
                    <w:rPr>
                      <w:color w:val="auto"/>
                      <w:sz w:val="21"/>
                      <w:szCs w:val="21"/>
                    </w:rPr>
                  </w:pPr>
                </w:p>
              </w:tc>
              <w:tc>
                <w:tcPr>
                  <w:tcW w:w="2268" w:type="dxa"/>
                  <w:vMerge w:val="continue"/>
                  <w:vAlign w:val="center"/>
                </w:tcPr>
                <w:p w14:paraId="5538E1CD">
                  <w:pPr>
                    <w:pStyle w:val="108"/>
                    <w:spacing w:line="276" w:lineRule="auto"/>
                    <w:jc w:val="center"/>
                    <w:rPr>
                      <w:color w:val="auto"/>
                      <w:sz w:val="21"/>
                      <w:szCs w:val="21"/>
                    </w:rPr>
                  </w:pPr>
                </w:p>
              </w:tc>
              <w:tc>
                <w:tcPr>
                  <w:tcW w:w="2694" w:type="dxa"/>
                  <w:gridSpan w:val="2"/>
                  <w:vAlign w:val="center"/>
                </w:tcPr>
                <w:p w14:paraId="4C9C3ACE">
                  <w:pPr>
                    <w:pStyle w:val="108"/>
                    <w:spacing w:line="276" w:lineRule="auto"/>
                    <w:jc w:val="center"/>
                    <w:rPr>
                      <w:color w:val="auto"/>
                      <w:sz w:val="21"/>
                      <w:szCs w:val="21"/>
                    </w:rPr>
                  </w:pPr>
                  <w:r>
                    <w:rPr>
                      <w:color w:val="auto"/>
                      <w:sz w:val="21"/>
                      <w:szCs w:val="21"/>
                    </w:rPr>
                    <w:t>水蒸气</w:t>
                  </w:r>
                </w:p>
              </w:tc>
              <w:tc>
                <w:tcPr>
                  <w:tcW w:w="1363" w:type="dxa"/>
                  <w:vAlign w:val="center"/>
                </w:tcPr>
                <w:p w14:paraId="790DEF25">
                  <w:pPr>
                    <w:pStyle w:val="108"/>
                    <w:spacing w:line="276" w:lineRule="auto"/>
                    <w:jc w:val="center"/>
                    <w:rPr>
                      <w:color w:val="auto"/>
                      <w:sz w:val="21"/>
                      <w:szCs w:val="21"/>
                    </w:rPr>
                  </w:pPr>
                  <w:r>
                    <w:rPr>
                      <w:rFonts w:hint="eastAsia"/>
                      <w:color w:val="auto"/>
                      <w:sz w:val="21"/>
                      <w:szCs w:val="21"/>
                    </w:rPr>
                    <w:t>27.0</w:t>
                  </w:r>
                </w:p>
              </w:tc>
            </w:tr>
            <w:tr w14:paraId="7486B05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14" w:type="dxa"/>
                  <w:vAlign w:val="center"/>
                </w:tcPr>
                <w:p w14:paraId="44BF8152">
                  <w:pPr>
                    <w:pStyle w:val="108"/>
                    <w:spacing w:line="276" w:lineRule="auto"/>
                    <w:jc w:val="center"/>
                    <w:rPr>
                      <w:color w:val="auto"/>
                      <w:sz w:val="21"/>
                      <w:szCs w:val="21"/>
                    </w:rPr>
                  </w:pPr>
                  <w:r>
                    <w:rPr>
                      <w:color w:val="auto"/>
                      <w:sz w:val="21"/>
                      <w:szCs w:val="21"/>
                    </w:rPr>
                    <w:t>合计</w:t>
                  </w:r>
                </w:p>
              </w:tc>
              <w:tc>
                <w:tcPr>
                  <w:tcW w:w="2976" w:type="dxa"/>
                  <w:gridSpan w:val="2"/>
                  <w:vAlign w:val="center"/>
                </w:tcPr>
                <w:p w14:paraId="49BD951F">
                  <w:pPr>
                    <w:pStyle w:val="108"/>
                    <w:spacing w:line="276" w:lineRule="auto"/>
                    <w:jc w:val="center"/>
                    <w:rPr>
                      <w:color w:val="auto"/>
                      <w:sz w:val="21"/>
                      <w:szCs w:val="21"/>
                    </w:rPr>
                  </w:pPr>
                  <w:r>
                    <w:rPr>
                      <w:rFonts w:hint="eastAsia"/>
                      <w:color w:val="auto"/>
                      <w:sz w:val="21"/>
                      <w:szCs w:val="21"/>
                    </w:rPr>
                    <w:t>45.0</w:t>
                  </w:r>
                </w:p>
              </w:tc>
              <w:tc>
                <w:tcPr>
                  <w:tcW w:w="2694" w:type="dxa"/>
                  <w:gridSpan w:val="2"/>
                  <w:vAlign w:val="center"/>
                </w:tcPr>
                <w:p w14:paraId="07C9C40E">
                  <w:pPr>
                    <w:pStyle w:val="108"/>
                    <w:spacing w:line="276" w:lineRule="auto"/>
                    <w:jc w:val="center"/>
                    <w:rPr>
                      <w:color w:val="auto"/>
                      <w:sz w:val="21"/>
                      <w:szCs w:val="21"/>
                    </w:rPr>
                  </w:pPr>
                  <w:r>
                    <w:rPr>
                      <w:color w:val="auto"/>
                      <w:sz w:val="21"/>
                      <w:szCs w:val="21"/>
                    </w:rPr>
                    <w:t>合计</w:t>
                  </w:r>
                </w:p>
              </w:tc>
              <w:tc>
                <w:tcPr>
                  <w:tcW w:w="1363" w:type="dxa"/>
                  <w:vAlign w:val="center"/>
                </w:tcPr>
                <w:p w14:paraId="797D3309">
                  <w:pPr>
                    <w:pStyle w:val="108"/>
                    <w:spacing w:line="276" w:lineRule="auto"/>
                    <w:jc w:val="center"/>
                    <w:rPr>
                      <w:color w:val="auto"/>
                      <w:sz w:val="21"/>
                      <w:szCs w:val="21"/>
                    </w:rPr>
                  </w:pPr>
                  <w:r>
                    <w:rPr>
                      <w:rFonts w:hint="eastAsia"/>
                      <w:color w:val="auto"/>
                      <w:sz w:val="21"/>
                      <w:szCs w:val="21"/>
                    </w:rPr>
                    <w:t>45.0</w:t>
                  </w:r>
                </w:p>
              </w:tc>
            </w:tr>
          </w:tbl>
          <w:p w14:paraId="0D693153">
            <w:pPr>
              <w:pStyle w:val="108"/>
              <w:spacing w:line="360" w:lineRule="auto"/>
              <w:rPr>
                <w:color w:val="auto"/>
              </w:rPr>
            </w:pPr>
          </w:p>
        </w:tc>
      </w:tr>
    </w:tbl>
    <w:p w14:paraId="5E57E31A">
      <w:pPr>
        <w:widowControl/>
        <w:spacing w:line="360" w:lineRule="auto"/>
        <w:jc w:val="center"/>
        <w:rPr>
          <w:rFonts w:hAnsi="宋体"/>
          <w:color w:val="auto"/>
          <w:kern w:val="0"/>
          <w:sz w:val="24"/>
        </w:rPr>
        <w:sectPr>
          <w:pgSz w:w="11906" w:h="16838"/>
          <w:pgMar w:top="1440" w:right="1508" w:bottom="1440" w:left="1797" w:header="851" w:footer="992" w:gutter="0"/>
          <w:cols w:space="720" w:num="1"/>
          <w:docGrid w:type="lines" w:linePitch="312" w:charSpace="0"/>
        </w:sectPr>
      </w:pPr>
    </w:p>
    <w:tbl>
      <w:tblPr>
        <w:tblStyle w:val="34"/>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3"/>
        <w:gridCol w:w="13641"/>
      </w:tblGrid>
      <w:tr w14:paraId="60839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5" w:hRule="atLeast"/>
        </w:trPr>
        <w:tc>
          <w:tcPr>
            <w:tcW w:w="188" w:type="pct"/>
            <w:vAlign w:val="center"/>
          </w:tcPr>
          <w:p w14:paraId="602BA100">
            <w:pPr>
              <w:widowControl/>
              <w:spacing w:line="360" w:lineRule="auto"/>
              <w:jc w:val="center"/>
              <w:rPr>
                <w:rFonts w:hAnsi="宋体"/>
                <w:color w:val="auto"/>
                <w:kern w:val="0"/>
                <w:sz w:val="24"/>
              </w:rPr>
            </w:pPr>
            <w:r>
              <w:rPr>
                <w:rFonts w:hAnsi="宋体"/>
                <w:color w:val="auto"/>
                <w:kern w:val="0"/>
                <w:sz w:val="24"/>
              </w:rPr>
              <w:t>工艺流程和产污环节</w:t>
            </w:r>
          </w:p>
        </w:tc>
        <w:tc>
          <w:tcPr>
            <w:tcW w:w="4812" w:type="pct"/>
          </w:tcPr>
          <w:p w14:paraId="188FED14">
            <w:pPr>
              <w:spacing w:line="360" w:lineRule="auto"/>
              <w:jc w:val="center"/>
              <w:rPr>
                <w:rFonts w:hAnsi="黑体" w:eastAsia="黑体"/>
                <w:color w:val="auto"/>
                <w:sz w:val="24"/>
              </w:rPr>
            </w:pPr>
            <w:r>
              <w:rPr>
                <w:rFonts w:hAnsi="黑体" w:eastAsia="黑体"/>
                <w:color w:val="auto"/>
                <w:sz w:val="24"/>
              </w:rPr>
              <w:pict>
                <v:group id="_x0000_s7604" o:spid="_x0000_s7604" o:spt="203" style="height:404.3pt;width:666.8pt;" coordorigin="621,1453" coordsize="13336,8086" editas="canvas">
                  <o:lock v:ext="edit"/>
                  <v:shape id="_x0000_s7603" o:spid="_x0000_s7603" o:spt="75" type="#_x0000_t75" style="position:absolute;left:621;top:1453;height:8086;width:13336;" filled="f" o:preferrelative="f" stroked="f" coordsize="21600,21600">
                    <v:path/>
                    <v:fill on="f" focussize="0,0"/>
                    <v:stroke on="f" joinstyle="miter"/>
                    <v:imagedata o:title=""/>
                    <o:lock v:ext="edit" text="t" aspectratio="t"/>
                  </v:shape>
                  <v:shape id="_x0000_s7605" o:spid="_x0000_s7605" o:spt="202" type="#_x0000_t202" style="position:absolute;left:733;top:5702;height:1080;width:1511;" coordsize="21600,21600">
                    <v:path/>
                    <v:fill focussize="0,0"/>
                    <v:stroke joinstyle="miter"/>
                    <v:imagedata o:title=""/>
                    <o:lock v:ext="edit"/>
                    <v:textbox>
                      <w:txbxContent>
                        <w:p w14:paraId="1B591758">
                          <w:pPr>
                            <w:jc w:val="center"/>
                            <w:rPr>
                              <w:sz w:val="18"/>
                              <w:szCs w:val="18"/>
                            </w:rPr>
                          </w:pPr>
                          <w:r>
                            <w:rPr>
                              <w:rFonts w:hint="eastAsia"/>
                              <w:sz w:val="18"/>
                              <w:szCs w:val="18"/>
                            </w:rPr>
                            <w:t>水性</w:t>
                          </w:r>
                          <w:r>
                            <w:rPr>
                              <w:sz w:val="18"/>
                              <w:szCs w:val="18"/>
                            </w:rPr>
                            <w:t>漆（</w:t>
                          </w:r>
                          <w:r>
                            <w:rPr>
                              <w:rFonts w:hint="eastAsia"/>
                              <w:sz w:val="18"/>
                              <w:szCs w:val="18"/>
                            </w:rPr>
                            <w:t>100%</w:t>
                          </w:r>
                          <w:r>
                            <w:rPr>
                              <w:sz w:val="18"/>
                              <w:szCs w:val="18"/>
                            </w:rPr>
                            <w:t>）：</w:t>
                          </w:r>
                        </w:p>
                        <w:p w14:paraId="265F9217">
                          <w:pPr>
                            <w:jc w:val="center"/>
                            <w:rPr>
                              <w:sz w:val="18"/>
                              <w:szCs w:val="18"/>
                            </w:rPr>
                          </w:pPr>
                          <w:r>
                            <w:rPr>
                              <w:rFonts w:hint="eastAsia"/>
                              <w:sz w:val="18"/>
                              <w:szCs w:val="18"/>
                            </w:rPr>
                            <w:t>45.0</w:t>
                          </w:r>
                        </w:p>
                      </w:txbxContent>
                    </v:textbox>
                  </v:shape>
                  <v:shape id="_x0000_s7620" o:spid="_x0000_s7620" o:spt="202" type="#_x0000_t202" style="position:absolute;left:2673;top:2913;height:473;width:624;" stroked="f" coordsize="21600,21600">
                    <v:path/>
                    <v:fill focussize="0,0"/>
                    <v:stroke on="f" joinstyle="miter"/>
                    <v:imagedata o:title=""/>
                    <o:lock v:ext="edit"/>
                    <v:textbox>
                      <w:txbxContent>
                        <w:p w14:paraId="5CFA6AAA">
                          <w:pPr>
                            <w:rPr>
                              <w:sz w:val="18"/>
                              <w:szCs w:val="18"/>
                            </w:rPr>
                          </w:pPr>
                          <w:r>
                            <w:rPr>
                              <w:rFonts w:hint="eastAsia"/>
                              <w:sz w:val="18"/>
                              <w:szCs w:val="18"/>
                            </w:rPr>
                            <w:t>10%</w:t>
                          </w:r>
                        </w:p>
                      </w:txbxContent>
                    </v:textbox>
                  </v:shape>
                  <v:shape id="_x0000_s7621" o:spid="_x0000_s7621" o:spt="202" type="#_x0000_t202" style="position:absolute;left:2679;top:5785;height:473;width:629;" stroked="f" coordsize="21600,21600">
                    <v:path/>
                    <v:fill focussize="0,0"/>
                    <v:stroke on="f" joinstyle="miter"/>
                    <v:imagedata o:title=""/>
                    <o:lock v:ext="edit"/>
                    <v:textbox>
                      <w:txbxContent>
                        <w:p w14:paraId="1331CCE9">
                          <w:pPr>
                            <w:rPr>
                              <w:sz w:val="18"/>
                              <w:szCs w:val="18"/>
                            </w:rPr>
                          </w:pPr>
                          <w:r>
                            <w:rPr>
                              <w:rFonts w:hint="eastAsia"/>
                              <w:sz w:val="18"/>
                              <w:szCs w:val="18"/>
                            </w:rPr>
                            <w:t>20%%</w:t>
                          </w:r>
                        </w:p>
                      </w:txbxContent>
                    </v:textbox>
                  </v:shape>
                  <v:shape id="_x0000_s7622" o:spid="_x0000_s7622" o:spt="202" type="#_x0000_t202" style="position:absolute;left:2637;top:7437;height:473;width:697;" stroked="f" coordsize="21600,21600">
                    <v:path/>
                    <v:fill focussize="0,0"/>
                    <v:stroke on="f" joinstyle="miter"/>
                    <v:imagedata o:title=""/>
                    <o:lock v:ext="edit"/>
                    <v:textbox>
                      <w:txbxContent>
                        <w:p w14:paraId="5A757882">
                          <w:pPr>
                            <w:rPr>
                              <w:sz w:val="18"/>
                              <w:szCs w:val="18"/>
                            </w:rPr>
                          </w:pPr>
                          <w:r>
                            <w:rPr>
                              <w:rFonts w:hint="eastAsia"/>
                              <w:sz w:val="18"/>
                              <w:szCs w:val="18"/>
                            </w:rPr>
                            <w:t>10%</w:t>
                          </w:r>
                        </w:p>
                      </w:txbxContent>
                    </v:textbox>
                  </v:shape>
                  <v:shape id="_x0000_s7630" o:spid="_x0000_s7630" o:spt="202" type="#_x0000_t202" style="position:absolute;left:3283;top:8827;height:475;width:1912;" filled="f" coordsize="21600,21600">
                    <v:path/>
                    <v:fill on="f" focussize="0,0"/>
                    <v:stroke joinstyle="miter"/>
                    <v:imagedata o:title=""/>
                    <o:lock v:ext="edit"/>
                    <v:textbox>
                      <w:txbxContent>
                        <w:p w14:paraId="7033F586">
                          <w:pPr>
                            <w:jc w:val="center"/>
                            <w:rPr>
                              <w:sz w:val="18"/>
                              <w:szCs w:val="18"/>
                            </w:rPr>
                          </w:pPr>
                          <w:r>
                            <w:rPr>
                              <w:rFonts w:hint="eastAsia"/>
                              <w:sz w:val="18"/>
                              <w:szCs w:val="18"/>
                            </w:rPr>
                            <w:t>水</w:t>
                          </w:r>
                          <w:r>
                            <w:rPr>
                              <w:sz w:val="18"/>
                              <w:szCs w:val="18"/>
                            </w:rPr>
                            <w:t>：</w:t>
                          </w:r>
                          <w:r>
                            <w:rPr>
                              <w:rFonts w:hint="eastAsia"/>
                              <w:sz w:val="18"/>
                              <w:szCs w:val="18"/>
                            </w:rPr>
                            <w:t>27.0</w:t>
                          </w:r>
                        </w:p>
                      </w:txbxContent>
                    </v:textbox>
                  </v:shape>
                  <v:shape id="_x0000_s7635" o:spid="_x0000_s7635" o:spt="202" type="#_x0000_t202" style="position:absolute;left:2652;top:8591;height:473;width:697;" filled="f" stroked="f" coordsize="21600,21600">
                    <v:path/>
                    <v:fill on="f" focussize="0,0"/>
                    <v:stroke on="f" joinstyle="miter"/>
                    <v:imagedata o:title=""/>
                    <o:lock v:ext="edit"/>
                    <v:textbox>
                      <w:txbxContent>
                        <w:p w14:paraId="41C8BAC7">
                          <w:pPr>
                            <w:rPr>
                              <w:sz w:val="18"/>
                              <w:szCs w:val="18"/>
                            </w:rPr>
                          </w:pPr>
                          <w:r>
                            <w:rPr>
                              <w:rFonts w:hint="eastAsia"/>
                              <w:sz w:val="18"/>
                              <w:szCs w:val="18"/>
                            </w:rPr>
                            <w:t>60%</w:t>
                          </w:r>
                        </w:p>
                      </w:txbxContent>
                    </v:textbox>
                  </v:shape>
                  <v:shape id="_x0000_s7819" o:spid="_x0000_s7819" o:spt="202" type="#_x0000_t202" style="position:absolute;left:3283;top:6019;height:452;width:1756;" filled="f" coordsize="21600,21600">
                    <v:path/>
                    <v:fill on="f" focussize="0,0"/>
                    <v:stroke joinstyle="miter"/>
                    <v:imagedata o:title=""/>
                    <o:lock v:ext="edit"/>
                    <v:textbox>
                      <w:txbxContent>
                        <w:p w14:paraId="41F0476E">
                          <w:pPr>
                            <w:jc w:val="center"/>
                            <w:rPr>
                              <w:sz w:val="18"/>
                              <w:szCs w:val="18"/>
                            </w:rPr>
                          </w:pPr>
                          <w:r>
                            <w:rPr>
                              <w:rFonts w:hint="eastAsia"/>
                              <w:sz w:val="18"/>
                              <w:szCs w:val="18"/>
                            </w:rPr>
                            <w:t>乙醇</w:t>
                          </w:r>
                          <w:r>
                            <w:rPr>
                              <w:sz w:val="18"/>
                              <w:szCs w:val="18"/>
                            </w:rPr>
                            <w:t>：</w:t>
                          </w:r>
                          <w:r>
                            <w:rPr>
                              <w:rFonts w:hint="eastAsia"/>
                              <w:sz w:val="18"/>
                              <w:szCs w:val="18"/>
                            </w:rPr>
                            <w:t>9.0</w:t>
                          </w:r>
                        </w:p>
                      </w:txbxContent>
                    </v:textbox>
                  </v:shape>
                  <v:shape id="_x0000_s7820" o:spid="_x0000_s7820" o:spt="202" type="#_x0000_t202" style="position:absolute;left:3283;top:2904;height:798;width:1756;" filled="f" coordsize="21600,21600">
                    <v:path/>
                    <v:fill on="f" focussize="0,0"/>
                    <v:stroke joinstyle="miter"/>
                    <v:imagedata o:title=""/>
                    <o:lock v:ext="edit"/>
                    <v:textbox>
                      <w:txbxContent>
                        <w:p w14:paraId="2AD37B30">
                          <w:pPr>
                            <w:jc w:val="center"/>
                            <w:rPr>
                              <w:sz w:val="18"/>
                              <w:szCs w:val="18"/>
                            </w:rPr>
                          </w:pPr>
                          <w:r>
                            <w:rPr>
                              <w:rFonts w:hint="eastAsia"/>
                              <w:sz w:val="18"/>
                              <w:szCs w:val="18"/>
                            </w:rPr>
                            <w:t>水性</w:t>
                          </w:r>
                          <w:r>
                            <w:rPr>
                              <w:sz w:val="18"/>
                              <w:szCs w:val="18"/>
                            </w:rPr>
                            <w:t>丙烯酸树脂：</w:t>
                          </w:r>
                          <w:r>
                            <w:rPr>
                              <w:rFonts w:hint="eastAsia"/>
                              <w:sz w:val="18"/>
                              <w:szCs w:val="18"/>
                            </w:rPr>
                            <w:t>4.5</w:t>
                          </w:r>
                        </w:p>
                      </w:txbxContent>
                    </v:textbox>
                  </v:shape>
                  <v:shape id="_x0000_s7821" o:spid="_x0000_s7821" o:spt="202" type="#_x0000_t202" style="position:absolute;left:3283;top:7654;height:476;width:1890;" filled="f" coordsize="21600,21600">
                    <v:path/>
                    <v:fill on="f" focussize="0,0"/>
                    <v:stroke joinstyle="miter"/>
                    <v:imagedata o:title=""/>
                    <o:lock v:ext="edit"/>
                    <v:textbox>
                      <w:txbxContent>
                        <w:p w14:paraId="11A80E6C">
                          <w:pPr>
                            <w:jc w:val="center"/>
                            <w:rPr>
                              <w:sz w:val="18"/>
                              <w:szCs w:val="18"/>
                            </w:rPr>
                          </w:pPr>
                          <w:r>
                            <w:rPr>
                              <w:sz w:val="18"/>
                              <w:szCs w:val="18"/>
                            </w:rPr>
                            <w:t>氧化物：</w:t>
                          </w:r>
                          <w:r>
                            <w:rPr>
                              <w:rFonts w:hint="eastAsia"/>
                              <w:sz w:val="18"/>
                              <w:szCs w:val="18"/>
                            </w:rPr>
                            <w:t>4.5</w:t>
                          </w:r>
                        </w:p>
                      </w:txbxContent>
                    </v:textbox>
                  </v:shape>
                  <v:shape id="_x0000_s7823" o:spid="_x0000_s7823" o:spt="34" type="#_x0000_t34" style="position:absolute;left:2244;top:3303;flip:y;height:2939;width:1039;" o:connectortype="elbow" filled="f" coordsize="21600,21600" adj="10790,48609,-75673">
                    <v:path arrowok="t"/>
                    <v:fill on="f" focussize="0,0"/>
                    <v:stroke endarrow="block" endarrowwidth="narrow"/>
                    <v:imagedata o:title=""/>
                    <o:lock v:ext="edit"/>
                  </v:shape>
                  <v:shape id="_x0000_s7824" o:spid="_x0000_s7824" o:spt="34" type="#_x0000_t34" style="position:absolute;left:2244;top:6242;height:2823;width:1039;" o:connectortype="elbow" filled="f" coordsize="21600,21600" adj="10790,-50607,-75673">
                    <v:path arrowok="t"/>
                    <v:fill on="f" focussize="0,0"/>
                    <v:stroke endarrow="block" endarrowwidth="narrow"/>
                    <v:imagedata o:title=""/>
                    <o:lock v:ext="edit"/>
                  </v:shape>
                  <v:shape id="_x0000_s7826" o:spid="_x0000_s7826" o:spt="34" type="#_x0000_t34" style="position:absolute;left:2244;top:6242;height:3;width:1039;" o:connectortype="elbow" filled="f" coordsize="21600,21600" adj="10790,-47620800,-75673">
                    <v:path arrowok="t"/>
                    <v:fill on="f" focussize="0,0"/>
                    <v:stroke endarrow="block" endarrowwidth="narrow"/>
                    <v:imagedata o:title=""/>
                    <o:lock v:ext="edit"/>
                  </v:shape>
                  <v:shape id="_x0000_s7827" o:spid="_x0000_s7827" o:spt="34" type="#_x0000_t34" style="position:absolute;left:2244;top:6242;height:1650;width:1039;" o:connectortype="elbow" filled="f" coordsize="21600,21600" adj="10790,-86583,-75673">
                    <v:path arrowok="t"/>
                    <v:fill on="f" focussize="0,0"/>
                    <v:stroke endarrow="block" endarrowwidth="narrow"/>
                    <v:imagedata o:title=""/>
                    <o:lock v:ext="edit"/>
                  </v:shape>
                  <v:shape id="_x0000_s23666" o:spid="_x0000_s23666" o:spt="32" type="#_x0000_t32" style="position:absolute;left:5040;top:3281;height:1;width:639;" o:connectortype="straight" filled="f" coordsize="21600,21600">
                    <v:path arrowok="t"/>
                    <v:fill on="f" focussize="0,0"/>
                    <v:stroke endarrow="block" endarrowwidth="narrow"/>
                    <v:imagedata o:title=""/>
                    <o:lock v:ext="edit"/>
                  </v:shape>
                  <v:shape id="_x0000_s23667" o:spid="_x0000_s23667" o:spt="202" type="#_x0000_t202" style="position:absolute;left:4976;top:2883;height:473;width:728;" filled="f" stroked="f" coordsize="21600,21600">
                    <v:path/>
                    <v:fill on="f" focussize="0,0"/>
                    <v:stroke on="f" joinstyle="miter"/>
                    <v:imagedata o:title=""/>
                    <o:lock v:ext="edit"/>
                    <v:textbox>
                      <w:txbxContent>
                        <w:p w14:paraId="128C061B">
                          <w:pPr>
                            <w:rPr>
                              <w:sz w:val="18"/>
                              <w:szCs w:val="18"/>
                            </w:rPr>
                          </w:pPr>
                          <w:r>
                            <w:rPr>
                              <w:rFonts w:hint="eastAsia"/>
                              <w:sz w:val="18"/>
                              <w:szCs w:val="18"/>
                            </w:rPr>
                            <w:t>喷涂</w:t>
                          </w:r>
                        </w:p>
                      </w:txbxContent>
                    </v:textbox>
                  </v:shape>
                  <v:shape id="_x0000_s23674" o:spid="_x0000_s23674" o:spt="202" type="#_x0000_t202" style="position:absolute;left:6244;top:3906;height:761;width:1903;" filled="f" coordsize="21600,21600">
                    <v:path/>
                    <v:fill on="f" focussize="0,0"/>
                    <v:stroke joinstyle="miter"/>
                    <v:imagedata o:title=""/>
                    <o:lock v:ext="edit"/>
                    <v:textbox>
                      <w:txbxContent>
                        <w:p w14:paraId="1CD6C7DF">
                          <w:pPr>
                            <w:jc w:val="center"/>
                            <w:rPr>
                              <w:sz w:val="18"/>
                              <w:szCs w:val="18"/>
                            </w:rPr>
                          </w:pPr>
                          <w:r>
                            <w:rPr>
                              <w:rFonts w:hint="eastAsia"/>
                              <w:sz w:val="18"/>
                              <w:szCs w:val="18"/>
                            </w:rPr>
                            <w:t>分解成VOCs挥发</w:t>
                          </w:r>
                          <w:r>
                            <w:rPr>
                              <w:sz w:val="18"/>
                              <w:szCs w:val="18"/>
                            </w:rPr>
                            <w:t>：</w:t>
                          </w:r>
                          <w:r>
                            <w:rPr>
                              <w:rFonts w:hint="eastAsia"/>
                              <w:sz w:val="18"/>
                              <w:szCs w:val="18"/>
                            </w:rPr>
                            <w:t>0.45</w:t>
                          </w:r>
                        </w:p>
                      </w:txbxContent>
                    </v:textbox>
                  </v:shape>
                  <v:shape id="_x0000_s23676" o:spid="_x0000_s23676" o:spt="202" type="#_x0000_t202" style="position:absolute;left:5016;top:5849;height:473;width:728;" filled="f" stroked="f" coordsize="21600,21600">
                    <v:path/>
                    <v:fill on="f" focussize="0,0"/>
                    <v:stroke on="f" joinstyle="miter"/>
                    <v:imagedata o:title=""/>
                    <o:lock v:ext="edit"/>
                    <v:textbox>
                      <w:txbxContent>
                        <w:p w14:paraId="5790CFAB">
                          <w:pPr>
                            <w:rPr>
                              <w:sz w:val="18"/>
                              <w:szCs w:val="18"/>
                            </w:rPr>
                          </w:pPr>
                          <w:r>
                            <w:rPr>
                              <w:rFonts w:hint="eastAsia"/>
                              <w:sz w:val="18"/>
                              <w:szCs w:val="18"/>
                            </w:rPr>
                            <w:t>喷涂</w:t>
                          </w:r>
                        </w:p>
                      </w:txbxContent>
                    </v:textbox>
                  </v:shape>
                  <v:shape id="_x0000_s23677" o:spid="_x0000_s23677" o:spt="202" type="#_x0000_t202" style="position:absolute;left:5704;top:6006;height:462;width:1878;" filled="f" coordsize="21600,21600">
                    <v:path/>
                    <v:fill on="f" focussize="0,0"/>
                    <v:stroke joinstyle="miter"/>
                    <v:imagedata o:title=""/>
                    <o:lock v:ext="edit"/>
                    <v:textbox>
                      <w:txbxContent>
                        <w:p w14:paraId="7339F948">
                          <w:pPr>
                            <w:jc w:val="center"/>
                            <w:rPr>
                              <w:sz w:val="18"/>
                              <w:szCs w:val="18"/>
                            </w:rPr>
                          </w:pPr>
                          <w:r>
                            <w:rPr>
                              <w:rFonts w:hint="eastAsia"/>
                              <w:sz w:val="18"/>
                              <w:szCs w:val="18"/>
                            </w:rPr>
                            <w:t>VOCs挥发</w:t>
                          </w:r>
                          <w:r>
                            <w:rPr>
                              <w:sz w:val="18"/>
                              <w:szCs w:val="18"/>
                            </w:rPr>
                            <w:t>：</w:t>
                          </w:r>
                          <w:r>
                            <w:rPr>
                              <w:rFonts w:hint="eastAsia"/>
                              <w:sz w:val="18"/>
                              <w:szCs w:val="18"/>
                            </w:rPr>
                            <w:t>9.0</w:t>
                          </w:r>
                        </w:p>
                      </w:txbxContent>
                    </v:textbox>
                  </v:shape>
                  <v:shape id="_x0000_s23679" o:spid="_x0000_s23679" o:spt="202" type="#_x0000_t202" style="position:absolute;left:6357;top:8105;height:470;width:2880;" filled="f" coordsize="21600,21600">
                    <v:path/>
                    <v:fill on="f" focussize="0,0"/>
                    <v:stroke joinstyle="miter"/>
                    <v:imagedata o:title=""/>
                    <o:lock v:ext="edit"/>
                    <v:textbox>
                      <w:txbxContent>
                        <w:p w14:paraId="4A4431E6">
                          <w:pPr>
                            <w:jc w:val="center"/>
                            <w:rPr>
                              <w:sz w:val="18"/>
                              <w:szCs w:val="18"/>
                            </w:rPr>
                          </w:pPr>
                          <w:r>
                            <w:rPr>
                              <w:rFonts w:hint="eastAsia"/>
                              <w:sz w:val="18"/>
                              <w:szCs w:val="18"/>
                            </w:rPr>
                            <w:t>附着于玻璃制品表面</w:t>
                          </w:r>
                          <w:r>
                            <w:rPr>
                              <w:sz w:val="18"/>
                              <w:szCs w:val="18"/>
                            </w:rPr>
                            <w:t>：</w:t>
                          </w:r>
                          <w:r>
                            <w:rPr>
                              <w:rFonts w:hint="eastAsia"/>
                              <w:sz w:val="18"/>
                              <w:szCs w:val="18"/>
                            </w:rPr>
                            <w:t>2.25</w:t>
                          </w:r>
                        </w:p>
                      </w:txbxContent>
                    </v:textbox>
                  </v:shape>
                  <v:shape id="_x0000_s23688" o:spid="_x0000_s23688" o:spt="32" type="#_x0000_t32" style="position:absolute;left:5065;top:6245;height:1;width:639;" o:connectortype="straight" filled="f" coordsize="21600,21600">
                    <v:path arrowok="t"/>
                    <v:fill on="f" focussize="0,0"/>
                    <v:stroke endarrow="block" endarrowwidth="narrow"/>
                    <v:imagedata o:title=""/>
                    <o:lock v:ext="edit"/>
                  </v:shape>
                  <v:shape id="_x0000_s23689" o:spid="_x0000_s23689" o:spt="32" type="#_x0000_t32" style="position:absolute;left:5195;top:7884;height:1;width:639;" o:connectortype="straight" filled="f" coordsize="21600,21600">
                    <v:path arrowok="t"/>
                    <v:fill on="f" focussize="0,0"/>
                    <v:stroke endarrow="block" endarrowwidth="narrow"/>
                    <v:imagedata o:title=""/>
                    <o:lock v:ext="edit"/>
                  </v:shape>
                  <v:shape id="_x0000_s23690" o:spid="_x0000_s23690" o:spt="202" type="#_x0000_t202" style="position:absolute;left:5132;top:7492;height:473;width:728;" filled="f" stroked="f" coordsize="21600,21600">
                    <v:path/>
                    <v:fill on="f" focussize="0,0"/>
                    <v:stroke on="f" joinstyle="miter"/>
                    <v:imagedata o:title=""/>
                    <o:lock v:ext="edit"/>
                    <v:textbox>
                      <w:txbxContent>
                        <w:p w14:paraId="54DE8B31">
                          <w:pPr>
                            <w:rPr>
                              <w:sz w:val="18"/>
                              <w:szCs w:val="18"/>
                            </w:rPr>
                          </w:pPr>
                          <w:r>
                            <w:rPr>
                              <w:rFonts w:hint="eastAsia"/>
                              <w:sz w:val="18"/>
                              <w:szCs w:val="18"/>
                            </w:rPr>
                            <w:t>喷涂</w:t>
                          </w:r>
                        </w:p>
                      </w:txbxContent>
                    </v:textbox>
                  </v:shape>
                  <v:shape id="_x0000_s23691" o:spid="_x0000_s23691" o:spt="32" type="#_x0000_t32" style="position:absolute;left:8264;top:5810;height:900;width:1;" o:connectortype="straight" filled="f" coordsize="21600,21600">
                    <v:path arrowok="t"/>
                    <v:fill on="f" focussize="0,0"/>
                    <v:stroke endarrowwidth="narrow" endarrowlength="long"/>
                    <v:imagedata o:title=""/>
                    <o:lock v:ext="edit"/>
                  </v:shape>
                  <v:shape id="_x0000_s23692" o:spid="_x0000_s23692" o:spt="32" type="#_x0000_t32" style="position:absolute;left:8252;top:6710;height:4;width:547;" o:connectortype="straight" filled="f" coordsize="21600,21600">
                    <v:path arrowok="t"/>
                    <v:fill on="f" focussize="0,0"/>
                    <v:stroke endarrow="block" endarrowwidth="narrow"/>
                    <v:imagedata o:title=""/>
                    <o:lock v:ext="edit"/>
                  </v:shape>
                  <v:shape id="_x0000_s23693" o:spid="_x0000_s23693" o:spt="202" type="#_x0000_t202" style="position:absolute;left:8783;top:5586;height:462;width:1455;" filled="f" coordsize="21600,21600">
                    <v:path/>
                    <v:fill on="f" focussize="0,0"/>
                    <v:stroke joinstyle="miter"/>
                    <v:imagedata o:title=""/>
                    <o:lock v:ext="edit"/>
                    <v:textbox>
                      <w:txbxContent>
                        <w:p w14:paraId="074BB49B">
                          <w:pPr>
                            <w:jc w:val="center"/>
                            <w:rPr>
                              <w:sz w:val="18"/>
                              <w:szCs w:val="18"/>
                            </w:rPr>
                          </w:pPr>
                          <w:r>
                            <w:rPr>
                              <w:rFonts w:hint="eastAsia"/>
                              <w:sz w:val="18"/>
                              <w:szCs w:val="18"/>
                            </w:rPr>
                            <w:t>有组织</w:t>
                          </w:r>
                          <w:r>
                            <w:rPr>
                              <w:sz w:val="18"/>
                              <w:szCs w:val="18"/>
                            </w:rPr>
                            <w:t>：</w:t>
                          </w:r>
                          <w:r>
                            <w:rPr>
                              <w:rFonts w:hint="eastAsia"/>
                              <w:sz w:val="18"/>
                              <w:szCs w:val="18"/>
                            </w:rPr>
                            <w:t>8.1</w:t>
                          </w:r>
                        </w:p>
                      </w:txbxContent>
                    </v:textbox>
                  </v:shape>
                  <v:shape id="_x0000_s23694" o:spid="_x0000_s23694" o:spt="202" type="#_x0000_t202" style="position:absolute;left:8159;top:5398;height:473;width:728;" filled="f" stroked="f" coordsize="21600,21600">
                    <v:path/>
                    <v:fill on="f" focussize="0,0"/>
                    <v:stroke on="f" joinstyle="miter"/>
                    <v:imagedata o:title=""/>
                    <o:lock v:ext="edit"/>
                    <v:textbox>
                      <w:txbxContent>
                        <w:p w14:paraId="31DD2D9D">
                          <w:pPr>
                            <w:rPr>
                              <w:sz w:val="18"/>
                              <w:szCs w:val="18"/>
                            </w:rPr>
                          </w:pPr>
                          <w:r>
                            <w:rPr>
                              <w:rFonts w:hint="eastAsia"/>
                              <w:sz w:val="18"/>
                              <w:szCs w:val="18"/>
                            </w:rPr>
                            <w:t>90%</w:t>
                          </w:r>
                        </w:p>
                      </w:txbxContent>
                    </v:textbox>
                  </v:shape>
                  <v:shape id="_x0000_s23695" o:spid="_x0000_s23695" o:spt="202" type="#_x0000_t202" style="position:absolute;left:8211;top:6300;height:473;width:728;" filled="f" stroked="f" coordsize="21600,21600">
                    <v:path/>
                    <v:fill on="f" focussize="0,0"/>
                    <v:stroke on="f" joinstyle="miter"/>
                    <v:imagedata o:title=""/>
                    <o:lock v:ext="edit"/>
                    <v:textbox>
                      <w:txbxContent>
                        <w:p w14:paraId="221D2951">
                          <w:pPr>
                            <w:rPr>
                              <w:sz w:val="18"/>
                              <w:szCs w:val="18"/>
                            </w:rPr>
                          </w:pPr>
                          <w:r>
                            <w:rPr>
                              <w:rFonts w:hint="eastAsia"/>
                              <w:sz w:val="18"/>
                              <w:szCs w:val="18"/>
                            </w:rPr>
                            <w:t>10%</w:t>
                          </w:r>
                        </w:p>
                      </w:txbxContent>
                    </v:textbox>
                  </v:shape>
                  <v:shape id="_x0000_s23696" o:spid="_x0000_s23696" o:spt="202" type="#_x0000_t202" style="position:absolute;left:8799;top:6471;height:462;width:1439;" filled="f" coordsize="21600,21600">
                    <v:path/>
                    <v:fill on="f" focussize="0,0"/>
                    <v:stroke joinstyle="miter"/>
                    <v:imagedata o:title=""/>
                    <o:lock v:ext="edit"/>
                    <v:textbox>
                      <w:txbxContent>
                        <w:p w14:paraId="4C7EF871">
                          <w:pPr>
                            <w:jc w:val="center"/>
                            <w:rPr>
                              <w:sz w:val="18"/>
                              <w:szCs w:val="18"/>
                            </w:rPr>
                          </w:pPr>
                          <w:r>
                            <w:rPr>
                              <w:rFonts w:hint="eastAsia"/>
                              <w:sz w:val="18"/>
                              <w:szCs w:val="18"/>
                            </w:rPr>
                            <w:t>无组织</w:t>
                          </w:r>
                          <w:r>
                            <w:rPr>
                              <w:sz w:val="18"/>
                              <w:szCs w:val="18"/>
                            </w:rPr>
                            <w:t>：</w:t>
                          </w:r>
                          <w:r>
                            <w:rPr>
                              <w:rFonts w:hint="eastAsia"/>
                              <w:sz w:val="18"/>
                              <w:szCs w:val="18"/>
                            </w:rPr>
                            <w:t>0.9</w:t>
                          </w:r>
                        </w:p>
                      </w:txbxContent>
                    </v:textbox>
                  </v:shape>
                  <v:shape id="_x0000_s23697" o:spid="_x0000_s23697" o:spt="32" type="#_x0000_t32" style="position:absolute;left:8248;top:5819;height:4;width:547;" o:connectortype="straight" filled="f" coordsize="21600,21600">
                    <v:path arrowok="t"/>
                    <v:fill on="f" focussize="0,0"/>
                    <v:stroke endarrow="block" endarrowwidth="narrow"/>
                    <v:imagedata o:title=""/>
                    <o:lock v:ext="edit"/>
                  </v:shape>
                  <v:shape id="_x0000_s23698" o:spid="_x0000_s23698" o:spt="32" type="#_x0000_t32" style="position:absolute;left:7598;top:6243;height:1;width:639;" o:connectortype="straight" filled="f" coordsize="21600,21600">
                    <v:path arrowok="t"/>
                    <v:fill on="f" focussize="0,0"/>
                    <v:stroke endarrow="block" endarrowwidth="narrow"/>
                    <v:imagedata o:title=""/>
                    <o:lock v:ext="edit"/>
                  </v:shape>
                  <v:shape id="_x0000_s23699" o:spid="_x0000_s23699" o:spt="32" type="#_x0000_t32" style="position:absolute;left:8789;top:3838;height:900;width:1;" o:connectortype="straight" filled="f" coordsize="21600,21600">
                    <v:path arrowok="t"/>
                    <v:fill on="f" focussize="0,0"/>
                    <v:stroke endarrowwidth="narrow" endarrowlength="long"/>
                    <v:imagedata o:title=""/>
                    <o:lock v:ext="edit"/>
                  </v:shape>
                  <v:shape id="_x0000_s23700" o:spid="_x0000_s23700" o:spt="32" type="#_x0000_t32" style="position:absolute;left:8777;top:4738;height:4;width:547;" o:connectortype="straight" filled="f" coordsize="21600,21600">
                    <v:path arrowok="t"/>
                    <v:fill on="f" focussize="0,0"/>
                    <v:stroke endarrow="block" endarrowwidth="narrow"/>
                    <v:imagedata o:title=""/>
                    <o:lock v:ext="edit"/>
                  </v:shape>
                  <v:shape id="_x0000_s23701" o:spid="_x0000_s23701" o:spt="202" type="#_x0000_t202" style="position:absolute;left:9308;top:3614;height:462;width:1451;" filled="f" coordsize="21600,21600">
                    <v:path/>
                    <v:fill on="f" focussize="0,0"/>
                    <v:stroke joinstyle="miter"/>
                    <v:imagedata o:title=""/>
                    <o:lock v:ext="edit"/>
                    <v:textbox>
                      <w:txbxContent>
                        <w:p w14:paraId="43681A3A">
                          <w:pPr>
                            <w:jc w:val="center"/>
                            <w:rPr>
                              <w:sz w:val="18"/>
                              <w:szCs w:val="18"/>
                            </w:rPr>
                          </w:pPr>
                          <w:r>
                            <w:rPr>
                              <w:rFonts w:hint="eastAsia"/>
                              <w:sz w:val="18"/>
                              <w:szCs w:val="18"/>
                            </w:rPr>
                            <w:t>有组织</w:t>
                          </w:r>
                          <w:r>
                            <w:rPr>
                              <w:sz w:val="18"/>
                              <w:szCs w:val="18"/>
                            </w:rPr>
                            <w:t>：</w:t>
                          </w:r>
                          <w:r>
                            <w:rPr>
                              <w:rFonts w:hint="eastAsia"/>
                              <w:sz w:val="18"/>
                              <w:szCs w:val="18"/>
                            </w:rPr>
                            <w:t>0.405</w:t>
                          </w:r>
                        </w:p>
                      </w:txbxContent>
                    </v:textbox>
                  </v:shape>
                  <v:shape id="_x0000_s23702" o:spid="_x0000_s23702" o:spt="202" type="#_x0000_t202" style="position:absolute;left:8692;top:3490;height:473;width:728;" filled="f" stroked="f" coordsize="21600,21600">
                    <v:path/>
                    <v:fill on="f" focussize="0,0"/>
                    <v:stroke on="f" joinstyle="miter"/>
                    <v:imagedata o:title=""/>
                    <o:lock v:ext="edit"/>
                    <v:textbox>
                      <w:txbxContent>
                        <w:p w14:paraId="4977C7A4">
                          <w:pPr>
                            <w:jc w:val="center"/>
                            <w:rPr>
                              <w:sz w:val="18"/>
                              <w:szCs w:val="18"/>
                            </w:rPr>
                          </w:pPr>
                          <w:r>
                            <w:rPr>
                              <w:rFonts w:hint="eastAsia"/>
                              <w:sz w:val="18"/>
                              <w:szCs w:val="18"/>
                            </w:rPr>
                            <w:t>90%</w:t>
                          </w:r>
                        </w:p>
                      </w:txbxContent>
                    </v:textbox>
                  </v:shape>
                  <v:shape id="_x0000_s23703" o:spid="_x0000_s23703" o:spt="202" type="#_x0000_t202" style="position:absolute;left:8736;top:4328;height:473;width:728;" filled="f" stroked="f" coordsize="21600,21600">
                    <v:path/>
                    <v:fill on="f" focussize="0,0"/>
                    <v:stroke on="f" joinstyle="miter"/>
                    <v:imagedata o:title=""/>
                    <o:lock v:ext="edit"/>
                    <v:textbox>
                      <w:txbxContent>
                        <w:p w14:paraId="52F6D74D">
                          <w:pPr>
                            <w:rPr>
                              <w:sz w:val="18"/>
                              <w:szCs w:val="18"/>
                            </w:rPr>
                          </w:pPr>
                          <w:r>
                            <w:rPr>
                              <w:rFonts w:hint="eastAsia"/>
                              <w:sz w:val="18"/>
                              <w:szCs w:val="18"/>
                            </w:rPr>
                            <w:t>10%</w:t>
                          </w:r>
                        </w:p>
                      </w:txbxContent>
                    </v:textbox>
                  </v:shape>
                  <v:shape id="_x0000_s23704" o:spid="_x0000_s23704" o:spt="202" type="#_x0000_t202" style="position:absolute;left:9324;top:4499;height:462;width:1435;" filled="f" coordsize="21600,21600">
                    <v:path/>
                    <v:fill on="f" focussize="0,0"/>
                    <v:stroke joinstyle="miter"/>
                    <v:imagedata o:title=""/>
                    <o:lock v:ext="edit"/>
                    <v:textbox>
                      <w:txbxContent>
                        <w:p w14:paraId="6204666F">
                          <w:pPr>
                            <w:jc w:val="center"/>
                            <w:rPr>
                              <w:sz w:val="18"/>
                              <w:szCs w:val="18"/>
                            </w:rPr>
                          </w:pPr>
                          <w:r>
                            <w:rPr>
                              <w:rFonts w:hint="eastAsia"/>
                              <w:sz w:val="18"/>
                              <w:szCs w:val="18"/>
                            </w:rPr>
                            <w:t>无组织</w:t>
                          </w:r>
                          <w:r>
                            <w:rPr>
                              <w:sz w:val="18"/>
                              <w:szCs w:val="18"/>
                            </w:rPr>
                            <w:t>：</w:t>
                          </w:r>
                          <w:r>
                            <w:rPr>
                              <w:rFonts w:hint="eastAsia"/>
                              <w:sz w:val="18"/>
                              <w:szCs w:val="18"/>
                            </w:rPr>
                            <w:t>0.045</w:t>
                          </w:r>
                        </w:p>
                      </w:txbxContent>
                    </v:textbox>
                  </v:shape>
                  <v:shape id="_x0000_s23705" o:spid="_x0000_s23705" o:spt="32" type="#_x0000_t32" style="position:absolute;left:8773;top:3847;height:4;width:547;" o:connectortype="straight" filled="f" coordsize="21600,21600">
                    <v:path arrowok="t"/>
                    <v:fill on="f" focussize="0,0"/>
                    <v:stroke endarrow="block" endarrowwidth="narrow"/>
                    <v:imagedata o:title=""/>
                    <o:lock v:ext="edit"/>
                  </v:shape>
                  <v:shape id="_x0000_s23706" o:spid="_x0000_s23706" o:spt="32" type="#_x0000_t32" style="position:absolute;left:8180;top:4312;height:1;width:619;" o:connectortype="straight" filled="f" coordsize="21600,21600">
                    <v:path arrowok="t"/>
                    <v:fill on="f" focussize="0,0"/>
                    <v:stroke endarrow="block" endarrowwidth="narrow"/>
                    <v:imagedata o:title=""/>
                    <o:lock v:ext="edit"/>
                  </v:shape>
                  <v:shape id="_x0000_s23707" o:spid="_x0000_s23707" o:spt="32" type="#_x0000_t32" style="position:absolute;left:11416;top:3424;height:900;width:1;" o:connectortype="straight" filled="f" coordsize="21600,21600">
                    <v:path arrowok="t"/>
                    <v:fill on="f" focussize="0,0"/>
                    <v:stroke endarrowwidth="narrow" endarrowlength="long"/>
                    <v:imagedata o:title=""/>
                    <o:lock v:ext="edit"/>
                  </v:shape>
                  <v:shape id="_x0000_s23708" o:spid="_x0000_s23708" o:spt="32" type="#_x0000_t32" style="position:absolute;left:11404;top:4340;height:4;width:547;" o:connectortype="straight" filled="f" coordsize="21600,21600">
                    <v:path arrowok="t"/>
                    <v:fill on="f" focussize="0,0"/>
                    <v:stroke endarrow="block" endarrowwidth="narrow"/>
                    <v:imagedata o:title=""/>
                    <o:lock v:ext="edit"/>
                  </v:shape>
                  <v:shape id="_x0000_s23709" o:spid="_x0000_s23709" o:spt="202" type="#_x0000_t202" style="position:absolute;left:11935;top:3027;height:746;width:1721;" filled="f" coordsize="21600,21600">
                    <v:path/>
                    <v:fill on="f" focussize="0,0"/>
                    <v:stroke joinstyle="miter"/>
                    <v:imagedata o:title=""/>
                    <o:lock v:ext="edit"/>
                    <v:textbox>
                      <w:txbxContent>
                        <w:p w14:paraId="15E0F262">
                          <w:pPr>
                            <w:jc w:val="center"/>
                            <w:rPr>
                              <w:sz w:val="18"/>
                              <w:szCs w:val="18"/>
                            </w:rPr>
                          </w:pPr>
                          <w:r>
                            <w:rPr>
                              <w:rFonts w:hint="eastAsia"/>
                              <w:sz w:val="18"/>
                              <w:szCs w:val="18"/>
                            </w:rPr>
                            <w:t>活性炭吸附VOCs</w:t>
                          </w:r>
                          <w:r>
                            <w:rPr>
                              <w:sz w:val="18"/>
                              <w:szCs w:val="18"/>
                            </w:rPr>
                            <w:t>：</w:t>
                          </w:r>
                          <w:r>
                            <w:rPr>
                              <w:rFonts w:hint="eastAsia"/>
                              <w:sz w:val="18"/>
                              <w:szCs w:val="18"/>
                            </w:rPr>
                            <w:t>0.365</w:t>
                          </w:r>
                        </w:p>
                      </w:txbxContent>
                    </v:textbox>
                  </v:shape>
                  <v:shape id="_x0000_s23710" o:spid="_x0000_s23710" o:spt="202" type="#_x0000_t202" style="position:absolute;left:11335;top:3079;height:473;width:728;" filled="f" stroked="f" coordsize="21600,21600">
                    <v:path/>
                    <v:fill on="f" focussize="0,0"/>
                    <v:stroke on="f" joinstyle="miter"/>
                    <v:imagedata o:title=""/>
                    <o:lock v:ext="edit"/>
                    <v:textbox>
                      <w:txbxContent>
                        <w:p w14:paraId="66756D04">
                          <w:pPr>
                            <w:rPr>
                              <w:sz w:val="18"/>
                              <w:szCs w:val="18"/>
                            </w:rPr>
                          </w:pPr>
                          <w:r>
                            <w:rPr>
                              <w:rFonts w:hint="eastAsia"/>
                              <w:sz w:val="18"/>
                              <w:szCs w:val="18"/>
                            </w:rPr>
                            <w:t>90%</w:t>
                          </w:r>
                        </w:p>
                      </w:txbxContent>
                    </v:textbox>
                  </v:shape>
                  <v:shape id="_x0000_s23711" o:spid="_x0000_s23711" o:spt="202" type="#_x0000_t202" style="position:absolute;left:11351;top:3980;height:473;width:728;" filled="f" stroked="f" coordsize="21600,21600">
                    <v:path/>
                    <v:fill on="f" focussize="0,0"/>
                    <v:stroke on="f" joinstyle="miter"/>
                    <v:imagedata o:title=""/>
                    <o:lock v:ext="edit"/>
                    <v:textbox>
                      <w:txbxContent>
                        <w:p w14:paraId="39D28E47">
                          <w:pPr>
                            <w:rPr>
                              <w:sz w:val="18"/>
                              <w:szCs w:val="18"/>
                            </w:rPr>
                          </w:pPr>
                          <w:r>
                            <w:rPr>
                              <w:rFonts w:hint="eastAsia"/>
                              <w:sz w:val="18"/>
                              <w:szCs w:val="18"/>
                            </w:rPr>
                            <w:t>10%</w:t>
                          </w:r>
                        </w:p>
                      </w:txbxContent>
                    </v:textbox>
                  </v:shape>
                  <v:shape id="_x0000_s23712" o:spid="_x0000_s23712" o:spt="202" type="#_x0000_t202" style="position:absolute;left:11951;top:4005;height:712;width:1705;" filled="f" coordsize="21600,21600">
                    <v:path/>
                    <v:fill on="f" focussize="0,0"/>
                    <v:stroke joinstyle="miter"/>
                    <v:imagedata o:title=""/>
                    <o:lock v:ext="edit"/>
                    <v:textbox>
                      <w:txbxContent>
                        <w:p w14:paraId="356E1E49">
                          <w:pPr>
                            <w:jc w:val="center"/>
                            <w:rPr>
                              <w:sz w:val="18"/>
                              <w:szCs w:val="18"/>
                            </w:rPr>
                          </w:pPr>
                          <w:r>
                            <w:rPr>
                              <w:rFonts w:hint="eastAsia"/>
                              <w:sz w:val="18"/>
                              <w:szCs w:val="18"/>
                            </w:rPr>
                            <w:t>排气筒排放VOCs</w:t>
                          </w:r>
                          <w:r>
                            <w:rPr>
                              <w:sz w:val="18"/>
                              <w:szCs w:val="18"/>
                            </w:rPr>
                            <w:t>：</w:t>
                          </w:r>
                          <w:r>
                            <w:rPr>
                              <w:rFonts w:hint="eastAsia"/>
                              <w:sz w:val="18"/>
                              <w:szCs w:val="18"/>
                            </w:rPr>
                            <w:t>0.040</w:t>
                          </w:r>
                        </w:p>
                      </w:txbxContent>
                    </v:textbox>
                  </v:shape>
                  <v:shape id="_x0000_s23713" o:spid="_x0000_s23713" o:spt="32" type="#_x0000_t32" style="position:absolute;left:11400;top:3417;height:4;width:547;" o:connectortype="straight" filled="f" coordsize="21600,21600">
                    <v:path arrowok="t"/>
                    <v:fill on="f" focussize="0,0"/>
                    <v:stroke endarrow="block" endarrowwidth="narrow"/>
                    <v:imagedata o:title=""/>
                    <o:lock v:ext="edit"/>
                  </v:shape>
                  <v:shape id="_x0000_s23714" o:spid="_x0000_s23714" o:spt="32" type="#_x0000_t32" style="position:absolute;left:10763;top:3825;height:1;width:639;" o:connectortype="straight" filled="f" coordsize="21600,21600">
                    <v:path arrowok="t"/>
                    <v:fill on="f" focussize="0,0"/>
                    <v:stroke endarrow="block" endarrowwidth="narrow"/>
                    <v:imagedata o:title=""/>
                    <o:lock v:ext="edit"/>
                  </v:shape>
                  <v:shape id="_x0000_s23715" o:spid="_x0000_s23715" o:spt="32" type="#_x0000_t32" style="position:absolute;left:10916;top:5372;height:900;width:1;" o:connectortype="straight" filled="f" coordsize="21600,21600">
                    <v:path arrowok="t"/>
                    <v:fill on="f" focussize="0,0"/>
                    <v:stroke endarrowwidth="narrow" endarrowlength="long"/>
                    <v:imagedata o:title=""/>
                    <o:lock v:ext="edit"/>
                  </v:shape>
                  <v:shape id="_x0000_s23716" o:spid="_x0000_s23716" o:spt="32" type="#_x0000_t32" style="position:absolute;left:10904;top:6272;height:4;width:547;" o:connectortype="straight" filled="f" coordsize="21600,21600">
                    <v:path arrowok="t"/>
                    <v:fill on="f" focussize="0,0"/>
                    <v:stroke endarrow="block" endarrowwidth="narrow"/>
                    <v:imagedata o:title=""/>
                    <o:lock v:ext="edit"/>
                  </v:shape>
                  <v:shape id="_x0000_s23717" o:spid="_x0000_s23717" o:spt="202" type="#_x0000_t202" style="position:absolute;left:11435;top:5023;height:746;width:1721;" filled="f" coordsize="21600,21600">
                    <v:path/>
                    <v:fill on="f" focussize="0,0"/>
                    <v:stroke joinstyle="miter"/>
                    <v:imagedata o:title=""/>
                    <o:lock v:ext="edit"/>
                    <v:textbox>
                      <w:txbxContent>
                        <w:p w14:paraId="5B44C65C">
                          <w:pPr>
                            <w:jc w:val="center"/>
                            <w:rPr>
                              <w:sz w:val="18"/>
                              <w:szCs w:val="18"/>
                            </w:rPr>
                          </w:pPr>
                          <w:r>
                            <w:rPr>
                              <w:rFonts w:hint="eastAsia"/>
                              <w:sz w:val="18"/>
                              <w:szCs w:val="18"/>
                            </w:rPr>
                            <w:t>活性炭吸附VOCs</w:t>
                          </w:r>
                          <w:r>
                            <w:rPr>
                              <w:sz w:val="18"/>
                              <w:szCs w:val="18"/>
                            </w:rPr>
                            <w:t>：</w:t>
                          </w:r>
                          <w:r>
                            <w:rPr>
                              <w:rFonts w:hint="eastAsia"/>
                              <w:sz w:val="18"/>
                              <w:szCs w:val="18"/>
                            </w:rPr>
                            <w:t>7.290</w:t>
                          </w:r>
                        </w:p>
                      </w:txbxContent>
                    </v:textbox>
                  </v:shape>
                  <v:shape id="_x0000_s23718" o:spid="_x0000_s23718" o:spt="202" type="#_x0000_t202" style="position:absolute;left:10811;top:4960;height:473;width:728;" filled="f" stroked="f" coordsize="21600,21600">
                    <v:path/>
                    <v:fill on="f" focussize="0,0"/>
                    <v:stroke on="f" joinstyle="miter"/>
                    <v:imagedata o:title=""/>
                    <o:lock v:ext="edit"/>
                    <v:textbox>
                      <w:txbxContent>
                        <w:p w14:paraId="4A98F14C">
                          <w:pPr>
                            <w:rPr>
                              <w:sz w:val="18"/>
                              <w:szCs w:val="18"/>
                            </w:rPr>
                          </w:pPr>
                          <w:r>
                            <w:rPr>
                              <w:rFonts w:hint="eastAsia"/>
                              <w:sz w:val="18"/>
                              <w:szCs w:val="18"/>
                            </w:rPr>
                            <w:t>90%</w:t>
                          </w:r>
                        </w:p>
                      </w:txbxContent>
                    </v:textbox>
                  </v:shape>
                  <v:shape id="_x0000_s23719" o:spid="_x0000_s23719" o:spt="202" type="#_x0000_t202" style="position:absolute;left:10863;top:5862;height:473;width:728;" filled="f" stroked="f" coordsize="21600,21600">
                    <v:path/>
                    <v:fill on="f" focussize="0,0"/>
                    <v:stroke on="f" joinstyle="miter"/>
                    <v:imagedata o:title=""/>
                    <o:lock v:ext="edit"/>
                    <v:textbox>
                      <w:txbxContent>
                        <w:p w14:paraId="0AFACAA8">
                          <w:pPr>
                            <w:rPr>
                              <w:sz w:val="18"/>
                              <w:szCs w:val="18"/>
                            </w:rPr>
                          </w:pPr>
                          <w:r>
                            <w:rPr>
                              <w:rFonts w:hint="eastAsia"/>
                              <w:sz w:val="18"/>
                              <w:szCs w:val="18"/>
                            </w:rPr>
                            <w:t>10%</w:t>
                          </w:r>
                        </w:p>
                      </w:txbxContent>
                    </v:textbox>
                  </v:shape>
                  <v:shape id="_x0000_s23720" o:spid="_x0000_s23720" o:spt="202" type="#_x0000_t202" style="position:absolute;left:11451;top:6033;height:712;width:1705;" filled="f" coordsize="21600,21600">
                    <v:path/>
                    <v:fill on="f" focussize="0,0"/>
                    <v:stroke joinstyle="miter"/>
                    <v:imagedata o:title=""/>
                    <o:lock v:ext="edit"/>
                    <v:textbox>
                      <w:txbxContent>
                        <w:p w14:paraId="5AA7644C">
                          <w:pPr>
                            <w:jc w:val="center"/>
                            <w:rPr>
                              <w:sz w:val="18"/>
                              <w:szCs w:val="18"/>
                            </w:rPr>
                          </w:pPr>
                          <w:r>
                            <w:rPr>
                              <w:rFonts w:hint="eastAsia"/>
                              <w:sz w:val="18"/>
                              <w:szCs w:val="18"/>
                            </w:rPr>
                            <w:t>排气筒排放VOCs</w:t>
                          </w:r>
                          <w:r>
                            <w:rPr>
                              <w:sz w:val="18"/>
                              <w:szCs w:val="18"/>
                            </w:rPr>
                            <w:t>：</w:t>
                          </w:r>
                          <w:r>
                            <w:rPr>
                              <w:rFonts w:hint="eastAsia"/>
                              <w:sz w:val="18"/>
                              <w:szCs w:val="18"/>
                            </w:rPr>
                            <w:t>0.810</w:t>
                          </w:r>
                        </w:p>
                      </w:txbxContent>
                    </v:textbox>
                  </v:shape>
                  <v:shape id="_x0000_s23721" o:spid="_x0000_s23721" o:spt="32" type="#_x0000_t32" style="position:absolute;left:10900;top:5381;height:4;width:547;" o:connectortype="straight" filled="f" coordsize="21600,21600">
                    <v:path arrowok="t"/>
                    <v:fill on="f" focussize="0,0"/>
                    <v:stroke endarrow="block" endarrowwidth="narrow"/>
                    <v:imagedata o:title=""/>
                    <o:lock v:ext="edit"/>
                  </v:shape>
                  <v:shape id="_x0000_s23722" o:spid="_x0000_s23722" o:spt="32" type="#_x0000_t32" style="position:absolute;left:10263;top:5818;height:1;width:639;" o:connectortype="straight" filled="f" coordsize="21600,21600">
                    <v:path arrowok="t"/>
                    <v:fill on="f" focussize="0,0"/>
                    <v:stroke endarrow="block" endarrowwidth="narrow"/>
                    <v:imagedata o:title=""/>
                    <o:lock v:ext="edit"/>
                  </v:shape>
                  <v:shape id="_x0000_s23854" o:spid="_x0000_s23854" o:spt="202" type="#_x0000_t202" style="position:absolute;left:6210;top:2020;height:761;width:1903;" filled="f" coordsize="21600,21600">
                    <v:path/>
                    <v:fill on="f" focussize="0,0"/>
                    <v:stroke joinstyle="miter"/>
                    <v:imagedata o:title=""/>
                    <o:lock v:ext="edit"/>
                    <v:textbox>
                      <w:txbxContent>
                        <w:p w14:paraId="7B09468B">
                          <w:pPr>
                            <w:jc w:val="center"/>
                            <w:rPr>
                              <w:sz w:val="18"/>
                              <w:szCs w:val="18"/>
                            </w:rPr>
                          </w:pPr>
                          <w:r>
                            <w:rPr>
                              <w:rFonts w:hint="eastAsia"/>
                              <w:sz w:val="18"/>
                              <w:szCs w:val="18"/>
                            </w:rPr>
                            <w:t>未挥发固份：</w:t>
                          </w:r>
                        </w:p>
                        <w:p w14:paraId="0DBA8E60">
                          <w:pPr>
                            <w:jc w:val="center"/>
                            <w:rPr>
                              <w:sz w:val="18"/>
                              <w:szCs w:val="18"/>
                            </w:rPr>
                          </w:pPr>
                          <w:r>
                            <w:rPr>
                              <w:rFonts w:hint="eastAsia"/>
                              <w:sz w:val="18"/>
                              <w:szCs w:val="18"/>
                            </w:rPr>
                            <w:t>4.05</w:t>
                          </w:r>
                        </w:p>
                      </w:txbxContent>
                    </v:textbox>
                  </v:shape>
                  <v:shape id="_x0000_s23855" o:spid="_x0000_s23855" o:spt="32" type="#_x0000_t32" style="position:absolute;left:5678;top:2394;height:1873;width:1;" o:connectortype="straight" filled="f" coordsize="21600,21600">
                    <v:path arrowok="t"/>
                    <v:fill on="f" focussize="0,0"/>
                    <v:stroke endarrowwidth="narrow" endarrowlength="long"/>
                    <v:imagedata o:title=""/>
                    <o:lock v:ext="edit"/>
                  </v:shape>
                  <v:shape id="_x0000_s23856" o:spid="_x0000_s23856" o:spt="32" type="#_x0000_t32" style="position:absolute;left:5681;top:4283;height:4;width:547;" o:connectortype="straight" filled="f" coordsize="21600,21600">
                    <v:path arrowok="t"/>
                    <v:fill on="f" focussize="0,0"/>
                    <v:stroke endarrow="block" endarrowwidth="narrow"/>
                    <v:imagedata o:title=""/>
                    <o:lock v:ext="edit"/>
                  </v:shape>
                  <v:shape id="_x0000_s23858" o:spid="_x0000_s23858" o:spt="202" type="#_x0000_t202" style="position:absolute;left:5629;top:3894;height:473;width:728;" filled="f" stroked="f" coordsize="21600,21600">
                    <v:path/>
                    <v:fill on="f" focussize="0,0"/>
                    <v:stroke on="f" joinstyle="miter"/>
                    <v:imagedata o:title=""/>
                    <o:lock v:ext="edit"/>
                    <v:textbox>
                      <w:txbxContent>
                        <w:p w14:paraId="7BFD72BD">
                          <w:pPr>
                            <w:rPr>
                              <w:sz w:val="18"/>
                              <w:szCs w:val="18"/>
                            </w:rPr>
                          </w:pPr>
                          <w:r>
                            <w:rPr>
                              <w:rFonts w:hint="eastAsia"/>
                              <w:sz w:val="18"/>
                              <w:szCs w:val="18"/>
                            </w:rPr>
                            <w:t>10%</w:t>
                          </w:r>
                        </w:p>
                      </w:txbxContent>
                    </v:textbox>
                  </v:shape>
                  <v:shape id="_x0000_s23859" o:spid="_x0000_s23859" o:spt="202" type="#_x0000_t202" style="position:absolute;left:5596;top:2020;height:473;width:728;" filled="f" stroked="f" coordsize="21600,21600">
                    <v:path/>
                    <v:fill on="f" focussize="0,0"/>
                    <v:stroke on="f" joinstyle="miter"/>
                    <v:imagedata o:title=""/>
                    <o:lock v:ext="edit"/>
                    <v:textbox>
                      <w:txbxContent>
                        <w:p w14:paraId="30FC7758">
                          <w:pPr>
                            <w:rPr>
                              <w:sz w:val="18"/>
                              <w:szCs w:val="18"/>
                            </w:rPr>
                          </w:pPr>
                          <w:r>
                            <w:rPr>
                              <w:rFonts w:hint="eastAsia"/>
                              <w:sz w:val="18"/>
                              <w:szCs w:val="18"/>
                            </w:rPr>
                            <w:t>90%</w:t>
                          </w:r>
                        </w:p>
                      </w:txbxContent>
                    </v:textbox>
                  </v:shape>
                  <v:shape id="_x0000_s23860" o:spid="_x0000_s23860" o:spt="32" type="#_x0000_t32" style="position:absolute;left:8740;top:1907;height:900;width:1;" o:connectortype="straight" filled="f" coordsize="21600,21600">
                    <v:path arrowok="t"/>
                    <v:fill on="f" focussize="0,0"/>
                    <v:stroke endarrowwidth="narrow" endarrowlength="long"/>
                    <v:imagedata o:title=""/>
                    <o:lock v:ext="edit"/>
                  </v:shape>
                  <v:shape id="_x0000_s23861" o:spid="_x0000_s23861" o:spt="32" type="#_x0000_t32" style="position:absolute;left:8744;top:2807;height:4;width:547;" o:connectortype="straight" filled="f" coordsize="21600,21600">
                    <v:path arrowok="t"/>
                    <v:fill on="f" focussize="0,0"/>
                    <v:stroke endarrow="block" endarrowwidth="narrow"/>
                    <v:imagedata o:title=""/>
                    <o:lock v:ext="edit"/>
                  </v:shape>
                  <v:shape id="_x0000_s23862" o:spid="_x0000_s23862" o:spt="202" type="#_x0000_t202" style="position:absolute;left:9275;top:1683;height:462;width:2466;" filled="f" coordsize="21600,21600">
                    <v:path/>
                    <v:fill on="f" focussize="0,0"/>
                    <v:stroke joinstyle="miter"/>
                    <v:imagedata o:title=""/>
                    <o:lock v:ext="edit"/>
                    <v:textbox>
                      <w:txbxContent>
                        <w:p w14:paraId="189D0AC8">
                          <w:pPr>
                            <w:jc w:val="center"/>
                            <w:rPr>
                              <w:sz w:val="18"/>
                              <w:szCs w:val="18"/>
                            </w:rPr>
                          </w:pPr>
                          <w:r>
                            <w:rPr>
                              <w:rFonts w:hint="eastAsia"/>
                              <w:sz w:val="18"/>
                              <w:szCs w:val="18"/>
                            </w:rPr>
                            <w:t>废漆料（未附着的）</w:t>
                          </w:r>
                          <w:r>
                            <w:rPr>
                              <w:sz w:val="18"/>
                              <w:szCs w:val="18"/>
                            </w:rPr>
                            <w:t>：</w:t>
                          </w:r>
                          <w:r>
                            <w:rPr>
                              <w:rFonts w:hint="eastAsia"/>
                              <w:sz w:val="18"/>
                              <w:szCs w:val="18"/>
                            </w:rPr>
                            <w:t>2.025</w:t>
                          </w:r>
                        </w:p>
                      </w:txbxContent>
                    </v:textbox>
                  </v:shape>
                  <v:shape id="_x0000_s23863" o:spid="_x0000_s23863" o:spt="202" type="#_x0000_t202" style="position:absolute;left:8703;top:2397;height:473;width:728;" filled="f" stroked="f" coordsize="21600,21600">
                    <v:path/>
                    <v:fill on="f" focussize="0,0"/>
                    <v:stroke on="f" joinstyle="miter"/>
                    <v:imagedata o:title=""/>
                    <o:lock v:ext="edit"/>
                    <v:textbox>
                      <w:txbxContent>
                        <w:p w14:paraId="63040779">
                          <w:pPr>
                            <w:rPr>
                              <w:sz w:val="18"/>
                              <w:szCs w:val="18"/>
                            </w:rPr>
                          </w:pPr>
                          <w:r>
                            <w:rPr>
                              <w:rFonts w:hint="eastAsia"/>
                              <w:sz w:val="18"/>
                              <w:szCs w:val="18"/>
                            </w:rPr>
                            <w:t>50%</w:t>
                          </w:r>
                        </w:p>
                      </w:txbxContent>
                    </v:textbox>
                  </v:shape>
                  <v:shape id="_x0000_s23864" o:spid="_x0000_s23864" o:spt="202" type="#_x0000_t202" style="position:absolute;left:9319;top:2536;height:462;width:2422;" filled="f" coordsize="21600,21600">
                    <v:path/>
                    <v:fill on="f" focussize="0,0"/>
                    <v:stroke joinstyle="miter"/>
                    <v:imagedata o:title=""/>
                    <o:lock v:ext="edit"/>
                    <v:textbox>
                      <w:txbxContent>
                        <w:p w14:paraId="6C1ADFE1">
                          <w:pPr>
                            <w:jc w:val="center"/>
                            <w:rPr>
                              <w:sz w:val="18"/>
                              <w:szCs w:val="18"/>
                            </w:rPr>
                          </w:pPr>
                          <w:r>
                            <w:rPr>
                              <w:rFonts w:hint="eastAsia"/>
                              <w:sz w:val="18"/>
                              <w:szCs w:val="18"/>
                            </w:rPr>
                            <w:t>附着玻璃制品表面</w:t>
                          </w:r>
                          <w:r>
                            <w:rPr>
                              <w:sz w:val="18"/>
                              <w:szCs w:val="18"/>
                            </w:rPr>
                            <w:t>：</w:t>
                          </w:r>
                          <w:r>
                            <w:rPr>
                              <w:rFonts w:hint="eastAsia"/>
                              <w:sz w:val="18"/>
                              <w:szCs w:val="18"/>
                            </w:rPr>
                            <w:t>2.025</w:t>
                          </w:r>
                        </w:p>
                      </w:txbxContent>
                    </v:textbox>
                  </v:shape>
                  <v:shape id="_x0000_s23865" o:spid="_x0000_s23865" o:spt="32" type="#_x0000_t32" style="position:absolute;left:8740;top:1916;height:4;width:547;" o:connectortype="straight" filled="f" coordsize="21600,21600">
                    <v:path arrowok="t"/>
                    <v:fill on="f" focussize="0,0"/>
                    <v:stroke endarrow="block" endarrowwidth="narrow"/>
                    <v:imagedata o:title=""/>
                    <o:lock v:ext="edit"/>
                  </v:shape>
                  <v:shape id="_x0000_s23866" o:spid="_x0000_s23866" o:spt="32" type="#_x0000_t32" style="position:absolute;left:8115;top:2349;height:1;width:619;" o:connectortype="straight" filled="f" coordsize="21600,21600">
                    <v:path arrowok="t"/>
                    <v:fill on="f" focussize="0,0"/>
                    <v:stroke endarrow="block" endarrowwidth="narrow"/>
                    <v:imagedata o:title=""/>
                    <o:lock v:ext="edit"/>
                  </v:shape>
                  <v:shape id="_x0000_s23867" o:spid="_x0000_s23867" o:spt="32" type="#_x0000_t32" style="position:absolute;left:5687;top:2394;height:2;width:507;" o:connectortype="straight" filled="f" coordsize="21600,21600">
                    <v:path arrowok="t"/>
                    <v:fill on="f" focussize="0,0"/>
                    <v:stroke endarrow="block" endarrowwidth="narrow"/>
                    <v:imagedata o:title=""/>
                    <o:lock v:ext="edit"/>
                  </v:shape>
                  <v:shape id="_x0000_s23868" o:spid="_x0000_s23868" o:spt="202" type="#_x0000_t202" style="position:absolute;left:8676;top:1531;height:473;width:728;" filled="f" stroked="f" coordsize="21600,21600">
                    <v:path/>
                    <v:fill on="f" focussize="0,0"/>
                    <v:stroke on="f" joinstyle="miter"/>
                    <v:imagedata o:title=""/>
                    <o:lock v:ext="edit"/>
                    <v:textbox>
                      <w:txbxContent>
                        <w:p w14:paraId="5AA7B1BF">
                          <w:pPr>
                            <w:rPr>
                              <w:sz w:val="18"/>
                              <w:szCs w:val="18"/>
                            </w:rPr>
                          </w:pPr>
                          <w:r>
                            <w:rPr>
                              <w:rFonts w:hint="eastAsia"/>
                              <w:sz w:val="18"/>
                              <w:szCs w:val="18"/>
                            </w:rPr>
                            <w:t>50%</w:t>
                          </w:r>
                        </w:p>
                      </w:txbxContent>
                    </v:textbox>
                  </v:shape>
                  <v:shape id="_x0000_s23869" o:spid="_x0000_s23869" o:spt="32" type="#_x0000_t32" style="position:absolute;left:5828;top:7437;height:900;width:1;" o:connectortype="straight" filled="f" coordsize="21600,21600">
                    <v:path arrowok="t"/>
                    <v:fill on="f" focussize="0,0"/>
                    <v:stroke endarrowwidth="narrow" endarrowlength="long"/>
                    <v:imagedata o:title=""/>
                    <o:lock v:ext="edit"/>
                  </v:shape>
                  <v:shape id="_x0000_s23870" o:spid="_x0000_s23870" o:spt="32" type="#_x0000_t32" style="position:absolute;left:5834;top:8333;height:4;width:547;" o:connectortype="straight" filled="f" coordsize="21600,21600">
                    <v:path arrowok="t"/>
                    <v:fill on="f" focussize="0,0"/>
                    <v:stroke endarrow="block" endarrowwidth="narrow"/>
                    <v:imagedata o:title=""/>
                    <o:lock v:ext="edit"/>
                  </v:shape>
                  <v:shape id="_x0000_s23871" o:spid="_x0000_s23871" o:spt="202" type="#_x0000_t202" style="position:absolute;left:6380;top:7200;height:470;width:2880;" filled="f" coordsize="21600,21600">
                    <v:path/>
                    <v:fill on="f" focussize="0,0"/>
                    <v:stroke joinstyle="miter"/>
                    <v:imagedata o:title=""/>
                    <o:lock v:ext="edit"/>
                    <v:textbox>
                      <w:txbxContent>
                        <w:p w14:paraId="4D069180">
                          <w:pPr>
                            <w:jc w:val="center"/>
                            <w:rPr>
                              <w:sz w:val="18"/>
                              <w:szCs w:val="18"/>
                            </w:rPr>
                          </w:pPr>
                          <w:r>
                            <w:rPr>
                              <w:rFonts w:hint="eastAsia"/>
                              <w:sz w:val="18"/>
                              <w:szCs w:val="18"/>
                            </w:rPr>
                            <w:t>废漆料（未附着的）</w:t>
                          </w:r>
                          <w:r>
                            <w:rPr>
                              <w:sz w:val="18"/>
                              <w:szCs w:val="18"/>
                            </w:rPr>
                            <w:t>：</w:t>
                          </w:r>
                          <w:r>
                            <w:rPr>
                              <w:rFonts w:hint="eastAsia"/>
                              <w:sz w:val="18"/>
                              <w:szCs w:val="18"/>
                            </w:rPr>
                            <w:t>2.25</w:t>
                          </w:r>
                        </w:p>
                      </w:txbxContent>
                    </v:textbox>
                  </v:shape>
                  <v:shape id="_x0000_s23872" o:spid="_x0000_s23872" o:spt="32" type="#_x0000_t32" style="position:absolute;left:5834;top:7437;height:4;width:547;" o:connectortype="straight" filled="f" coordsize="21600,21600">
                    <v:path arrowok="t"/>
                    <v:fill on="f" focussize="0,0"/>
                    <v:stroke endarrow="block" endarrowwidth="narrow"/>
                    <v:imagedata o:title=""/>
                    <o:lock v:ext="edit"/>
                  </v:shape>
                  <w10:wrap type="none"/>
                  <w10:anchorlock/>
                </v:group>
              </w:pict>
            </w:r>
          </w:p>
          <w:p w14:paraId="429E3F16">
            <w:pPr>
              <w:spacing w:line="360" w:lineRule="auto"/>
              <w:jc w:val="center"/>
              <w:rPr>
                <w:rFonts w:hAnsi="黑体" w:eastAsia="黑体"/>
                <w:color w:val="auto"/>
                <w:sz w:val="24"/>
              </w:rPr>
            </w:pPr>
            <w:r>
              <w:rPr>
                <w:rFonts w:hAnsi="黑体" w:eastAsia="黑体"/>
                <w:color w:val="auto"/>
                <w:sz w:val="24"/>
              </w:rPr>
              <w:t>图</w:t>
            </w:r>
            <w:r>
              <w:rPr>
                <w:rFonts w:hint="eastAsia" w:eastAsia="黑体"/>
                <w:color w:val="auto"/>
                <w:sz w:val="24"/>
              </w:rPr>
              <w:t>5</w:t>
            </w:r>
            <w:r>
              <w:rPr>
                <w:rFonts w:eastAsia="黑体"/>
                <w:color w:val="auto"/>
                <w:sz w:val="24"/>
              </w:rPr>
              <w:t xml:space="preserve">  本</w:t>
            </w:r>
            <w:r>
              <w:rPr>
                <w:rFonts w:hAnsi="黑体" w:eastAsia="黑体"/>
                <w:color w:val="auto"/>
                <w:sz w:val="24"/>
              </w:rPr>
              <w:t>项目水性漆</w:t>
            </w:r>
            <w:r>
              <w:rPr>
                <w:rFonts w:hint="eastAsia" w:hAnsi="黑体" w:eastAsia="黑体"/>
                <w:color w:val="auto"/>
                <w:sz w:val="24"/>
              </w:rPr>
              <w:t>物料</w:t>
            </w:r>
            <w:r>
              <w:rPr>
                <w:rFonts w:hAnsi="黑体" w:eastAsia="黑体"/>
                <w:color w:val="auto"/>
                <w:sz w:val="24"/>
              </w:rPr>
              <w:t>平衡图</w:t>
            </w:r>
            <w:r>
              <w:rPr>
                <w:rFonts w:hint="eastAsia" w:hAnsi="黑体" w:eastAsia="黑体"/>
                <w:color w:val="auto"/>
                <w:sz w:val="24"/>
              </w:rPr>
              <w:t xml:space="preserve">  单位：t/a</w:t>
            </w:r>
          </w:p>
        </w:tc>
      </w:tr>
    </w:tbl>
    <w:p w14:paraId="768EC1A4">
      <w:pPr>
        <w:widowControl/>
        <w:spacing w:line="360" w:lineRule="auto"/>
        <w:jc w:val="center"/>
        <w:rPr>
          <w:rFonts w:hAnsi="宋体"/>
          <w:color w:val="auto"/>
          <w:kern w:val="0"/>
          <w:sz w:val="24"/>
        </w:rPr>
        <w:sectPr>
          <w:pgSz w:w="16838" w:h="11906" w:orient="landscape"/>
          <w:pgMar w:top="1797" w:right="1440" w:bottom="1508" w:left="1440" w:header="851" w:footer="992" w:gutter="0"/>
          <w:cols w:space="720" w:num="1"/>
          <w:docGrid w:type="linesAndChars" w:linePitch="312" w:charSpace="0"/>
        </w:sectPr>
      </w:pPr>
    </w:p>
    <w:tbl>
      <w:tblPr>
        <w:tblStyle w:val="3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8283"/>
      </w:tblGrid>
      <w:tr w14:paraId="0AB72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88" w:hRule="atLeast"/>
        </w:trPr>
        <w:tc>
          <w:tcPr>
            <w:tcW w:w="534" w:type="dxa"/>
            <w:vAlign w:val="center"/>
          </w:tcPr>
          <w:p w14:paraId="1AB7EF13">
            <w:pPr>
              <w:widowControl/>
              <w:spacing w:line="360" w:lineRule="auto"/>
              <w:jc w:val="center"/>
              <w:rPr>
                <w:rFonts w:hAnsi="宋体"/>
                <w:color w:val="auto"/>
                <w:kern w:val="0"/>
                <w:sz w:val="24"/>
              </w:rPr>
            </w:pPr>
            <w:r>
              <w:rPr>
                <w:rFonts w:hAnsi="宋体"/>
                <w:color w:val="auto"/>
                <w:kern w:val="0"/>
                <w:sz w:val="24"/>
              </w:rPr>
              <w:t>与项目有关的原有环境污染问题</w:t>
            </w:r>
          </w:p>
        </w:tc>
        <w:tc>
          <w:tcPr>
            <w:tcW w:w="8283" w:type="dxa"/>
          </w:tcPr>
          <w:p w14:paraId="7E1C1F3F">
            <w:pPr>
              <w:pStyle w:val="16"/>
              <w:spacing w:after="0" w:line="480" w:lineRule="exact"/>
              <w:ind w:left="0" w:leftChars="0" w:firstLine="482" w:firstLineChars="200"/>
              <w:rPr>
                <w:rFonts w:hAnsi="宋体"/>
                <w:b/>
                <w:bCs/>
                <w:color w:val="auto"/>
                <w:sz w:val="24"/>
              </w:rPr>
            </w:pPr>
            <w:r>
              <w:rPr>
                <w:rFonts w:hint="eastAsia" w:hAnsi="宋体"/>
                <w:b/>
                <w:bCs/>
                <w:color w:val="auto"/>
                <w:sz w:val="24"/>
              </w:rPr>
              <w:t>1、现有工程环保手续履行情况</w:t>
            </w:r>
          </w:p>
          <w:p w14:paraId="13275E55">
            <w:pPr>
              <w:tabs>
                <w:tab w:val="left" w:pos="3261"/>
              </w:tabs>
              <w:autoSpaceDE w:val="0"/>
              <w:autoSpaceDN w:val="0"/>
              <w:adjustRightInd w:val="0"/>
              <w:spacing w:line="360" w:lineRule="auto"/>
              <w:ind w:firstLine="480" w:firstLineChars="200"/>
              <w:jc w:val="left"/>
              <w:rPr>
                <w:color w:val="auto"/>
                <w:sz w:val="24"/>
              </w:rPr>
            </w:pPr>
            <w:r>
              <w:rPr>
                <w:color w:val="auto"/>
                <w:sz w:val="24"/>
              </w:rPr>
              <w:t>安徽发强玻璃有限责任公司成立于2001年10月，正式投产于2011年10月，企业地址位于安徽省淮南市安成镇十涧湖中路。企业现有厂区占地面积约1</w:t>
            </w:r>
            <w:r>
              <w:rPr>
                <w:rFonts w:hint="eastAsia"/>
                <w:color w:val="auto"/>
                <w:sz w:val="24"/>
              </w:rPr>
              <w:t>7</w:t>
            </w:r>
            <w:r>
              <w:rPr>
                <w:color w:val="auto"/>
                <w:sz w:val="24"/>
              </w:rPr>
              <w:t>1000m</w:t>
            </w:r>
            <w:r>
              <w:rPr>
                <w:color w:val="auto"/>
                <w:sz w:val="24"/>
                <w:vertAlign w:val="superscript"/>
              </w:rPr>
              <w:t>2</w:t>
            </w:r>
            <w:r>
              <w:rPr>
                <w:color w:val="auto"/>
                <w:sz w:val="24"/>
              </w:rPr>
              <w:t>。</w:t>
            </w:r>
          </w:p>
          <w:p w14:paraId="428DB8A6">
            <w:pPr>
              <w:tabs>
                <w:tab w:val="left" w:pos="3261"/>
              </w:tabs>
              <w:autoSpaceDE w:val="0"/>
              <w:autoSpaceDN w:val="0"/>
              <w:adjustRightInd w:val="0"/>
              <w:spacing w:line="360" w:lineRule="auto"/>
              <w:ind w:firstLine="480" w:firstLineChars="200"/>
              <w:jc w:val="left"/>
              <w:rPr>
                <w:color w:val="auto"/>
                <w:sz w:val="24"/>
              </w:rPr>
            </w:pPr>
            <w:r>
              <w:rPr>
                <w:color w:val="auto"/>
                <w:sz w:val="24"/>
              </w:rPr>
              <w:t>2009年1月，安徽发强玻璃有限责任公司厂区内4座深澄清玻璃窑炉节能改造项目取得原淮南市环境保护局下达的《关于安徽发强玻璃有限责任公司深澄清玻璃窑炉综合节能技术改造项目环境影响报告表的批复》（淮环秘[2009]17号），2011年10月通过竣工环境保护验收。</w:t>
            </w:r>
          </w:p>
          <w:p w14:paraId="63426A3A">
            <w:pPr>
              <w:tabs>
                <w:tab w:val="left" w:pos="3261"/>
              </w:tabs>
              <w:autoSpaceDE w:val="0"/>
              <w:autoSpaceDN w:val="0"/>
              <w:adjustRightInd w:val="0"/>
              <w:spacing w:line="360" w:lineRule="auto"/>
              <w:ind w:firstLine="480" w:firstLineChars="200"/>
              <w:jc w:val="left"/>
              <w:rPr>
                <w:color w:val="auto"/>
                <w:sz w:val="24"/>
              </w:rPr>
            </w:pPr>
            <w:r>
              <w:rPr>
                <w:color w:val="auto"/>
                <w:sz w:val="24"/>
              </w:rPr>
              <w:t>2012年10月</w:t>
            </w:r>
            <w:r>
              <w:rPr>
                <w:rFonts w:hint="eastAsia"/>
                <w:color w:val="auto"/>
                <w:sz w:val="24"/>
              </w:rPr>
              <w:t>11日</w:t>
            </w:r>
            <w:r>
              <w:rPr>
                <w:color w:val="auto"/>
                <w:sz w:val="24"/>
              </w:rPr>
              <w:t>，取得原淮南市环境保护局下达的《关于安徽发强玻璃有限责任公司节能型日用玻璃自动生产线改建项目环境影响报告表的批复》（淮环表批[2012]92号）；</w:t>
            </w:r>
            <w:r>
              <w:rPr>
                <w:rFonts w:hint="eastAsia"/>
                <w:color w:val="auto"/>
                <w:sz w:val="24"/>
              </w:rPr>
              <w:t>2018年11月，节能型日用玻璃生产线改建项目（一期工程）</w:t>
            </w:r>
            <w:r>
              <w:rPr>
                <w:color w:val="auto"/>
                <w:sz w:val="24"/>
              </w:rPr>
              <w:t>通过竣工环境保护验收。</w:t>
            </w:r>
          </w:p>
          <w:p w14:paraId="128B6321">
            <w:pPr>
              <w:tabs>
                <w:tab w:val="left" w:pos="3261"/>
              </w:tabs>
              <w:autoSpaceDE w:val="0"/>
              <w:autoSpaceDN w:val="0"/>
              <w:adjustRightInd w:val="0"/>
              <w:spacing w:line="360" w:lineRule="auto"/>
              <w:ind w:firstLine="480" w:firstLineChars="200"/>
              <w:jc w:val="left"/>
              <w:rPr>
                <w:color w:val="auto"/>
                <w:sz w:val="24"/>
              </w:rPr>
            </w:pPr>
            <w:r>
              <w:rPr>
                <w:color w:val="auto"/>
                <w:sz w:val="24"/>
              </w:rPr>
              <w:t>2018年3月</w:t>
            </w:r>
            <w:r>
              <w:rPr>
                <w:rFonts w:hint="eastAsia"/>
                <w:color w:val="auto"/>
                <w:sz w:val="24"/>
              </w:rPr>
              <w:t>30日</w:t>
            </w:r>
            <w:r>
              <w:rPr>
                <w:color w:val="auto"/>
                <w:sz w:val="24"/>
              </w:rPr>
              <w:t>，取得原淮南市环境保护局下达的《关于燃煤式玻璃窑炉发生炉煤气系统变更天然气系统的复函》（淮环函[2018]55号）；</w:t>
            </w:r>
            <w:r>
              <w:rPr>
                <w:rFonts w:hint="eastAsia"/>
                <w:color w:val="auto"/>
                <w:sz w:val="24"/>
              </w:rPr>
              <w:t>2019年2月“深澄清玻璃窑炉综合节能技术改造项目（煤气发生炉系统变更）”</w:t>
            </w:r>
            <w:r>
              <w:rPr>
                <w:color w:val="auto"/>
                <w:sz w:val="24"/>
              </w:rPr>
              <w:t>通过竣工环境保护验收。</w:t>
            </w:r>
          </w:p>
          <w:p w14:paraId="56B88CC4">
            <w:pPr>
              <w:tabs>
                <w:tab w:val="left" w:pos="3261"/>
              </w:tabs>
              <w:autoSpaceDE w:val="0"/>
              <w:autoSpaceDN w:val="0"/>
              <w:adjustRightInd w:val="0"/>
              <w:spacing w:line="360" w:lineRule="auto"/>
              <w:ind w:firstLine="480" w:firstLineChars="200"/>
              <w:jc w:val="left"/>
              <w:rPr>
                <w:color w:val="auto"/>
                <w:kern w:val="0"/>
                <w:sz w:val="24"/>
              </w:rPr>
            </w:pPr>
            <w:r>
              <w:rPr>
                <w:color w:val="auto"/>
                <w:sz w:val="24"/>
              </w:rPr>
              <w:t>2018年</w:t>
            </w:r>
            <w:r>
              <w:rPr>
                <w:rFonts w:hint="eastAsia"/>
                <w:color w:val="auto"/>
                <w:sz w:val="24"/>
              </w:rPr>
              <w:t>7</w:t>
            </w:r>
            <w:r>
              <w:rPr>
                <w:color w:val="auto"/>
                <w:sz w:val="24"/>
              </w:rPr>
              <w:t>月</w:t>
            </w:r>
            <w:r>
              <w:rPr>
                <w:rFonts w:hint="eastAsia"/>
                <w:color w:val="auto"/>
                <w:sz w:val="24"/>
              </w:rPr>
              <w:t>12日</w:t>
            </w:r>
            <w:r>
              <w:rPr>
                <w:color w:val="auto"/>
                <w:kern w:val="0"/>
                <w:sz w:val="24"/>
              </w:rPr>
              <w:t>，取得</w:t>
            </w:r>
            <w:r>
              <w:rPr>
                <w:color w:val="auto"/>
                <w:sz w:val="24"/>
              </w:rPr>
              <w:t>原淮南市环境保护局</w:t>
            </w:r>
            <w:r>
              <w:rPr>
                <w:color w:val="auto"/>
                <w:kern w:val="0"/>
                <w:sz w:val="24"/>
              </w:rPr>
              <w:t>以淮环审复[2018]63号文件下达了《关于高硼硅玻璃制品生产线改造项目环境影响报告表的批复》，同年11月，企业委托安徽省公众检验研究院有限公司对节能型日用玻璃自动生产线改建项目（一期工程）进行验收监测，</w:t>
            </w:r>
            <w:r>
              <w:rPr>
                <w:rFonts w:hint="eastAsia"/>
                <w:color w:val="auto"/>
                <w:kern w:val="0"/>
                <w:sz w:val="24"/>
              </w:rPr>
              <w:t>2019年3月</w:t>
            </w:r>
            <w:r>
              <w:rPr>
                <w:color w:val="auto"/>
                <w:kern w:val="0"/>
                <w:sz w:val="24"/>
              </w:rPr>
              <w:t>通过竣工环境保护验收。</w:t>
            </w:r>
          </w:p>
          <w:p w14:paraId="4CBDC8EB">
            <w:pPr>
              <w:tabs>
                <w:tab w:val="left" w:pos="3261"/>
              </w:tabs>
              <w:autoSpaceDE w:val="0"/>
              <w:autoSpaceDN w:val="0"/>
              <w:adjustRightInd w:val="0"/>
              <w:spacing w:line="360" w:lineRule="auto"/>
              <w:ind w:firstLine="480" w:firstLineChars="200"/>
              <w:jc w:val="left"/>
              <w:rPr>
                <w:color w:val="auto"/>
                <w:kern w:val="0"/>
                <w:sz w:val="24"/>
              </w:rPr>
            </w:pPr>
            <w:r>
              <w:rPr>
                <w:color w:val="auto"/>
                <w:kern w:val="0"/>
                <w:sz w:val="24"/>
              </w:rPr>
              <w:t>2019年3月，企业委托河南金环环境影响评价有限公司编制完成了《安徽发强玻璃有限责任公司利用天然气替代发生炉煤气改造项目环境影响报告表》，同年4月</w:t>
            </w:r>
            <w:r>
              <w:rPr>
                <w:rFonts w:hint="eastAsia"/>
                <w:color w:val="auto"/>
                <w:kern w:val="0"/>
                <w:sz w:val="24"/>
              </w:rPr>
              <w:t>24日</w:t>
            </w:r>
            <w:r>
              <w:rPr>
                <w:color w:val="auto"/>
                <w:kern w:val="0"/>
                <w:sz w:val="24"/>
              </w:rPr>
              <w:t>，淮南市生态环境局以淮环审复[2019]51号下达了《利用天然气替代发生炉煤气改造项目环境影响报告表的批复》。2020年9月，企业委托安徽世环检测技术有限公司对</w:t>
            </w:r>
            <w:r>
              <w:rPr>
                <w:rFonts w:ascii="宋体" w:hAnsi="宋体"/>
                <w:color w:val="auto"/>
                <w:kern w:val="0"/>
                <w:sz w:val="24"/>
              </w:rPr>
              <w:t>“利用天然气替代发生炉煤气改造项目”</w:t>
            </w:r>
            <w:r>
              <w:rPr>
                <w:color w:val="auto"/>
                <w:kern w:val="0"/>
                <w:sz w:val="24"/>
              </w:rPr>
              <w:t>（原</w:t>
            </w:r>
            <w:r>
              <w:rPr>
                <w:rFonts w:ascii="宋体" w:hAnsi="宋体"/>
                <w:color w:val="auto"/>
                <w:kern w:val="0"/>
                <w:sz w:val="24"/>
              </w:rPr>
              <w:t>“节能型日用玻璃自动生产线改建项目”二</w:t>
            </w:r>
            <w:r>
              <w:rPr>
                <w:color w:val="auto"/>
                <w:kern w:val="0"/>
                <w:sz w:val="24"/>
              </w:rPr>
              <w:t>车间）进行验收监测，并通过竣工环境保护验收。</w:t>
            </w:r>
          </w:p>
          <w:p w14:paraId="77B27117">
            <w:pPr>
              <w:tabs>
                <w:tab w:val="left" w:pos="3261"/>
              </w:tabs>
              <w:autoSpaceDE w:val="0"/>
              <w:autoSpaceDN w:val="0"/>
              <w:adjustRightInd w:val="0"/>
              <w:spacing w:line="360" w:lineRule="auto"/>
              <w:ind w:firstLine="480" w:firstLineChars="200"/>
              <w:jc w:val="left"/>
              <w:rPr>
                <w:color w:val="auto"/>
                <w:kern w:val="0"/>
                <w:sz w:val="24"/>
              </w:rPr>
            </w:pPr>
            <w:r>
              <w:rPr>
                <w:rFonts w:hint="eastAsia"/>
                <w:color w:val="auto"/>
                <w:kern w:val="0"/>
                <w:sz w:val="24"/>
              </w:rPr>
              <w:t>2020年10月14日，企业取得《安徽发强玻璃有限责任公司纸箱生产线项目环境影响登记表》备案（备案号：202034040300000478），主要新建一层办公室、两层生产厂房、2个仓库；2020年10月30日，该项目已建设完成，并正常运行。</w:t>
            </w:r>
          </w:p>
          <w:p w14:paraId="5C51BA3B">
            <w:pPr>
              <w:tabs>
                <w:tab w:val="left" w:pos="3261"/>
              </w:tabs>
              <w:autoSpaceDE w:val="0"/>
              <w:autoSpaceDN w:val="0"/>
              <w:adjustRightInd w:val="0"/>
              <w:spacing w:line="360" w:lineRule="auto"/>
              <w:ind w:firstLine="480" w:firstLineChars="200"/>
              <w:jc w:val="left"/>
              <w:rPr>
                <w:color w:val="auto"/>
                <w:kern w:val="0"/>
                <w:sz w:val="24"/>
              </w:rPr>
            </w:pPr>
            <w:r>
              <w:rPr>
                <w:color w:val="auto"/>
                <w:kern w:val="0"/>
                <w:sz w:val="24"/>
              </w:rPr>
              <w:t>2021年4月，企业委托江西恺远环保科技有限公司编制完成了《安徽发强玻璃有限责任公司日用玻璃制品深加工生产线建设项目环境影响报告表》，同年8月，此项目取得了淮南市生态环境局以田环复[2021]6号文件下达的《关于安徽发强玻璃有限责任公司日用玻璃制品深加工生产线建设项目环境影响报告表的批复》；</w:t>
            </w:r>
            <w:r>
              <w:rPr>
                <w:rFonts w:hint="eastAsia"/>
                <w:color w:val="auto"/>
                <w:kern w:val="0"/>
                <w:sz w:val="24"/>
              </w:rPr>
              <w:t>2023年7月，企业委托安徽中执环境检测有限公司</w:t>
            </w:r>
            <w:r>
              <w:rPr>
                <w:rFonts w:hint="eastAsia" w:ascii="宋体" w:hAnsi="宋体"/>
                <w:color w:val="auto"/>
                <w:kern w:val="0"/>
                <w:sz w:val="24"/>
              </w:rPr>
              <w:t>对“</w:t>
            </w:r>
            <w:r>
              <w:rPr>
                <w:rFonts w:ascii="宋体" w:hAnsi="宋体"/>
                <w:color w:val="auto"/>
                <w:kern w:val="0"/>
                <w:sz w:val="24"/>
              </w:rPr>
              <w:t>日用玻璃制品深加工生产线建设项目”部分生产线进行验收监测，</w:t>
            </w:r>
            <w:r>
              <w:rPr>
                <w:rFonts w:hint="eastAsia" w:ascii="宋体" w:hAnsi="宋体"/>
                <w:color w:val="auto"/>
                <w:kern w:val="0"/>
                <w:sz w:val="24"/>
              </w:rPr>
              <w:t>同年10月，</w:t>
            </w:r>
            <w:r>
              <w:rPr>
                <w:color w:val="auto"/>
                <w:kern w:val="0"/>
                <w:sz w:val="24"/>
              </w:rPr>
              <w:t>该项目通过阶段性竣工环境保护验收。</w:t>
            </w:r>
          </w:p>
          <w:p w14:paraId="259F1481">
            <w:pPr>
              <w:tabs>
                <w:tab w:val="left" w:pos="3261"/>
              </w:tabs>
              <w:autoSpaceDE w:val="0"/>
              <w:autoSpaceDN w:val="0"/>
              <w:adjustRightInd w:val="0"/>
              <w:spacing w:line="360" w:lineRule="auto"/>
              <w:ind w:firstLine="480" w:firstLineChars="200"/>
              <w:jc w:val="left"/>
              <w:rPr>
                <w:color w:val="auto"/>
                <w:kern w:val="0"/>
                <w:sz w:val="24"/>
              </w:rPr>
            </w:pPr>
            <w:r>
              <w:rPr>
                <w:color w:val="auto"/>
                <w:kern w:val="0"/>
                <w:sz w:val="24"/>
              </w:rPr>
              <w:t>2023年10月，企业投资24000万元，利用厂区现有厂房建设1座制氧车间、1座液氧气化站，2023年10月8日取得淮南市田家庵区发展和改革委员会备案（项目代码：2307-340403-04-01-148884）后，企业委托安徽恒泽环境科技有限公司编制《安徽发强玻璃有限责任公司基础设施提升改造项目环境影响报告表》，</w:t>
            </w:r>
            <w:r>
              <w:rPr>
                <w:rFonts w:hint="eastAsia"/>
                <w:color w:val="auto"/>
                <w:kern w:val="0"/>
                <w:sz w:val="24"/>
              </w:rPr>
              <w:t>并于</w:t>
            </w:r>
            <w:r>
              <w:rPr>
                <w:color w:val="auto"/>
                <w:kern w:val="0"/>
                <w:sz w:val="24"/>
              </w:rPr>
              <w:t>同年11月28日取得淮南市生态环境局关于</w:t>
            </w:r>
            <w:r>
              <w:rPr>
                <w:rFonts w:hint="eastAsia"/>
                <w:color w:val="auto"/>
                <w:kern w:val="0"/>
                <w:sz w:val="24"/>
              </w:rPr>
              <w:t>该</w:t>
            </w:r>
            <w:r>
              <w:rPr>
                <w:color w:val="auto"/>
                <w:kern w:val="0"/>
                <w:sz w:val="24"/>
              </w:rPr>
              <w:t>项目环境影响报告表的批复（田环复[2023]9号），截至目前，该项目已建成1座制氧车间、1座液氧气化站，</w:t>
            </w:r>
            <w:r>
              <w:rPr>
                <w:rFonts w:hint="eastAsia"/>
                <w:color w:val="auto"/>
                <w:kern w:val="0"/>
                <w:sz w:val="24"/>
              </w:rPr>
              <w:t>同年1月，</w:t>
            </w:r>
            <w:r>
              <w:rPr>
                <w:rFonts w:ascii="宋体" w:hAnsi="宋体"/>
                <w:color w:val="auto"/>
                <w:kern w:val="0"/>
                <w:sz w:val="24"/>
              </w:rPr>
              <w:t>“</w:t>
            </w:r>
            <w:r>
              <w:rPr>
                <w:color w:val="auto"/>
                <w:kern w:val="0"/>
                <w:sz w:val="24"/>
              </w:rPr>
              <w:t>基础设施提升改造项目</w:t>
            </w:r>
            <w:r>
              <w:rPr>
                <w:rFonts w:ascii="宋体" w:hAnsi="宋体"/>
                <w:color w:val="auto"/>
                <w:kern w:val="0"/>
                <w:sz w:val="24"/>
              </w:rPr>
              <w:t>”中制氧工程（</w:t>
            </w:r>
            <w:r>
              <w:rPr>
                <w:rFonts w:hint="eastAsia" w:ascii="宋体" w:hAnsi="宋体"/>
                <w:color w:val="auto"/>
                <w:kern w:val="0"/>
                <w:sz w:val="24"/>
              </w:rPr>
              <w:t>1座制氧车间、1座液氧气化站</w:t>
            </w:r>
            <w:r>
              <w:rPr>
                <w:rFonts w:ascii="宋体" w:hAnsi="宋体"/>
                <w:color w:val="auto"/>
                <w:kern w:val="0"/>
                <w:sz w:val="24"/>
              </w:rPr>
              <w:t>）通过阶段性竣工环境保护验收；“基础设施提升改造项目”其他厂房</w:t>
            </w:r>
            <w:r>
              <w:rPr>
                <w:color w:val="auto"/>
                <w:kern w:val="0"/>
                <w:sz w:val="24"/>
              </w:rPr>
              <w:t>正在拆除重建，暂未开展竣工环境保护验收。</w:t>
            </w:r>
          </w:p>
          <w:p w14:paraId="357361BA">
            <w:pPr>
              <w:tabs>
                <w:tab w:val="left" w:pos="3261"/>
              </w:tabs>
              <w:autoSpaceDE w:val="0"/>
              <w:autoSpaceDN w:val="0"/>
              <w:adjustRightInd w:val="0"/>
              <w:spacing w:line="360" w:lineRule="auto"/>
              <w:ind w:firstLine="480" w:firstLineChars="200"/>
              <w:jc w:val="left"/>
              <w:rPr>
                <w:color w:val="auto"/>
                <w:kern w:val="0"/>
                <w:sz w:val="24"/>
              </w:rPr>
            </w:pPr>
            <w:r>
              <w:rPr>
                <w:rFonts w:hint="eastAsia"/>
                <w:color w:val="auto"/>
                <w:kern w:val="0"/>
                <w:sz w:val="24"/>
              </w:rPr>
              <w:t>2024年2月28日，企业取得《安徽发强玻璃有限责任公司玻璃窑炉废气深度治理项目环境影响登记表》备案（备案号：202434040300000012），该项目主要将2#、3#玻璃窑炉现有2套“布袋除尘SCR脱硝”烟气处理设施替换为2套“复合陶瓷纤维滤管脱硝除尘一体化”处理设施。现阶段，2#、3#玻璃窑炉废气治理设施均已改造完成，由于2#玻璃窑炉处于停产状态，2#玻璃窑炉废气排气筒（DA007）还未开展废气监测；3#玻璃窑炉正常运行，废气排气筒（DA008）污染物采用在线设备监测监控。</w:t>
            </w:r>
          </w:p>
          <w:p w14:paraId="6622F1E5">
            <w:pPr>
              <w:tabs>
                <w:tab w:val="left" w:pos="3261"/>
              </w:tabs>
              <w:autoSpaceDE w:val="0"/>
              <w:autoSpaceDN w:val="0"/>
              <w:adjustRightInd w:val="0"/>
              <w:spacing w:line="360" w:lineRule="auto"/>
              <w:ind w:firstLine="480" w:firstLineChars="200"/>
              <w:jc w:val="left"/>
              <w:rPr>
                <w:color w:val="auto"/>
                <w:kern w:val="0"/>
                <w:sz w:val="24"/>
              </w:rPr>
            </w:pPr>
            <w:r>
              <w:rPr>
                <w:color w:val="auto"/>
                <w:kern w:val="0"/>
                <w:sz w:val="24"/>
              </w:rPr>
              <w:t>2020年7月13日，企业开始申领排污许可证，</w:t>
            </w:r>
            <w:r>
              <w:rPr>
                <w:rFonts w:hint="eastAsia"/>
                <w:color w:val="auto"/>
                <w:kern w:val="0"/>
                <w:sz w:val="24"/>
              </w:rPr>
              <w:t>2021年由于项目变动，并于2021年8月11日经淮南市生态环境局同意，重新申领了排污许可证，排污许可证书编号：913404007316866910001U，排污许可证有效期限为2021年8月11日至2026年8月10日止；</w:t>
            </w:r>
            <w:r>
              <w:rPr>
                <w:color w:val="auto"/>
                <w:kern w:val="0"/>
                <w:sz w:val="24"/>
              </w:rPr>
              <w:t>2023年由于项目变动，2023年9月25日经淮南市生态环境局同意，变更了排污许可；</w:t>
            </w:r>
            <w:r>
              <w:rPr>
                <w:rFonts w:hint="eastAsia"/>
                <w:color w:val="auto"/>
                <w:kern w:val="0"/>
                <w:sz w:val="24"/>
              </w:rPr>
              <w:t>因2024年10月1日起企业需执行</w:t>
            </w:r>
            <w:r>
              <w:rPr>
                <w:rFonts w:hAnsi="宋体"/>
                <w:color w:val="auto"/>
                <w:sz w:val="24"/>
              </w:rPr>
              <w:t>《安徽省玻璃工业大气污染物排放标准》（</w:t>
            </w:r>
            <w:r>
              <w:rPr>
                <w:rFonts w:hint="eastAsia" w:hAnsi="宋体"/>
                <w:color w:val="auto"/>
                <w:sz w:val="24"/>
              </w:rPr>
              <w:t>DB34/4295-2022</w:t>
            </w:r>
            <w:r>
              <w:rPr>
                <w:rFonts w:hAnsi="宋体"/>
                <w:color w:val="auto"/>
                <w:sz w:val="24"/>
              </w:rPr>
              <w:t>）中相关限值要求，</w:t>
            </w:r>
            <w:r>
              <w:rPr>
                <w:rFonts w:hint="eastAsia"/>
                <w:color w:val="auto"/>
                <w:kern w:val="0"/>
                <w:sz w:val="24"/>
              </w:rPr>
              <w:t>2024年9月29日变更了排污许可，目前在有效期内。</w:t>
            </w:r>
            <w:r>
              <w:rPr>
                <w:color w:val="auto"/>
                <w:kern w:val="0"/>
                <w:sz w:val="24"/>
              </w:rPr>
              <w:t>排污许可证编号为913404007316866910001U。</w:t>
            </w:r>
          </w:p>
          <w:p w14:paraId="24E3A597">
            <w:pPr>
              <w:tabs>
                <w:tab w:val="left" w:pos="3261"/>
              </w:tabs>
              <w:autoSpaceDE w:val="0"/>
              <w:autoSpaceDN w:val="0"/>
              <w:adjustRightInd w:val="0"/>
              <w:spacing w:line="360" w:lineRule="auto"/>
              <w:ind w:firstLine="482" w:firstLineChars="200"/>
              <w:jc w:val="left"/>
              <w:rPr>
                <w:rFonts w:ascii="宋体" w:hAnsi="宋体"/>
                <w:b/>
                <w:color w:val="auto"/>
                <w:kern w:val="0"/>
                <w:sz w:val="24"/>
                <w:szCs w:val="24"/>
              </w:rPr>
            </w:pPr>
            <w:r>
              <w:rPr>
                <w:rFonts w:ascii="宋体" w:hAnsi="宋体"/>
                <w:b/>
                <w:color w:val="auto"/>
                <w:sz w:val="24"/>
                <w:szCs w:val="24"/>
              </w:rPr>
              <w:t>现有工程环保手续履行情况如下表：</w:t>
            </w:r>
          </w:p>
          <w:p w14:paraId="1381334C">
            <w:pPr>
              <w:pStyle w:val="219"/>
              <w:jc w:val="center"/>
              <w:rPr>
                <w:rFonts w:eastAsia="黑体" w:cs="Times New Roman"/>
                <w:bCs/>
                <w:color w:val="auto"/>
                <w:szCs w:val="21"/>
              </w:rPr>
            </w:pPr>
            <w:r>
              <w:rPr>
                <w:rFonts w:hAnsi="黑体" w:eastAsia="黑体" w:cs="Times New Roman"/>
                <w:color w:val="auto"/>
              </w:rPr>
              <w:t>表</w:t>
            </w:r>
            <w:r>
              <w:rPr>
                <w:rFonts w:hint="eastAsia" w:eastAsia="黑体" w:cs="Times New Roman"/>
                <w:color w:val="auto"/>
              </w:rPr>
              <w:t>21</w:t>
            </w:r>
            <w:r>
              <w:rPr>
                <w:rFonts w:eastAsia="黑体" w:cs="Times New Roman"/>
                <w:color w:val="auto"/>
              </w:rPr>
              <w:t xml:space="preserve">  </w:t>
            </w:r>
            <w:r>
              <w:rPr>
                <w:rFonts w:hAnsi="黑体" w:eastAsia="黑体" w:cs="Times New Roman"/>
                <w:color w:val="auto"/>
              </w:rPr>
              <w:t>现有工程环保手续履行情况一览表</w:t>
            </w:r>
          </w:p>
          <w:tbl>
            <w:tblPr>
              <w:tblStyle w:val="34"/>
              <w:tblW w:w="817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992"/>
              <w:gridCol w:w="1134"/>
              <w:gridCol w:w="2127"/>
              <w:gridCol w:w="1173"/>
              <w:gridCol w:w="1388"/>
            </w:tblGrid>
            <w:tr w14:paraId="22B9925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1365" w:type="dxa"/>
                  <w:vMerge w:val="restart"/>
                  <w:vAlign w:val="center"/>
                </w:tcPr>
                <w:p w14:paraId="2D6F01E8">
                  <w:pPr>
                    <w:spacing w:line="276" w:lineRule="auto"/>
                    <w:jc w:val="center"/>
                    <w:rPr>
                      <w:b/>
                      <w:color w:val="auto"/>
                      <w:szCs w:val="21"/>
                    </w:rPr>
                  </w:pPr>
                  <w:r>
                    <w:rPr>
                      <w:b/>
                      <w:color w:val="auto"/>
                      <w:szCs w:val="21"/>
                    </w:rPr>
                    <w:t>项目名称</w:t>
                  </w:r>
                </w:p>
              </w:tc>
              <w:tc>
                <w:tcPr>
                  <w:tcW w:w="2126" w:type="dxa"/>
                  <w:gridSpan w:val="2"/>
                  <w:vAlign w:val="center"/>
                </w:tcPr>
                <w:p w14:paraId="67DBD834">
                  <w:pPr>
                    <w:spacing w:line="276" w:lineRule="auto"/>
                    <w:jc w:val="center"/>
                    <w:rPr>
                      <w:b/>
                      <w:color w:val="auto"/>
                      <w:szCs w:val="21"/>
                    </w:rPr>
                  </w:pPr>
                  <w:r>
                    <w:rPr>
                      <w:b/>
                      <w:color w:val="auto"/>
                      <w:szCs w:val="21"/>
                    </w:rPr>
                    <w:t>环评情况</w:t>
                  </w:r>
                </w:p>
              </w:tc>
              <w:tc>
                <w:tcPr>
                  <w:tcW w:w="2127" w:type="dxa"/>
                  <w:vAlign w:val="center"/>
                </w:tcPr>
                <w:p w14:paraId="43FE30F4">
                  <w:pPr>
                    <w:spacing w:line="276" w:lineRule="auto"/>
                    <w:jc w:val="center"/>
                    <w:rPr>
                      <w:b/>
                      <w:color w:val="auto"/>
                      <w:szCs w:val="21"/>
                    </w:rPr>
                  </w:pPr>
                  <w:r>
                    <w:rPr>
                      <w:b/>
                      <w:color w:val="auto"/>
                      <w:szCs w:val="21"/>
                    </w:rPr>
                    <w:t>验收情况</w:t>
                  </w:r>
                </w:p>
              </w:tc>
              <w:tc>
                <w:tcPr>
                  <w:tcW w:w="1173" w:type="dxa"/>
                  <w:vAlign w:val="center"/>
                </w:tcPr>
                <w:p w14:paraId="63168B8F">
                  <w:pPr>
                    <w:spacing w:line="276" w:lineRule="auto"/>
                    <w:jc w:val="center"/>
                    <w:rPr>
                      <w:b/>
                      <w:color w:val="auto"/>
                      <w:szCs w:val="21"/>
                    </w:rPr>
                  </w:pPr>
                  <w:r>
                    <w:rPr>
                      <w:b/>
                      <w:color w:val="auto"/>
                      <w:szCs w:val="21"/>
                    </w:rPr>
                    <w:t>应急预案情况</w:t>
                  </w:r>
                </w:p>
              </w:tc>
              <w:tc>
                <w:tcPr>
                  <w:tcW w:w="1388" w:type="dxa"/>
                  <w:vAlign w:val="center"/>
                </w:tcPr>
                <w:p w14:paraId="4D4D9E4F">
                  <w:pPr>
                    <w:spacing w:line="276" w:lineRule="auto"/>
                    <w:jc w:val="center"/>
                    <w:rPr>
                      <w:b/>
                      <w:color w:val="auto"/>
                      <w:szCs w:val="21"/>
                    </w:rPr>
                  </w:pPr>
                  <w:r>
                    <w:rPr>
                      <w:b/>
                      <w:color w:val="auto"/>
                      <w:szCs w:val="21"/>
                    </w:rPr>
                    <w:t>排污许可证情况</w:t>
                  </w:r>
                </w:p>
              </w:tc>
            </w:tr>
            <w:tr w14:paraId="16090CC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1365" w:type="dxa"/>
                  <w:vMerge w:val="continue"/>
                  <w:vAlign w:val="center"/>
                </w:tcPr>
                <w:p w14:paraId="62365010">
                  <w:pPr>
                    <w:spacing w:line="276" w:lineRule="auto"/>
                    <w:jc w:val="center"/>
                    <w:rPr>
                      <w:color w:val="auto"/>
                      <w:szCs w:val="21"/>
                    </w:rPr>
                  </w:pPr>
                </w:p>
              </w:tc>
              <w:tc>
                <w:tcPr>
                  <w:tcW w:w="992" w:type="dxa"/>
                  <w:vAlign w:val="center"/>
                </w:tcPr>
                <w:p w14:paraId="130CD793">
                  <w:pPr>
                    <w:spacing w:line="276" w:lineRule="auto"/>
                    <w:jc w:val="center"/>
                    <w:rPr>
                      <w:color w:val="auto"/>
                      <w:szCs w:val="21"/>
                    </w:rPr>
                  </w:pPr>
                  <w:r>
                    <w:rPr>
                      <w:color w:val="auto"/>
                      <w:szCs w:val="21"/>
                    </w:rPr>
                    <w:t>备案</w:t>
                  </w:r>
                </w:p>
              </w:tc>
              <w:tc>
                <w:tcPr>
                  <w:tcW w:w="1134" w:type="dxa"/>
                  <w:vAlign w:val="center"/>
                </w:tcPr>
                <w:p w14:paraId="2596D7EB">
                  <w:pPr>
                    <w:spacing w:line="276" w:lineRule="auto"/>
                    <w:jc w:val="center"/>
                    <w:rPr>
                      <w:color w:val="auto"/>
                      <w:szCs w:val="21"/>
                    </w:rPr>
                  </w:pPr>
                  <w:r>
                    <w:rPr>
                      <w:color w:val="auto"/>
                      <w:szCs w:val="21"/>
                    </w:rPr>
                    <w:t>批复</w:t>
                  </w:r>
                </w:p>
              </w:tc>
              <w:tc>
                <w:tcPr>
                  <w:tcW w:w="2127" w:type="dxa"/>
                  <w:vAlign w:val="center"/>
                </w:tcPr>
                <w:p w14:paraId="756E49DD">
                  <w:pPr>
                    <w:spacing w:line="276" w:lineRule="auto"/>
                    <w:jc w:val="center"/>
                    <w:rPr>
                      <w:color w:val="auto"/>
                      <w:szCs w:val="21"/>
                    </w:rPr>
                  </w:pPr>
                  <w:r>
                    <w:rPr>
                      <w:color w:val="auto"/>
                      <w:szCs w:val="21"/>
                    </w:rPr>
                    <w:t>批复</w:t>
                  </w:r>
                </w:p>
              </w:tc>
              <w:tc>
                <w:tcPr>
                  <w:tcW w:w="1173" w:type="dxa"/>
                  <w:vAlign w:val="center"/>
                </w:tcPr>
                <w:p w14:paraId="723157DC">
                  <w:pPr>
                    <w:spacing w:line="276" w:lineRule="auto"/>
                    <w:jc w:val="center"/>
                    <w:rPr>
                      <w:color w:val="auto"/>
                      <w:szCs w:val="21"/>
                    </w:rPr>
                  </w:pPr>
                  <w:r>
                    <w:rPr>
                      <w:color w:val="auto"/>
                      <w:szCs w:val="21"/>
                    </w:rPr>
                    <w:t>备案</w:t>
                  </w:r>
                </w:p>
              </w:tc>
              <w:tc>
                <w:tcPr>
                  <w:tcW w:w="1388" w:type="dxa"/>
                  <w:vAlign w:val="center"/>
                </w:tcPr>
                <w:p w14:paraId="178542A9">
                  <w:pPr>
                    <w:spacing w:line="276" w:lineRule="auto"/>
                    <w:jc w:val="center"/>
                    <w:rPr>
                      <w:color w:val="auto"/>
                      <w:szCs w:val="21"/>
                    </w:rPr>
                  </w:pPr>
                  <w:r>
                    <w:rPr>
                      <w:color w:val="auto"/>
                      <w:szCs w:val="21"/>
                    </w:rPr>
                    <w:t>登记编号</w:t>
                  </w:r>
                </w:p>
              </w:tc>
            </w:tr>
            <w:tr w14:paraId="766A657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365" w:type="dxa"/>
                  <w:vAlign w:val="center"/>
                </w:tcPr>
                <w:p w14:paraId="6D396694">
                  <w:pPr>
                    <w:spacing w:line="276" w:lineRule="auto"/>
                    <w:jc w:val="center"/>
                    <w:rPr>
                      <w:color w:val="auto"/>
                      <w:szCs w:val="21"/>
                    </w:rPr>
                  </w:pPr>
                  <w:r>
                    <w:rPr>
                      <w:color w:val="auto"/>
                      <w:szCs w:val="21"/>
                    </w:rPr>
                    <w:t>深澄清玻璃窑炉综合节能技术改造项目</w:t>
                  </w:r>
                </w:p>
              </w:tc>
              <w:tc>
                <w:tcPr>
                  <w:tcW w:w="992" w:type="dxa"/>
                  <w:vAlign w:val="center"/>
                </w:tcPr>
                <w:p w14:paraId="7886F668">
                  <w:pPr>
                    <w:spacing w:line="276" w:lineRule="auto"/>
                    <w:jc w:val="center"/>
                    <w:rPr>
                      <w:color w:val="auto"/>
                      <w:szCs w:val="21"/>
                    </w:rPr>
                  </w:pPr>
                  <w:r>
                    <w:rPr>
                      <w:color w:val="auto"/>
                      <w:szCs w:val="21"/>
                    </w:rPr>
                    <w:t>/</w:t>
                  </w:r>
                </w:p>
              </w:tc>
              <w:tc>
                <w:tcPr>
                  <w:tcW w:w="1134" w:type="dxa"/>
                  <w:vAlign w:val="center"/>
                </w:tcPr>
                <w:p w14:paraId="1BC91693">
                  <w:pPr>
                    <w:spacing w:line="276" w:lineRule="auto"/>
                    <w:jc w:val="center"/>
                    <w:rPr>
                      <w:color w:val="auto"/>
                      <w:szCs w:val="21"/>
                    </w:rPr>
                  </w:pPr>
                  <w:r>
                    <w:rPr>
                      <w:color w:val="auto"/>
                      <w:szCs w:val="21"/>
                    </w:rPr>
                    <w:t>淮环秘[2009]17号</w:t>
                  </w:r>
                </w:p>
              </w:tc>
              <w:tc>
                <w:tcPr>
                  <w:tcW w:w="2127" w:type="dxa"/>
                  <w:vAlign w:val="center"/>
                </w:tcPr>
                <w:p w14:paraId="127AA4D8">
                  <w:pPr>
                    <w:spacing w:line="276" w:lineRule="auto"/>
                    <w:jc w:val="center"/>
                    <w:rPr>
                      <w:color w:val="auto"/>
                      <w:szCs w:val="21"/>
                    </w:rPr>
                  </w:pPr>
                  <w:r>
                    <w:rPr>
                      <w:color w:val="auto"/>
                      <w:szCs w:val="21"/>
                    </w:rPr>
                    <w:t>2011年10月通过原淮南市环境保护局验收</w:t>
                  </w:r>
                </w:p>
              </w:tc>
              <w:tc>
                <w:tcPr>
                  <w:tcW w:w="1173" w:type="dxa"/>
                  <w:vMerge w:val="restart"/>
                  <w:vAlign w:val="center"/>
                </w:tcPr>
                <w:p w14:paraId="2F911FE5">
                  <w:pPr>
                    <w:spacing w:line="276" w:lineRule="auto"/>
                    <w:jc w:val="center"/>
                    <w:rPr>
                      <w:color w:val="auto"/>
                      <w:szCs w:val="21"/>
                    </w:rPr>
                  </w:pPr>
                  <w:r>
                    <w:rPr>
                      <w:color w:val="auto"/>
                      <w:szCs w:val="21"/>
                    </w:rPr>
                    <w:t>2023年3月完成应急预案备案，备案号为340403-2023-005-H</w:t>
                  </w:r>
                </w:p>
              </w:tc>
              <w:tc>
                <w:tcPr>
                  <w:tcW w:w="1388" w:type="dxa"/>
                  <w:vMerge w:val="restart"/>
                  <w:vAlign w:val="center"/>
                </w:tcPr>
                <w:p w14:paraId="0072445D">
                  <w:pPr>
                    <w:spacing w:line="276" w:lineRule="auto"/>
                    <w:jc w:val="center"/>
                    <w:rPr>
                      <w:color w:val="auto"/>
                      <w:szCs w:val="21"/>
                    </w:rPr>
                  </w:pPr>
                  <w:r>
                    <w:rPr>
                      <w:color w:val="auto"/>
                      <w:szCs w:val="21"/>
                    </w:rPr>
                    <w:t>2020年7月申领排污许可证，登记编号为913404007316866910001U，由于项目变动，分别于</w:t>
                  </w:r>
                  <w:r>
                    <w:rPr>
                      <w:rFonts w:hint="eastAsia"/>
                      <w:color w:val="auto"/>
                      <w:szCs w:val="21"/>
                    </w:rPr>
                    <w:t>2021年8月、2023年9月、2024年9月变更了排污许可</w:t>
                  </w:r>
                </w:p>
              </w:tc>
            </w:tr>
            <w:tr w14:paraId="6AA148D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365" w:type="dxa"/>
                  <w:vAlign w:val="center"/>
                </w:tcPr>
                <w:p w14:paraId="42CC4083">
                  <w:pPr>
                    <w:spacing w:line="276" w:lineRule="auto"/>
                    <w:jc w:val="center"/>
                    <w:rPr>
                      <w:color w:val="auto"/>
                      <w:szCs w:val="21"/>
                    </w:rPr>
                  </w:pPr>
                  <w:r>
                    <w:rPr>
                      <w:color w:val="auto"/>
                      <w:szCs w:val="21"/>
                    </w:rPr>
                    <w:t>节能型日用玻璃自动生产线改建项目</w:t>
                  </w:r>
                </w:p>
              </w:tc>
              <w:tc>
                <w:tcPr>
                  <w:tcW w:w="992" w:type="dxa"/>
                  <w:vAlign w:val="center"/>
                </w:tcPr>
                <w:p w14:paraId="0BF45F51">
                  <w:pPr>
                    <w:spacing w:line="276" w:lineRule="auto"/>
                    <w:jc w:val="center"/>
                    <w:rPr>
                      <w:color w:val="auto"/>
                      <w:szCs w:val="21"/>
                    </w:rPr>
                  </w:pPr>
                  <w:r>
                    <w:rPr>
                      <w:color w:val="auto"/>
                      <w:szCs w:val="21"/>
                    </w:rPr>
                    <w:t>/</w:t>
                  </w:r>
                </w:p>
              </w:tc>
              <w:tc>
                <w:tcPr>
                  <w:tcW w:w="1134" w:type="dxa"/>
                  <w:vAlign w:val="center"/>
                </w:tcPr>
                <w:p w14:paraId="20623099">
                  <w:pPr>
                    <w:spacing w:line="276" w:lineRule="auto"/>
                    <w:jc w:val="center"/>
                    <w:rPr>
                      <w:color w:val="auto"/>
                      <w:szCs w:val="21"/>
                    </w:rPr>
                  </w:pPr>
                  <w:r>
                    <w:rPr>
                      <w:color w:val="auto"/>
                      <w:szCs w:val="21"/>
                    </w:rPr>
                    <w:t>淮环表批[2012]92号</w:t>
                  </w:r>
                </w:p>
              </w:tc>
              <w:tc>
                <w:tcPr>
                  <w:tcW w:w="2127" w:type="dxa"/>
                  <w:vAlign w:val="center"/>
                </w:tcPr>
                <w:p w14:paraId="36B98163">
                  <w:pPr>
                    <w:spacing w:line="276" w:lineRule="auto"/>
                    <w:jc w:val="center"/>
                    <w:rPr>
                      <w:color w:val="auto"/>
                      <w:szCs w:val="21"/>
                    </w:rPr>
                  </w:pPr>
                  <w:r>
                    <w:rPr>
                      <w:color w:val="auto"/>
                      <w:szCs w:val="21"/>
                    </w:rPr>
                    <w:t>2018年11月节能型日用玻璃生产线改建项目（一期工程）完成自主验收，二期工程还未投产建设</w:t>
                  </w:r>
                </w:p>
              </w:tc>
              <w:tc>
                <w:tcPr>
                  <w:tcW w:w="1173" w:type="dxa"/>
                  <w:vMerge w:val="continue"/>
                  <w:vAlign w:val="center"/>
                </w:tcPr>
                <w:p w14:paraId="12E022FE">
                  <w:pPr>
                    <w:spacing w:line="276" w:lineRule="auto"/>
                    <w:jc w:val="center"/>
                    <w:rPr>
                      <w:color w:val="auto"/>
                      <w:szCs w:val="21"/>
                    </w:rPr>
                  </w:pPr>
                </w:p>
              </w:tc>
              <w:tc>
                <w:tcPr>
                  <w:tcW w:w="1388" w:type="dxa"/>
                  <w:vMerge w:val="continue"/>
                  <w:vAlign w:val="center"/>
                </w:tcPr>
                <w:p w14:paraId="1451530C">
                  <w:pPr>
                    <w:spacing w:line="276" w:lineRule="auto"/>
                    <w:jc w:val="center"/>
                    <w:rPr>
                      <w:color w:val="auto"/>
                      <w:szCs w:val="21"/>
                    </w:rPr>
                  </w:pPr>
                </w:p>
              </w:tc>
            </w:tr>
            <w:tr w14:paraId="0856D2B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365" w:type="dxa"/>
                  <w:vAlign w:val="center"/>
                </w:tcPr>
                <w:p w14:paraId="52FB5260">
                  <w:pPr>
                    <w:spacing w:line="276" w:lineRule="auto"/>
                    <w:jc w:val="center"/>
                    <w:rPr>
                      <w:color w:val="auto"/>
                      <w:szCs w:val="21"/>
                    </w:rPr>
                  </w:pPr>
                  <w:r>
                    <w:rPr>
                      <w:color w:val="auto"/>
                      <w:szCs w:val="21"/>
                    </w:rPr>
                    <w:t>燃煤式玻璃窑炉发生炉煤气系统变更为天然气系统</w:t>
                  </w:r>
                </w:p>
              </w:tc>
              <w:tc>
                <w:tcPr>
                  <w:tcW w:w="992" w:type="dxa"/>
                  <w:vAlign w:val="center"/>
                </w:tcPr>
                <w:p w14:paraId="4EFA84F7">
                  <w:pPr>
                    <w:spacing w:line="276" w:lineRule="auto"/>
                    <w:jc w:val="center"/>
                    <w:rPr>
                      <w:color w:val="auto"/>
                      <w:szCs w:val="21"/>
                    </w:rPr>
                  </w:pPr>
                  <w:r>
                    <w:rPr>
                      <w:color w:val="auto"/>
                      <w:szCs w:val="21"/>
                    </w:rPr>
                    <w:t>/</w:t>
                  </w:r>
                </w:p>
              </w:tc>
              <w:tc>
                <w:tcPr>
                  <w:tcW w:w="1134" w:type="dxa"/>
                  <w:vAlign w:val="center"/>
                </w:tcPr>
                <w:p w14:paraId="023CF59E">
                  <w:pPr>
                    <w:spacing w:line="276" w:lineRule="auto"/>
                    <w:jc w:val="center"/>
                    <w:rPr>
                      <w:color w:val="auto"/>
                      <w:szCs w:val="21"/>
                    </w:rPr>
                  </w:pPr>
                  <w:r>
                    <w:rPr>
                      <w:color w:val="auto"/>
                      <w:szCs w:val="21"/>
                    </w:rPr>
                    <w:t>淮环函[2018]55号</w:t>
                  </w:r>
                </w:p>
              </w:tc>
              <w:tc>
                <w:tcPr>
                  <w:tcW w:w="2127" w:type="dxa"/>
                  <w:vAlign w:val="center"/>
                </w:tcPr>
                <w:p w14:paraId="6151926C">
                  <w:pPr>
                    <w:spacing w:line="276" w:lineRule="auto"/>
                    <w:jc w:val="center"/>
                    <w:rPr>
                      <w:color w:val="auto"/>
                      <w:szCs w:val="21"/>
                    </w:rPr>
                  </w:pPr>
                  <w:r>
                    <w:rPr>
                      <w:color w:val="auto"/>
                      <w:szCs w:val="21"/>
                    </w:rPr>
                    <w:t>2019年</w:t>
                  </w:r>
                  <w:r>
                    <w:rPr>
                      <w:rFonts w:hint="eastAsia"/>
                      <w:color w:val="auto"/>
                      <w:szCs w:val="21"/>
                    </w:rPr>
                    <w:t>2</w:t>
                  </w:r>
                  <w:r>
                    <w:rPr>
                      <w:color w:val="auto"/>
                      <w:szCs w:val="21"/>
                    </w:rPr>
                    <w:t>月完成</w:t>
                  </w:r>
                  <w:r>
                    <w:rPr>
                      <w:rFonts w:ascii="宋体" w:hAnsi="宋体"/>
                      <w:color w:val="auto"/>
                      <w:szCs w:val="21"/>
                    </w:rPr>
                    <w:t>“深澄清玻璃窑炉综合节能技术改造项目（煤气发生炉系统变更）”</w:t>
                  </w:r>
                  <w:r>
                    <w:rPr>
                      <w:color w:val="auto"/>
                      <w:szCs w:val="21"/>
                    </w:rPr>
                    <w:t>自主验收</w:t>
                  </w:r>
                </w:p>
              </w:tc>
              <w:tc>
                <w:tcPr>
                  <w:tcW w:w="1173" w:type="dxa"/>
                  <w:vMerge w:val="continue"/>
                  <w:vAlign w:val="center"/>
                </w:tcPr>
                <w:p w14:paraId="653D6942">
                  <w:pPr>
                    <w:spacing w:line="276" w:lineRule="auto"/>
                    <w:jc w:val="center"/>
                    <w:rPr>
                      <w:color w:val="auto"/>
                      <w:szCs w:val="21"/>
                    </w:rPr>
                  </w:pPr>
                </w:p>
              </w:tc>
              <w:tc>
                <w:tcPr>
                  <w:tcW w:w="1388" w:type="dxa"/>
                  <w:vMerge w:val="continue"/>
                  <w:vAlign w:val="center"/>
                </w:tcPr>
                <w:p w14:paraId="707F017E">
                  <w:pPr>
                    <w:spacing w:line="276" w:lineRule="auto"/>
                    <w:jc w:val="center"/>
                    <w:rPr>
                      <w:color w:val="auto"/>
                      <w:szCs w:val="21"/>
                    </w:rPr>
                  </w:pPr>
                </w:p>
              </w:tc>
            </w:tr>
            <w:tr w14:paraId="6F3929C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365" w:type="dxa"/>
                  <w:vAlign w:val="center"/>
                </w:tcPr>
                <w:p w14:paraId="0A451B20">
                  <w:pPr>
                    <w:spacing w:line="276" w:lineRule="auto"/>
                    <w:jc w:val="center"/>
                    <w:rPr>
                      <w:color w:val="auto"/>
                      <w:szCs w:val="21"/>
                    </w:rPr>
                  </w:pPr>
                  <w:r>
                    <w:rPr>
                      <w:color w:val="auto"/>
                      <w:szCs w:val="21"/>
                    </w:rPr>
                    <w:t>高硼硅玻璃制品生产线改造项目</w:t>
                  </w:r>
                </w:p>
              </w:tc>
              <w:tc>
                <w:tcPr>
                  <w:tcW w:w="992" w:type="dxa"/>
                  <w:vAlign w:val="center"/>
                </w:tcPr>
                <w:p w14:paraId="68AAD61E">
                  <w:pPr>
                    <w:spacing w:line="276" w:lineRule="auto"/>
                    <w:jc w:val="center"/>
                    <w:rPr>
                      <w:color w:val="auto"/>
                      <w:szCs w:val="21"/>
                    </w:rPr>
                  </w:pPr>
                  <w:r>
                    <w:rPr>
                      <w:color w:val="auto"/>
                      <w:szCs w:val="21"/>
                    </w:rPr>
                    <w:t>田经信[2017]9号</w:t>
                  </w:r>
                </w:p>
              </w:tc>
              <w:tc>
                <w:tcPr>
                  <w:tcW w:w="1134" w:type="dxa"/>
                  <w:vAlign w:val="center"/>
                </w:tcPr>
                <w:p w14:paraId="6D2C75F2">
                  <w:pPr>
                    <w:spacing w:line="276" w:lineRule="auto"/>
                    <w:jc w:val="center"/>
                    <w:rPr>
                      <w:color w:val="auto"/>
                      <w:szCs w:val="21"/>
                    </w:rPr>
                  </w:pPr>
                  <w:r>
                    <w:rPr>
                      <w:color w:val="auto"/>
                      <w:szCs w:val="21"/>
                    </w:rPr>
                    <w:t>淮环审复[2018]63号</w:t>
                  </w:r>
                </w:p>
              </w:tc>
              <w:tc>
                <w:tcPr>
                  <w:tcW w:w="2127" w:type="dxa"/>
                  <w:vAlign w:val="center"/>
                </w:tcPr>
                <w:p w14:paraId="5121091D">
                  <w:pPr>
                    <w:spacing w:line="276" w:lineRule="auto"/>
                    <w:jc w:val="center"/>
                    <w:rPr>
                      <w:color w:val="auto"/>
                      <w:szCs w:val="21"/>
                    </w:rPr>
                  </w:pPr>
                  <w:r>
                    <w:rPr>
                      <w:color w:val="auto"/>
                      <w:szCs w:val="21"/>
                    </w:rPr>
                    <w:t>2019年3月，4#玻璃窑炉由燃煤式改造成2座全电熔炉，完成自主验收</w:t>
                  </w:r>
                </w:p>
              </w:tc>
              <w:tc>
                <w:tcPr>
                  <w:tcW w:w="1173" w:type="dxa"/>
                  <w:vMerge w:val="continue"/>
                  <w:vAlign w:val="center"/>
                </w:tcPr>
                <w:p w14:paraId="66672422">
                  <w:pPr>
                    <w:spacing w:line="276" w:lineRule="auto"/>
                    <w:jc w:val="center"/>
                    <w:rPr>
                      <w:color w:val="auto"/>
                      <w:szCs w:val="21"/>
                    </w:rPr>
                  </w:pPr>
                </w:p>
              </w:tc>
              <w:tc>
                <w:tcPr>
                  <w:tcW w:w="1388" w:type="dxa"/>
                  <w:vMerge w:val="continue"/>
                  <w:vAlign w:val="center"/>
                </w:tcPr>
                <w:p w14:paraId="7B28A387">
                  <w:pPr>
                    <w:spacing w:line="276" w:lineRule="auto"/>
                    <w:jc w:val="center"/>
                    <w:rPr>
                      <w:color w:val="auto"/>
                      <w:szCs w:val="21"/>
                    </w:rPr>
                  </w:pPr>
                </w:p>
              </w:tc>
            </w:tr>
            <w:tr w14:paraId="1C4E1F1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365" w:type="dxa"/>
                  <w:vAlign w:val="center"/>
                </w:tcPr>
                <w:p w14:paraId="5042BA3B">
                  <w:pPr>
                    <w:spacing w:line="276" w:lineRule="auto"/>
                    <w:jc w:val="center"/>
                    <w:rPr>
                      <w:color w:val="auto"/>
                      <w:szCs w:val="21"/>
                    </w:rPr>
                  </w:pPr>
                  <w:r>
                    <w:rPr>
                      <w:color w:val="auto"/>
                      <w:szCs w:val="21"/>
                    </w:rPr>
                    <w:t>利用天然气替代发生炉煤气改造项目</w:t>
                  </w:r>
                </w:p>
              </w:tc>
              <w:tc>
                <w:tcPr>
                  <w:tcW w:w="992" w:type="dxa"/>
                  <w:vAlign w:val="center"/>
                </w:tcPr>
                <w:p w14:paraId="60B0D065">
                  <w:pPr>
                    <w:spacing w:line="276" w:lineRule="auto"/>
                    <w:jc w:val="center"/>
                    <w:rPr>
                      <w:color w:val="auto"/>
                      <w:szCs w:val="21"/>
                    </w:rPr>
                  </w:pPr>
                  <w:r>
                    <w:rPr>
                      <w:color w:val="auto"/>
                      <w:szCs w:val="21"/>
                    </w:rPr>
                    <w:t>/</w:t>
                  </w:r>
                </w:p>
              </w:tc>
              <w:tc>
                <w:tcPr>
                  <w:tcW w:w="1134" w:type="dxa"/>
                  <w:vAlign w:val="center"/>
                </w:tcPr>
                <w:p w14:paraId="2153AB40">
                  <w:pPr>
                    <w:spacing w:line="276" w:lineRule="auto"/>
                    <w:jc w:val="center"/>
                    <w:rPr>
                      <w:color w:val="auto"/>
                      <w:szCs w:val="21"/>
                    </w:rPr>
                  </w:pPr>
                  <w:r>
                    <w:rPr>
                      <w:color w:val="auto"/>
                      <w:szCs w:val="21"/>
                    </w:rPr>
                    <w:t>淮环审复[2019]51号</w:t>
                  </w:r>
                </w:p>
              </w:tc>
              <w:tc>
                <w:tcPr>
                  <w:tcW w:w="2127" w:type="dxa"/>
                  <w:vAlign w:val="center"/>
                </w:tcPr>
                <w:p w14:paraId="02468560">
                  <w:pPr>
                    <w:spacing w:line="276" w:lineRule="auto"/>
                    <w:jc w:val="center"/>
                    <w:rPr>
                      <w:color w:val="auto"/>
                      <w:szCs w:val="21"/>
                    </w:rPr>
                  </w:pPr>
                  <w:r>
                    <w:rPr>
                      <w:color w:val="auto"/>
                      <w:szCs w:val="21"/>
                    </w:rPr>
                    <w:t>2020</w:t>
                  </w:r>
                  <w:r>
                    <w:rPr>
                      <w:rFonts w:hint="eastAsia"/>
                      <w:color w:val="auto"/>
                      <w:szCs w:val="21"/>
                    </w:rPr>
                    <w:t>年</w:t>
                  </w:r>
                  <w:r>
                    <w:rPr>
                      <w:color w:val="auto"/>
                      <w:szCs w:val="21"/>
                    </w:rPr>
                    <w:t>9月利用天然气替代发生炉煤气改造项目（</w:t>
                  </w:r>
                  <w:r>
                    <w:rPr>
                      <w:rFonts w:ascii="宋体" w:hAnsi="宋体"/>
                      <w:color w:val="auto"/>
                      <w:szCs w:val="21"/>
                    </w:rPr>
                    <w:t>原“节能型日用玻璃自动生产线改建项目”</w:t>
                  </w:r>
                  <w:r>
                    <w:rPr>
                      <w:color w:val="auto"/>
                      <w:szCs w:val="21"/>
                    </w:rPr>
                    <w:t>二期工程）完成自主验收</w:t>
                  </w:r>
                </w:p>
              </w:tc>
              <w:tc>
                <w:tcPr>
                  <w:tcW w:w="1173" w:type="dxa"/>
                  <w:vMerge w:val="continue"/>
                  <w:vAlign w:val="center"/>
                </w:tcPr>
                <w:p w14:paraId="14BFF8D5">
                  <w:pPr>
                    <w:spacing w:line="276" w:lineRule="auto"/>
                    <w:jc w:val="center"/>
                    <w:rPr>
                      <w:color w:val="auto"/>
                      <w:szCs w:val="21"/>
                    </w:rPr>
                  </w:pPr>
                </w:p>
              </w:tc>
              <w:tc>
                <w:tcPr>
                  <w:tcW w:w="1388" w:type="dxa"/>
                  <w:vMerge w:val="continue"/>
                  <w:vAlign w:val="center"/>
                </w:tcPr>
                <w:p w14:paraId="43665971">
                  <w:pPr>
                    <w:spacing w:line="276" w:lineRule="auto"/>
                    <w:jc w:val="center"/>
                    <w:rPr>
                      <w:color w:val="auto"/>
                      <w:szCs w:val="21"/>
                    </w:rPr>
                  </w:pPr>
                </w:p>
              </w:tc>
            </w:tr>
            <w:tr w14:paraId="69DAC41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365" w:type="dxa"/>
                  <w:vAlign w:val="center"/>
                </w:tcPr>
                <w:p w14:paraId="6925DC27">
                  <w:pPr>
                    <w:spacing w:line="276" w:lineRule="auto"/>
                    <w:jc w:val="center"/>
                    <w:rPr>
                      <w:color w:val="auto"/>
                      <w:szCs w:val="21"/>
                    </w:rPr>
                  </w:pPr>
                  <w:r>
                    <w:rPr>
                      <w:rFonts w:hint="eastAsia"/>
                      <w:color w:val="auto"/>
                      <w:kern w:val="0"/>
                      <w:szCs w:val="21"/>
                    </w:rPr>
                    <w:t>安徽发强玻璃有限责任公司纸箱生产线项目</w:t>
                  </w:r>
                </w:p>
              </w:tc>
              <w:tc>
                <w:tcPr>
                  <w:tcW w:w="992" w:type="dxa"/>
                  <w:vAlign w:val="center"/>
                </w:tcPr>
                <w:p w14:paraId="3DA15808">
                  <w:pPr>
                    <w:spacing w:line="276" w:lineRule="auto"/>
                    <w:jc w:val="center"/>
                    <w:rPr>
                      <w:color w:val="auto"/>
                      <w:szCs w:val="21"/>
                    </w:rPr>
                  </w:pPr>
                  <w:r>
                    <w:rPr>
                      <w:rFonts w:hint="eastAsia"/>
                      <w:color w:val="auto"/>
                      <w:kern w:val="0"/>
                      <w:szCs w:val="21"/>
                    </w:rPr>
                    <w:t>登记表备案号：202034040300000478</w:t>
                  </w:r>
                </w:p>
              </w:tc>
              <w:tc>
                <w:tcPr>
                  <w:tcW w:w="1134" w:type="dxa"/>
                  <w:vAlign w:val="center"/>
                </w:tcPr>
                <w:p w14:paraId="6E0E1CF3">
                  <w:pPr>
                    <w:spacing w:line="276" w:lineRule="auto"/>
                    <w:jc w:val="center"/>
                    <w:rPr>
                      <w:color w:val="auto"/>
                      <w:szCs w:val="21"/>
                    </w:rPr>
                  </w:pPr>
                  <w:r>
                    <w:rPr>
                      <w:rFonts w:hint="eastAsia"/>
                      <w:color w:val="auto"/>
                      <w:szCs w:val="21"/>
                    </w:rPr>
                    <w:t>/</w:t>
                  </w:r>
                </w:p>
              </w:tc>
              <w:tc>
                <w:tcPr>
                  <w:tcW w:w="2127" w:type="dxa"/>
                  <w:vAlign w:val="center"/>
                </w:tcPr>
                <w:p w14:paraId="1455566E">
                  <w:pPr>
                    <w:spacing w:line="276" w:lineRule="auto"/>
                    <w:jc w:val="center"/>
                    <w:rPr>
                      <w:color w:val="auto"/>
                      <w:szCs w:val="21"/>
                    </w:rPr>
                  </w:pPr>
                  <w:r>
                    <w:rPr>
                      <w:color w:val="auto"/>
                      <w:szCs w:val="21"/>
                    </w:rPr>
                    <w:t>已建设完成</w:t>
                  </w:r>
                </w:p>
              </w:tc>
              <w:tc>
                <w:tcPr>
                  <w:tcW w:w="1173" w:type="dxa"/>
                  <w:vMerge w:val="continue"/>
                  <w:vAlign w:val="center"/>
                </w:tcPr>
                <w:p w14:paraId="66E629FB">
                  <w:pPr>
                    <w:spacing w:line="276" w:lineRule="auto"/>
                    <w:jc w:val="center"/>
                    <w:rPr>
                      <w:color w:val="auto"/>
                      <w:szCs w:val="21"/>
                    </w:rPr>
                  </w:pPr>
                </w:p>
              </w:tc>
              <w:tc>
                <w:tcPr>
                  <w:tcW w:w="1388" w:type="dxa"/>
                  <w:vMerge w:val="continue"/>
                  <w:vAlign w:val="center"/>
                </w:tcPr>
                <w:p w14:paraId="6EC37AFD">
                  <w:pPr>
                    <w:spacing w:line="276" w:lineRule="auto"/>
                    <w:jc w:val="center"/>
                    <w:rPr>
                      <w:color w:val="auto"/>
                      <w:szCs w:val="21"/>
                    </w:rPr>
                  </w:pPr>
                </w:p>
              </w:tc>
            </w:tr>
            <w:tr w14:paraId="1E77508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365" w:type="dxa"/>
                  <w:vAlign w:val="center"/>
                </w:tcPr>
                <w:p w14:paraId="790FA169">
                  <w:pPr>
                    <w:spacing w:line="276" w:lineRule="auto"/>
                    <w:jc w:val="center"/>
                    <w:rPr>
                      <w:color w:val="auto"/>
                      <w:szCs w:val="21"/>
                    </w:rPr>
                  </w:pPr>
                  <w:r>
                    <w:rPr>
                      <w:color w:val="auto"/>
                      <w:szCs w:val="21"/>
                    </w:rPr>
                    <w:t>日用玻璃制品深加工生产线建设项目</w:t>
                  </w:r>
                </w:p>
              </w:tc>
              <w:tc>
                <w:tcPr>
                  <w:tcW w:w="992" w:type="dxa"/>
                  <w:vAlign w:val="center"/>
                </w:tcPr>
                <w:p w14:paraId="05A6819D">
                  <w:pPr>
                    <w:spacing w:line="276" w:lineRule="auto"/>
                    <w:jc w:val="center"/>
                    <w:rPr>
                      <w:color w:val="auto"/>
                      <w:szCs w:val="21"/>
                    </w:rPr>
                  </w:pPr>
                  <w:r>
                    <w:rPr>
                      <w:color w:val="auto"/>
                      <w:szCs w:val="21"/>
                    </w:rPr>
                    <w:t>/</w:t>
                  </w:r>
                </w:p>
              </w:tc>
              <w:tc>
                <w:tcPr>
                  <w:tcW w:w="1134" w:type="dxa"/>
                  <w:vAlign w:val="center"/>
                </w:tcPr>
                <w:p w14:paraId="1D45FF1E">
                  <w:pPr>
                    <w:spacing w:line="276" w:lineRule="auto"/>
                    <w:jc w:val="center"/>
                    <w:rPr>
                      <w:color w:val="auto"/>
                      <w:szCs w:val="21"/>
                    </w:rPr>
                  </w:pPr>
                  <w:r>
                    <w:rPr>
                      <w:color w:val="auto"/>
                      <w:szCs w:val="21"/>
                    </w:rPr>
                    <w:t>田环复[2021]6号</w:t>
                  </w:r>
                </w:p>
              </w:tc>
              <w:tc>
                <w:tcPr>
                  <w:tcW w:w="2127" w:type="dxa"/>
                  <w:vAlign w:val="center"/>
                </w:tcPr>
                <w:p w14:paraId="73FE7299">
                  <w:pPr>
                    <w:spacing w:line="276" w:lineRule="auto"/>
                    <w:jc w:val="center"/>
                    <w:rPr>
                      <w:color w:val="auto"/>
                      <w:szCs w:val="21"/>
                    </w:rPr>
                  </w:pPr>
                  <w:r>
                    <w:rPr>
                      <w:rFonts w:hint="eastAsia"/>
                      <w:color w:val="auto"/>
                      <w:szCs w:val="21"/>
                    </w:rPr>
                    <w:t>2023年10月完成阶段性自主验收</w:t>
                  </w:r>
                </w:p>
              </w:tc>
              <w:tc>
                <w:tcPr>
                  <w:tcW w:w="1173" w:type="dxa"/>
                  <w:vMerge w:val="continue"/>
                  <w:vAlign w:val="center"/>
                </w:tcPr>
                <w:p w14:paraId="69BF0681">
                  <w:pPr>
                    <w:spacing w:line="276" w:lineRule="auto"/>
                    <w:jc w:val="center"/>
                    <w:rPr>
                      <w:color w:val="auto"/>
                      <w:szCs w:val="21"/>
                    </w:rPr>
                  </w:pPr>
                </w:p>
              </w:tc>
              <w:tc>
                <w:tcPr>
                  <w:tcW w:w="1388" w:type="dxa"/>
                  <w:vMerge w:val="continue"/>
                  <w:vAlign w:val="center"/>
                </w:tcPr>
                <w:p w14:paraId="06A99DCA">
                  <w:pPr>
                    <w:spacing w:line="276" w:lineRule="auto"/>
                    <w:jc w:val="center"/>
                    <w:rPr>
                      <w:color w:val="auto"/>
                      <w:szCs w:val="21"/>
                    </w:rPr>
                  </w:pPr>
                </w:p>
              </w:tc>
            </w:tr>
            <w:tr w14:paraId="2E36816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jc w:val="center"/>
              </w:trPr>
              <w:tc>
                <w:tcPr>
                  <w:tcW w:w="1365" w:type="dxa"/>
                  <w:vAlign w:val="center"/>
                </w:tcPr>
                <w:p w14:paraId="50D8CE65">
                  <w:pPr>
                    <w:spacing w:line="276" w:lineRule="auto"/>
                    <w:jc w:val="center"/>
                    <w:rPr>
                      <w:color w:val="auto"/>
                      <w:szCs w:val="21"/>
                    </w:rPr>
                  </w:pPr>
                  <w:r>
                    <w:rPr>
                      <w:color w:val="auto"/>
                      <w:szCs w:val="21"/>
                    </w:rPr>
                    <w:t>基础设施提升改造项目</w:t>
                  </w:r>
                </w:p>
              </w:tc>
              <w:tc>
                <w:tcPr>
                  <w:tcW w:w="992" w:type="dxa"/>
                  <w:vAlign w:val="center"/>
                </w:tcPr>
                <w:p w14:paraId="5FCDC71D">
                  <w:pPr>
                    <w:spacing w:line="276" w:lineRule="auto"/>
                    <w:jc w:val="center"/>
                    <w:rPr>
                      <w:color w:val="auto"/>
                      <w:szCs w:val="21"/>
                    </w:rPr>
                  </w:pPr>
                  <w:r>
                    <w:rPr>
                      <w:color w:val="auto"/>
                      <w:szCs w:val="21"/>
                    </w:rPr>
                    <w:t>项目代码2307-340403-04-01-148884</w:t>
                  </w:r>
                </w:p>
              </w:tc>
              <w:tc>
                <w:tcPr>
                  <w:tcW w:w="1134" w:type="dxa"/>
                  <w:vAlign w:val="center"/>
                </w:tcPr>
                <w:p w14:paraId="185B7920">
                  <w:pPr>
                    <w:spacing w:line="276" w:lineRule="auto"/>
                    <w:jc w:val="center"/>
                    <w:rPr>
                      <w:color w:val="auto"/>
                      <w:szCs w:val="21"/>
                    </w:rPr>
                  </w:pPr>
                  <w:r>
                    <w:rPr>
                      <w:color w:val="auto"/>
                      <w:szCs w:val="21"/>
                    </w:rPr>
                    <w:t>田环复[2023]9号</w:t>
                  </w:r>
                </w:p>
              </w:tc>
              <w:tc>
                <w:tcPr>
                  <w:tcW w:w="2127" w:type="dxa"/>
                  <w:vAlign w:val="center"/>
                </w:tcPr>
                <w:p w14:paraId="24999B87">
                  <w:pPr>
                    <w:spacing w:line="276" w:lineRule="auto"/>
                    <w:jc w:val="center"/>
                    <w:rPr>
                      <w:color w:val="auto"/>
                      <w:szCs w:val="21"/>
                    </w:rPr>
                  </w:pPr>
                  <w:r>
                    <w:rPr>
                      <w:rFonts w:hint="eastAsia"/>
                      <w:color w:val="auto"/>
                      <w:szCs w:val="21"/>
                    </w:rPr>
                    <w:t>2024年1月完成阶段性自主验收，已建成1座制氧车间、1座液氧气化站</w:t>
                  </w:r>
                </w:p>
              </w:tc>
              <w:tc>
                <w:tcPr>
                  <w:tcW w:w="1173" w:type="dxa"/>
                  <w:vMerge w:val="continue"/>
                  <w:vAlign w:val="center"/>
                </w:tcPr>
                <w:p w14:paraId="085B9AE9">
                  <w:pPr>
                    <w:spacing w:line="276" w:lineRule="auto"/>
                    <w:jc w:val="center"/>
                    <w:rPr>
                      <w:color w:val="auto"/>
                      <w:szCs w:val="21"/>
                    </w:rPr>
                  </w:pPr>
                </w:p>
              </w:tc>
              <w:tc>
                <w:tcPr>
                  <w:tcW w:w="1388" w:type="dxa"/>
                  <w:vMerge w:val="continue"/>
                  <w:vAlign w:val="center"/>
                </w:tcPr>
                <w:p w14:paraId="0484B353">
                  <w:pPr>
                    <w:spacing w:line="276" w:lineRule="auto"/>
                    <w:jc w:val="center"/>
                    <w:rPr>
                      <w:color w:val="auto"/>
                      <w:szCs w:val="21"/>
                    </w:rPr>
                  </w:pPr>
                </w:p>
              </w:tc>
            </w:tr>
            <w:tr w14:paraId="15159B1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365" w:type="dxa"/>
                  <w:vAlign w:val="center"/>
                </w:tcPr>
                <w:p w14:paraId="3C60BF94">
                  <w:pPr>
                    <w:spacing w:line="276" w:lineRule="auto"/>
                    <w:jc w:val="center"/>
                    <w:rPr>
                      <w:color w:val="auto"/>
                      <w:szCs w:val="21"/>
                    </w:rPr>
                  </w:pPr>
                  <w:r>
                    <w:rPr>
                      <w:rFonts w:hint="eastAsia"/>
                      <w:color w:val="auto"/>
                      <w:kern w:val="0"/>
                      <w:szCs w:val="21"/>
                    </w:rPr>
                    <w:t>玻璃窑炉废气深度治理项目</w:t>
                  </w:r>
                </w:p>
              </w:tc>
              <w:tc>
                <w:tcPr>
                  <w:tcW w:w="992" w:type="dxa"/>
                  <w:vAlign w:val="center"/>
                </w:tcPr>
                <w:p w14:paraId="0979A019">
                  <w:pPr>
                    <w:spacing w:line="276" w:lineRule="auto"/>
                    <w:jc w:val="center"/>
                    <w:rPr>
                      <w:color w:val="auto"/>
                      <w:szCs w:val="21"/>
                    </w:rPr>
                  </w:pPr>
                  <w:r>
                    <w:rPr>
                      <w:color w:val="auto"/>
                      <w:szCs w:val="21"/>
                    </w:rPr>
                    <w:t>登记表备案号：</w:t>
                  </w:r>
                  <w:r>
                    <w:rPr>
                      <w:rFonts w:hint="eastAsia"/>
                      <w:color w:val="auto"/>
                      <w:kern w:val="0"/>
                      <w:szCs w:val="21"/>
                    </w:rPr>
                    <w:t>202434040300000012</w:t>
                  </w:r>
                </w:p>
              </w:tc>
              <w:tc>
                <w:tcPr>
                  <w:tcW w:w="1134" w:type="dxa"/>
                  <w:vAlign w:val="center"/>
                </w:tcPr>
                <w:p w14:paraId="3E0EDA33">
                  <w:pPr>
                    <w:spacing w:line="276" w:lineRule="auto"/>
                    <w:jc w:val="center"/>
                    <w:rPr>
                      <w:color w:val="auto"/>
                      <w:szCs w:val="21"/>
                    </w:rPr>
                  </w:pPr>
                  <w:r>
                    <w:rPr>
                      <w:rFonts w:hint="eastAsia"/>
                      <w:color w:val="auto"/>
                      <w:szCs w:val="21"/>
                    </w:rPr>
                    <w:t>/</w:t>
                  </w:r>
                </w:p>
              </w:tc>
              <w:tc>
                <w:tcPr>
                  <w:tcW w:w="2127" w:type="dxa"/>
                  <w:vAlign w:val="center"/>
                </w:tcPr>
                <w:p w14:paraId="324380AE">
                  <w:pPr>
                    <w:spacing w:line="276" w:lineRule="auto"/>
                    <w:jc w:val="center"/>
                    <w:rPr>
                      <w:color w:val="auto"/>
                      <w:szCs w:val="21"/>
                    </w:rPr>
                  </w:pPr>
                  <w:r>
                    <w:rPr>
                      <w:rFonts w:hint="eastAsia"/>
                      <w:color w:val="auto"/>
                      <w:szCs w:val="21"/>
                    </w:rPr>
                    <w:t>2#玻璃窑炉、3#玻璃窑炉废气治理设施均</w:t>
                  </w:r>
                  <w:r>
                    <w:rPr>
                      <w:color w:val="auto"/>
                      <w:szCs w:val="21"/>
                    </w:rPr>
                    <w:t>已完成改造</w:t>
                  </w:r>
                </w:p>
              </w:tc>
              <w:tc>
                <w:tcPr>
                  <w:tcW w:w="1173" w:type="dxa"/>
                  <w:vMerge w:val="continue"/>
                  <w:vAlign w:val="center"/>
                </w:tcPr>
                <w:p w14:paraId="331D60F3">
                  <w:pPr>
                    <w:spacing w:line="276" w:lineRule="auto"/>
                    <w:jc w:val="center"/>
                    <w:rPr>
                      <w:color w:val="auto"/>
                      <w:szCs w:val="21"/>
                    </w:rPr>
                  </w:pPr>
                </w:p>
              </w:tc>
              <w:tc>
                <w:tcPr>
                  <w:tcW w:w="1388" w:type="dxa"/>
                  <w:vMerge w:val="continue"/>
                  <w:vAlign w:val="center"/>
                </w:tcPr>
                <w:p w14:paraId="5F359BA5">
                  <w:pPr>
                    <w:spacing w:line="276" w:lineRule="auto"/>
                    <w:jc w:val="center"/>
                    <w:rPr>
                      <w:color w:val="auto"/>
                      <w:szCs w:val="21"/>
                    </w:rPr>
                  </w:pPr>
                </w:p>
              </w:tc>
            </w:tr>
          </w:tbl>
          <w:p w14:paraId="4FD0221A">
            <w:pPr>
              <w:pStyle w:val="16"/>
              <w:spacing w:after="0" w:line="480" w:lineRule="exact"/>
              <w:ind w:left="0" w:leftChars="0" w:firstLine="482" w:firstLineChars="200"/>
              <w:rPr>
                <w:b/>
                <w:color w:val="auto"/>
                <w:sz w:val="24"/>
              </w:rPr>
            </w:pPr>
            <w:r>
              <w:rPr>
                <w:rFonts w:hint="eastAsia"/>
                <w:b/>
                <w:color w:val="auto"/>
                <w:sz w:val="24"/>
              </w:rPr>
              <w:t>2、现有项目污染物排放情况</w:t>
            </w:r>
          </w:p>
          <w:p w14:paraId="6575D146">
            <w:pPr>
              <w:pStyle w:val="16"/>
              <w:spacing w:after="0" w:line="360" w:lineRule="auto"/>
              <w:ind w:left="0" w:leftChars="0" w:firstLine="480" w:firstLineChars="200"/>
              <w:rPr>
                <w:color w:val="auto"/>
                <w:kern w:val="0"/>
                <w:sz w:val="24"/>
              </w:rPr>
            </w:pPr>
            <w:r>
              <w:rPr>
                <w:rFonts w:hint="eastAsia"/>
                <w:color w:val="auto"/>
                <w:kern w:val="0"/>
                <w:sz w:val="24"/>
              </w:rPr>
              <w:t>（1）废水</w:t>
            </w:r>
          </w:p>
          <w:p w14:paraId="179A9956">
            <w:pPr>
              <w:pStyle w:val="16"/>
              <w:spacing w:after="0" w:line="360" w:lineRule="auto"/>
              <w:ind w:left="0" w:leftChars="0" w:firstLine="480" w:firstLineChars="200"/>
              <w:rPr>
                <w:color w:val="auto"/>
                <w:kern w:val="0"/>
                <w:sz w:val="24"/>
              </w:rPr>
            </w:pPr>
            <w:r>
              <w:rPr>
                <w:rFonts w:hint="eastAsia"/>
                <w:color w:val="auto"/>
                <w:kern w:val="0"/>
                <w:sz w:val="24"/>
              </w:rPr>
              <w:t>现有项目废水主要为生产冷却水、生活污水、循环水池置换水，产生的废水均由厂区已建100m</w:t>
            </w:r>
            <w:r>
              <w:rPr>
                <w:rFonts w:hint="eastAsia"/>
                <w:color w:val="auto"/>
                <w:kern w:val="0"/>
                <w:sz w:val="24"/>
                <w:vertAlign w:val="superscript"/>
              </w:rPr>
              <w:t>3</w:t>
            </w:r>
            <w:r>
              <w:rPr>
                <w:rFonts w:hint="eastAsia"/>
                <w:color w:val="auto"/>
                <w:kern w:val="0"/>
                <w:sz w:val="24"/>
              </w:rPr>
              <w:t>/d污水处理站处理后全部回用于玻璃生产线，不外排。</w:t>
            </w:r>
          </w:p>
          <w:p w14:paraId="0AAC69BF">
            <w:pPr>
              <w:pStyle w:val="16"/>
              <w:spacing w:after="0" w:line="360" w:lineRule="auto"/>
              <w:ind w:left="0" w:leftChars="0" w:firstLine="480" w:firstLineChars="200"/>
              <w:rPr>
                <w:color w:val="auto"/>
                <w:kern w:val="0"/>
                <w:sz w:val="24"/>
              </w:rPr>
            </w:pPr>
            <w:r>
              <w:rPr>
                <w:rFonts w:hint="eastAsia"/>
                <w:color w:val="auto"/>
                <w:kern w:val="0"/>
                <w:sz w:val="24"/>
              </w:rPr>
              <w:t>污水处理站处理工艺为“隔油-调节-气浮-压力滤器-生物碳罐”，现处于正常运行状态。</w:t>
            </w:r>
          </w:p>
          <w:p w14:paraId="1703028B">
            <w:pPr>
              <w:pStyle w:val="16"/>
              <w:spacing w:after="0" w:line="360" w:lineRule="auto"/>
              <w:ind w:left="0" w:leftChars="0" w:firstLine="480" w:firstLineChars="200"/>
              <w:rPr>
                <w:color w:val="auto"/>
                <w:kern w:val="0"/>
                <w:sz w:val="24"/>
              </w:rPr>
            </w:pPr>
            <w:r>
              <w:rPr>
                <w:rFonts w:hint="eastAsia"/>
                <w:color w:val="auto"/>
                <w:kern w:val="0"/>
                <w:sz w:val="24"/>
              </w:rPr>
              <w:t>现有项目水平衡图如下：</w:t>
            </w:r>
          </w:p>
          <w:p w14:paraId="6B3E9AE0">
            <w:pPr>
              <w:pStyle w:val="16"/>
              <w:spacing w:after="0" w:line="360" w:lineRule="auto"/>
              <w:ind w:left="0" w:leftChars="0" w:firstLine="480" w:firstLineChars="200"/>
              <w:rPr>
                <w:color w:val="auto"/>
                <w:kern w:val="0"/>
                <w:sz w:val="24"/>
              </w:rPr>
            </w:pPr>
          </w:p>
          <w:p w14:paraId="005E4681">
            <w:pPr>
              <w:pStyle w:val="16"/>
              <w:spacing w:after="0" w:line="360" w:lineRule="auto"/>
              <w:ind w:left="0" w:leftChars="0" w:firstLine="480" w:firstLineChars="200"/>
              <w:rPr>
                <w:color w:val="auto"/>
                <w:kern w:val="0"/>
                <w:sz w:val="24"/>
              </w:rPr>
            </w:pPr>
          </w:p>
          <w:p w14:paraId="1073655F">
            <w:pPr>
              <w:pStyle w:val="16"/>
              <w:spacing w:after="0" w:line="360" w:lineRule="auto"/>
              <w:ind w:left="0" w:leftChars="0" w:firstLine="480" w:firstLineChars="200"/>
              <w:rPr>
                <w:color w:val="auto"/>
                <w:kern w:val="0"/>
                <w:sz w:val="24"/>
              </w:rPr>
            </w:pPr>
          </w:p>
          <w:p w14:paraId="3F123667">
            <w:pPr>
              <w:pStyle w:val="16"/>
              <w:spacing w:after="0" w:line="360" w:lineRule="auto"/>
              <w:ind w:left="0" w:leftChars="0" w:firstLine="480" w:firstLineChars="200"/>
              <w:rPr>
                <w:color w:val="auto"/>
                <w:kern w:val="0"/>
                <w:sz w:val="24"/>
              </w:rPr>
            </w:pPr>
          </w:p>
          <w:p w14:paraId="31EAF551">
            <w:pPr>
              <w:pStyle w:val="16"/>
              <w:spacing w:after="0" w:line="360" w:lineRule="auto"/>
              <w:ind w:left="0" w:leftChars="0" w:firstLine="480" w:firstLineChars="200"/>
              <w:rPr>
                <w:color w:val="auto"/>
                <w:kern w:val="0"/>
                <w:sz w:val="24"/>
              </w:rPr>
            </w:pPr>
          </w:p>
          <w:p w14:paraId="2100A4B8">
            <w:pPr>
              <w:pStyle w:val="16"/>
              <w:spacing w:after="0" w:line="360" w:lineRule="auto"/>
              <w:ind w:left="0" w:leftChars="0" w:firstLine="480" w:firstLineChars="200"/>
              <w:rPr>
                <w:color w:val="auto"/>
                <w:kern w:val="0"/>
                <w:sz w:val="24"/>
              </w:rPr>
            </w:pPr>
          </w:p>
          <w:p w14:paraId="6EF79335">
            <w:pPr>
              <w:pStyle w:val="16"/>
              <w:spacing w:after="0" w:line="360" w:lineRule="auto"/>
              <w:ind w:left="0" w:leftChars="0" w:firstLine="480" w:firstLineChars="200"/>
              <w:rPr>
                <w:color w:val="auto"/>
                <w:kern w:val="0"/>
                <w:sz w:val="24"/>
              </w:rPr>
            </w:pPr>
          </w:p>
          <w:p w14:paraId="24104FE7">
            <w:pPr>
              <w:pStyle w:val="16"/>
              <w:spacing w:after="0" w:line="360" w:lineRule="auto"/>
              <w:ind w:left="0" w:leftChars="0" w:firstLine="480" w:firstLineChars="200"/>
              <w:rPr>
                <w:color w:val="auto"/>
                <w:kern w:val="0"/>
                <w:sz w:val="24"/>
              </w:rPr>
            </w:pPr>
          </w:p>
          <w:p w14:paraId="059F35E4">
            <w:pPr>
              <w:pStyle w:val="16"/>
              <w:spacing w:after="0" w:line="360" w:lineRule="auto"/>
              <w:ind w:left="0" w:leftChars="0" w:firstLine="480" w:firstLineChars="200"/>
              <w:rPr>
                <w:color w:val="auto"/>
                <w:kern w:val="0"/>
                <w:sz w:val="24"/>
              </w:rPr>
            </w:pPr>
          </w:p>
          <w:p w14:paraId="5ACD6355">
            <w:pPr>
              <w:pStyle w:val="16"/>
              <w:spacing w:after="0" w:line="360" w:lineRule="auto"/>
              <w:ind w:left="0" w:leftChars="0"/>
              <w:rPr>
                <w:color w:val="auto"/>
                <w:kern w:val="0"/>
                <w:sz w:val="24"/>
              </w:rPr>
            </w:pPr>
            <w:r>
              <w:rPr>
                <w:bCs/>
                <w:color w:val="auto"/>
              </w:rPr>
              <w:pict>
                <v:group id="_x0000_s23782" o:spid="_x0000_s23782" o:spt="203" style="height:337.65pt;width:413.9pt;" coordorigin="2221,229" coordsize="8278,6753" editas="canvas">
                  <o:lock v:ext="edit"/>
                  <v:shape id="_x0000_s23783" o:spid="_x0000_s23783" o:spt="75" type="#_x0000_t75" style="position:absolute;left:2221;top:229;height:6753;width:8278;" filled="f" o:preferrelative="t" stroked="f" coordsize="21600,21600">
                    <v:path/>
                    <v:fill on="f" focussize="0,0"/>
                    <v:stroke on="f" joinstyle="miter"/>
                    <v:imagedata o:title=""/>
                    <o:lock v:ext="edit" aspectratio="t"/>
                  </v:shape>
                  <v:shape id="Text Box 1934" o:spid="_x0000_s23784" o:spt="202" type="#_x0000_t202" style="position:absolute;left:5097;top:1495;height:462;width:71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">
                    <v:path/>
                    <v:fill on="f" focussize="0,0"/>
                    <v:stroke on="f" joinstyle="miter"/>
                    <v:imagedata o:title=""/>
                    <o:lock v:ext="edit"/>
                    <v:textbox>
                      <w:txbxContent>
                        <w:p w14:paraId="076A81F0">
                          <w:pPr>
                            <w:jc w:val="center"/>
                            <w:rPr>
                              <w:rFonts w:eastAsia="黑体"/>
                              <w:sz w:val="18"/>
                              <w:szCs w:val="18"/>
                            </w:rPr>
                          </w:pPr>
                          <w:r>
                            <w:rPr>
                              <w:rFonts w:hint="eastAsia" w:eastAsia="黑体"/>
                              <w:sz w:val="18"/>
                              <w:szCs w:val="18"/>
                            </w:rPr>
                            <w:t>4.42</w:t>
                          </w:r>
                        </w:p>
                      </w:txbxContent>
                    </v:textbox>
                  </v:shape>
                  <v:shape id="Text Box 1935" o:spid="_x0000_s23785" o:spt="202" type="#_x0000_t202" style="position:absolute;left:3357;top:1993;height:401;width:64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">
                    <v:path/>
                    <v:fill on="f" focussize="0,0"/>
                    <v:stroke on="f" joinstyle="miter"/>
                    <v:imagedata o:title=""/>
                    <o:lock v:ext="edit"/>
                    <v:textbox>
                      <w:txbxContent>
                        <w:p w14:paraId="3678A87F">
                          <w:pPr>
                            <w:jc w:val="center"/>
                            <w:rPr>
                              <w:rFonts w:eastAsia="黑体"/>
                              <w:sz w:val="18"/>
                              <w:szCs w:val="18"/>
                            </w:rPr>
                          </w:pPr>
                          <w:r>
                            <w:rPr>
                              <w:rFonts w:hint="eastAsia" w:eastAsia="黑体"/>
                              <w:sz w:val="18"/>
                              <w:szCs w:val="18"/>
                            </w:rPr>
                            <w:t>22.1</w:t>
                          </w:r>
                        </w:p>
                      </w:txbxContent>
                    </v:textbox>
                  </v:shape>
                  <v:rect id="Rectangle 10607" o:spid="_x0000_s23786" o:spt="1" style="position:absolute;left:4470;top:2130;height:449;width:108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">
                    <v:path/>
                    <v:fill focussize="0,0"/>
                    <v:stroke/>
                    <v:imagedata o:title=""/>
                    <o:lock v:ext="edit"/>
                    <v:textbox>
                      <w:txbxContent>
                        <w:p w14:paraId="5E267748">
                          <w:pPr>
                            <w:rPr>
                              <w:rFonts w:eastAsia="黑体"/>
                            </w:rPr>
                          </w:pPr>
                          <w:r>
                            <w:rPr>
                              <w:rFonts w:hAnsi="黑体" w:eastAsia="黑体"/>
                              <w:sz w:val="18"/>
                              <w:szCs w:val="18"/>
                            </w:rPr>
                            <w:t>生活用水</w:t>
                          </w:r>
                          <w:r>
                            <w:rPr>
                              <w:rFonts w:hint="eastAsia" w:hAnsi="黑体" w:eastAsia="黑体"/>
                              <w:sz w:val="18"/>
                              <w:szCs w:val="18"/>
                            </w:rPr>
                            <w:t>2</w:t>
                          </w:r>
                        </w:p>
                      </w:txbxContent>
                    </v:textbox>
                  </v:rect>
                  <v:shape id="Text Box 10596" o:spid="_x0000_s23787" o:spt="202" type="#_x0000_t202" style="position:absolute;left:2647;top:628;height:717;width:111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">
                    <v:path/>
                    <v:fill on="f" focussize="0,0"/>
                    <v:stroke on="f" joinstyle="miter"/>
                    <v:imagedata o:title=""/>
                    <o:lock v:ext="edit"/>
                    <v:textbox>
                      <w:txbxContent>
                        <w:p w14:paraId="527533EA">
                          <w:pPr>
                            <w:jc w:val="center"/>
                            <w:rPr>
                              <w:rFonts w:eastAsia="黑体"/>
                              <w:sz w:val="18"/>
                              <w:szCs w:val="18"/>
                            </w:rPr>
                          </w:pPr>
                          <w:r>
                            <w:rPr>
                              <w:rFonts w:hAnsi="黑体" w:eastAsia="黑体"/>
                              <w:sz w:val="18"/>
                              <w:szCs w:val="18"/>
                            </w:rPr>
                            <w:t>新鲜水</w:t>
                          </w:r>
                        </w:p>
                        <w:p w14:paraId="5EE8E430">
                          <w:pPr>
                            <w:jc w:val="center"/>
                            <w:rPr>
                              <w:rFonts w:eastAsia="黑体"/>
                              <w:sz w:val="18"/>
                              <w:szCs w:val="18"/>
                            </w:rPr>
                          </w:pPr>
                          <w:r>
                            <w:rPr>
                              <w:rFonts w:hint="eastAsia" w:eastAsia="黑体"/>
                              <w:sz w:val="18"/>
                              <w:szCs w:val="18"/>
                            </w:rPr>
                            <w:t>106.40</w:t>
                          </w:r>
                        </w:p>
                      </w:txbxContent>
                    </v:textbox>
                  </v:shape>
                  <v:shape id="Text Box 1942" o:spid="_x0000_s23788" o:spt="202" type="#_x0000_t202" style="position:absolute;left:3360;top:3210;height:456;width:64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">
                    <v:path/>
                    <v:fill on="f" focussize="0,0"/>
                    <v:stroke on="f" joinstyle="miter"/>
                    <v:imagedata o:title=""/>
                    <o:lock v:ext="edit"/>
                    <v:textbox style="mso-fit-shape-to-text:t;">
                      <w:txbxContent>
                        <w:p w14:paraId="1F70D5C3">
                          <w:pPr>
                            <w:rPr>
                              <w:rFonts w:eastAsia="黑体"/>
                              <w:sz w:val="18"/>
                              <w:szCs w:val="18"/>
                            </w:rPr>
                          </w:pPr>
                          <w:r>
                            <w:rPr>
                              <w:rFonts w:hint="eastAsia" w:eastAsia="黑体"/>
                              <w:sz w:val="18"/>
                              <w:szCs w:val="18"/>
                            </w:rPr>
                            <w:t>24.9</w:t>
                          </w:r>
                        </w:p>
                      </w:txbxContent>
                    </v:textbox>
                  </v:shape>
                  <v:rect id="Rectangle 523" o:spid="_x0000_s23789" o:spt="1" style="position:absolute;left:8042;top:3336;height:449;width:165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">
                    <v:path/>
                    <v:fill focussize="0,0"/>
                    <v:stroke/>
                    <v:imagedata o:title=""/>
                    <o:lock v:ext="edit"/>
                    <v:textbox>
                      <w:txbxContent>
                        <w:p w14:paraId="25FDC9E3">
                          <w:pPr>
                            <w:jc w:val="center"/>
                            <w:rPr>
                              <w:rFonts w:eastAsia="黑体"/>
                              <w:sz w:val="18"/>
                              <w:szCs w:val="18"/>
                            </w:rPr>
                          </w:pPr>
                          <w:r>
                            <w:rPr>
                              <w:rFonts w:hAnsi="黑体" w:eastAsia="黑体"/>
                              <w:sz w:val="18"/>
                              <w:szCs w:val="18"/>
                            </w:rPr>
                            <w:t>厂区污水处理站</w:t>
                          </w:r>
                        </w:p>
                      </w:txbxContent>
                    </v:textbox>
                  </v:rect>
                  <v:shape id="Text Box 1960" o:spid="_x0000_s23790" o:spt="202" type="#_x0000_t202" style="position:absolute;left:5281;top:2714;height:449;width:74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">
                    <v:path/>
                    <v:fill on="f" focussize="0,0"/>
                    <v:stroke on="f" joinstyle="miter"/>
                    <v:imagedata o:title=""/>
                    <o:lock v:ext="edit"/>
                    <v:textbox>
                      <w:txbxContent>
                        <w:p w14:paraId="6575782E">
                          <w:pPr>
                            <w:rPr>
                              <w:rFonts w:eastAsia="黑体"/>
                              <w:sz w:val="18"/>
                              <w:szCs w:val="18"/>
                            </w:rPr>
                          </w:pPr>
                          <w:r>
                            <w:rPr>
                              <w:rFonts w:hint="eastAsia" w:eastAsia="黑体"/>
                              <w:sz w:val="18"/>
                              <w:szCs w:val="18"/>
                            </w:rPr>
                            <w:t>51.58</w:t>
                          </w:r>
                        </w:p>
                      </w:txbxContent>
                    </v:textbox>
                  </v:shape>
                  <v:shape id="Text Box 1966" o:spid="_x0000_s23791" o:spt="202" type="#_x0000_t202" style="position:absolute;left:6492;top:1957;height:426;width:76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">
                    <v:path/>
                    <v:fill on="f" focussize="0,0"/>
                    <v:stroke on="f" joinstyle="miter"/>
                    <v:imagedata o:title=""/>
                    <o:lock v:ext="edit"/>
                    <v:textbox>
                      <w:txbxContent>
                        <w:p w14:paraId="61C6A819">
                          <w:pPr>
                            <w:rPr>
                              <w:rFonts w:eastAsia="黑体"/>
                              <w:sz w:val="18"/>
                              <w:szCs w:val="18"/>
                            </w:rPr>
                          </w:pPr>
                          <w:r>
                            <w:rPr>
                              <w:rFonts w:hint="eastAsia" w:eastAsia="黑体"/>
                              <w:sz w:val="18"/>
                              <w:szCs w:val="18"/>
                            </w:rPr>
                            <w:t>17.68</w:t>
                          </w:r>
                        </w:p>
                      </w:txbxContent>
                    </v:textbox>
                  </v:shape>
                  <v:shape id="Text Box 2241" o:spid="_x0000_s23792" o:spt="202" type="#_x0000_t202" style="position:absolute;left:5732;top:4030;height:376;width:76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">
                    <v:path/>
                    <v:fill on="f" focussize="0,0"/>
                    <v:stroke on="f" joinstyle="miter"/>
                    <v:imagedata o:title=""/>
                    <o:lock v:ext="edit"/>
                    <v:textbox>
                      <w:txbxContent>
                        <w:p w14:paraId="2AA251D0">
                          <w:pPr>
                            <w:rPr>
                              <w:rFonts w:eastAsia="黑体"/>
                              <w:sz w:val="15"/>
                              <w:szCs w:val="15"/>
                            </w:rPr>
                          </w:pPr>
                          <w:r>
                            <w:rPr>
                              <w:rFonts w:eastAsia="黑体"/>
                              <w:sz w:val="18"/>
                              <w:szCs w:val="18"/>
                            </w:rPr>
                            <w:t>1250</w:t>
                          </w:r>
                        </w:p>
                      </w:txbxContent>
                    </v:textbox>
                  </v:shape>
                  <v:shape id="Text Box 2244" o:spid="_x0000_s23793" o:spt="202" type="#_x0000_t202" style="position:absolute;left:7256;top:3218;height:427;width:61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">
                    <v:path/>
                    <v:fill on="f" focussize="0,0"/>
                    <v:stroke on="f" joinstyle="miter"/>
                    <v:imagedata o:title=""/>
                    <o:lock v:ext="edit"/>
                    <v:textbox>
                      <w:txbxContent>
                        <w:p w14:paraId="6E7F1FCE">
                          <w:pPr>
                            <w:jc w:val="center"/>
                            <w:rPr>
                              <w:rFonts w:eastAsia="黑体"/>
                              <w:sz w:val="18"/>
                              <w:szCs w:val="18"/>
                            </w:rPr>
                          </w:pPr>
                          <w:r>
                            <w:rPr>
                              <w:rFonts w:hint="eastAsia" w:eastAsia="黑体"/>
                              <w:sz w:val="18"/>
                              <w:szCs w:val="18"/>
                            </w:rPr>
                            <w:t>8.0</w:t>
                          </w:r>
                        </w:p>
                      </w:txbxContent>
                    </v:textbox>
                  </v:shape>
                  <v:shape id="Text Box 2246" o:spid="_x0000_s23794" o:spt="202" type="#_x0000_t202" style="position:absolute;left:5982;top:4481;height:389;width:77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">
                    <v:path/>
                    <v:fill on="f" focussize="0,0"/>
                    <v:stroke on="f" joinstyle="miter"/>
                    <v:imagedata o:title=""/>
                    <o:lock v:ext="edit"/>
                    <v:textbox>
                      <w:txbxContent>
                        <w:p w14:paraId="5399E7FA">
                          <w:pPr>
                            <w:rPr>
                              <w:rFonts w:eastAsia="黑体"/>
                              <w:sz w:val="18"/>
                              <w:szCs w:val="18"/>
                            </w:rPr>
                          </w:pPr>
                          <w:r>
                            <w:rPr>
                              <w:rFonts w:hint="eastAsia" w:eastAsia="黑体"/>
                              <w:sz w:val="18"/>
                              <w:szCs w:val="18"/>
                            </w:rPr>
                            <w:t>34.68</w:t>
                          </w:r>
                        </w:p>
                      </w:txbxContent>
                    </v:textbox>
                  </v:shape>
                  <v:shape id="AutoShape 2247" o:spid="_x0000_s23795" o:spt="32" type="#_x0000_t32" style="position:absolute;left:8878;top:3780;height:1077;width: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">
                    <v:path arrowok="t"/>
                    <v:fill on="f" focussize="0,0"/>
                    <v:stroke endarrowwidth="narrow" endarrowlength="short"/>
                    <v:imagedata o:title=""/>
                    <o:lock v:ext="edit"/>
                  </v:shape>
                  <v:shape id="AutoShape 2248" o:spid="_x0000_s23796" o:spt="32" type="#_x0000_t32" style="position:absolute;left:4140;top:4862;flip:x;height:1;width:4729;"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">
                    <v:path arrowok="t"/>
                    <v:fill on="f" focussize="0,0"/>
                    <v:stroke endarrowwidth="narrow" endarrowlength="short"/>
                    <v:imagedata o:title=""/>
                    <o:lock v:ext="edit"/>
                  </v:shape>
                  <v:shape id="AutoShape 2250" o:spid="_x0000_s23797" o:spt="32" type="#_x0000_t32" style="position:absolute;left:4131;top:3573;flip:y;height:1289;width:9;"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">
                    <v:path arrowok="t"/>
                    <v:fill on="f" focussize="0,0"/>
                    <v:stroke endarrow="block" endarrowwidth="narrow"/>
                    <v:imagedata o:title=""/>
                    <o:lock v:ext="edit"/>
                  </v:shape>
                  <v:rect id="Rectangle 10602" o:spid="_x0000_s23798" o:spt="1" style="position:absolute;left:4470;top:5761;height:449;width:160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">
                    <v:path/>
                    <v:fill focussize="0,0"/>
                    <v:stroke/>
                    <v:imagedata o:title=""/>
                    <o:lock v:ext="edit"/>
                    <v:textbox>
                      <w:txbxContent>
                        <w:p w14:paraId="253140C4">
                          <w:pPr>
                            <w:jc w:val="center"/>
                            <w:rPr>
                              <w:rFonts w:eastAsia="黑体"/>
                            </w:rPr>
                          </w:pPr>
                          <w:r>
                            <w:rPr>
                              <w:rFonts w:hAnsi="黑体" w:eastAsia="黑体"/>
                              <w:sz w:val="18"/>
                              <w:szCs w:val="18"/>
                            </w:rPr>
                            <w:t>制氧站循环水池</w:t>
                          </w:r>
                        </w:p>
                      </w:txbxContent>
                    </v:textbox>
                  </v:rect>
                  <v:shape id="AutoShape 2255" o:spid="_x0000_s23799" o:spt="32" type="#_x0000_t32" style="position:absolute;left:3187;top:6002;height:1;width:1272;"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">
                    <v:path arrowok="t"/>
                    <v:fill on="f" focussize="0,0"/>
                    <v:stroke endarrow="block" endarrowwidth="narrow"/>
                    <v:imagedata o:title=""/>
                    <o:lock v:ext="edit"/>
                  </v:shape>
                  <v:shape id="_x0000_s23800" o:spid="_x0000_s23800" o:spt="32" type="#_x0000_t32" style="position:absolute;left:3187;top:1367;flip:x;height:4636;width:6;" o:connectortype="straight" filled="f" coordsize="21600,21600">
                    <v:path arrowok="t"/>
                    <v:fill on="f" focussize="0,0"/>
                    <v:stroke endarrowwidth="narrow"/>
                    <v:imagedata o:title=""/>
                    <o:lock v:ext="edit"/>
                  </v:shape>
                  <v:shape id="Text Box 1942" o:spid="_x0000_s23801" o:spt="202" type="#_x0000_t202" style="position:absolute;left:3349;top:5614;height:456;width:64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">
                    <v:path/>
                    <v:fill on="f" focussize="0,0"/>
                    <v:stroke on="f" joinstyle="miter"/>
                    <v:imagedata o:title=""/>
                    <o:lock v:ext="edit"/>
                    <v:textbox style="mso-fit-shape-to-text:t;">
                      <w:txbxContent>
                        <w:p w14:paraId="31A80A4B">
                          <w:pPr>
                            <w:jc w:val="center"/>
                            <w:rPr>
                              <w:rFonts w:eastAsia="黑体"/>
                              <w:sz w:val="18"/>
                              <w:szCs w:val="18"/>
                            </w:rPr>
                          </w:pPr>
                          <w:r>
                            <w:rPr>
                              <w:rFonts w:hint="eastAsia" w:eastAsia="黑体"/>
                              <w:sz w:val="18"/>
                              <w:szCs w:val="18"/>
                            </w:rPr>
                            <w:t>59.4</w:t>
                          </w:r>
                        </w:p>
                      </w:txbxContent>
                    </v:textbox>
                  </v:shape>
                  <v:shape id="_x0000_s23802" o:spid="_x0000_s23802" o:spt="32" type="#_x0000_t32" style="position:absolute;left:6089;top:5927;height:1;width:3081;" o:connectortype="straight" filled="f" coordsize="21600,21600">
                    <v:path arrowok="t"/>
                    <v:fill on="f" focussize="0,0"/>
                    <v:stroke endarrowwidth="narrow"/>
                    <v:imagedata o:title=""/>
                    <o:lock v:ext="edit"/>
                  </v:shape>
                  <v:shape id="_x0000_s23803" o:spid="_x0000_s23803" o:spt="32" type="#_x0000_t32" style="position:absolute;left:9169;top:3775;flip:y;height:2153;width:1;" o:connectortype="straight" filled="f" coordsize="21600,21600">
                    <v:path arrowok="t"/>
                    <v:fill on="f" focussize="0,0"/>
                    <v:stroke endarrow="block" endarrowwidth="narrow"/>
                    <v:imagedata o:title=""/>
                    <o:lock v:ext="edit"/>
                  </v:shape>
                  <v:shape id="Text Box 2241" o:spid="_x0000_s23804" o:spt="202" type="#_x0000_t202" style="position:absolute;left:5553;top:6210;height:438;width:72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">
                    <v:path/>
                    <v:fill on="f" focussize="0,0"/>
                    <v:stroke on="f" joinstyle="miter"/>
                    <v:imagedata o:title=""/>
                    <o:lock v:ext="edit"/>
                    <v:textbox>
                      <w:txbxContent>
                        <w:p w14:paraId="6BFC528A">
                          <w:pPr>
                            <w:jc w:val="center"/>
                            <w:rPr>
                              <w:rFonts w:eastAsia="黑体"/>
                              <w:sz w:val="15"/>
                              <w:szCs w:val="15"/>
                            </w:rPr>
                          </w:pPr>
                          <w:r>
                            <w:rPr>
                              <w:rFonts w:hint="eastAsia" w:eastAsia="黑体"/>
                              <w:sz w:val="18"/>
                              <w:szCs w:val="18"/>
                            </w:rPr>
                            <w:t>1680</w:t>
                          </w:r>
                        </w:p>
                      </w:txbxContent>
                    </v:textbox>
                  </v:shape>
                  <v:shape id="Text Box 1960" o:spid="_x0000_s23805" o:spt="202" type="#_x0000_t202" style="position:absolute;left:5463;top:5103;height:449;width:61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">
                    <v:path/>
                    <v:fill on="f" focussize="0,0"/>
                    <v:stroke on="f" joinstyle="miter"/>
                    <v:imagedata o:title=""/>
                    <o:lock v:ext="edit"/>
                    <v:textbox>
                      <w:txbxContent>
                        <w:p w14:paraId="5185C5E4">
                          <w:pPr>
                            <w:rPr>
                              <w:rFonts w:eastAsia="黑体"/>
                              <w:sz w:val="18"/>
                              <w:szCs w:val="18"/>
                            </w:rPr>
                          </w:pPr>
                          <w:r>
                            <w:rPr>
                              <w:rFonts w:hint="eastAsia" w:eastAsia="黑体"/>
                              <w:sz w:val="18"/>
                              <w:szCs w:val="18"/>
                            </w:rPr>
                            <w:t>50.4</w:t>
                          </w:r>
                        </w:p>
                      </w:txbxContent>
                    </v:textbox>
                  </v:shape>
                  <v:shape id="Text Box 1960" o:spid="_x0000_s23806" o:spt="202" type="#_x0000_t202" style="position:absolute;left:7282;top:5512;height:449;width:61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">
                    <v:path/>
                    <v:fill on="f" focussize="0,0"/>
                    <v:stroke on="f" joinstyle="miter"/>
                    <v:imagedata o:title=""/>
                    <o:lock v:ext="edit"/>
                    <v:textbox>
                      <w:txbxContent>
                        <w:p w14:paraId="28B2FBFE">
                          <w:pPr>
                            <w:rPr>
                              <w:rFonts w:eastAsia="黑体"/>
                              <w:sz w:val="18"/>
                              <w:szCs w:val="18"/>
                            </w:rPr>
                          </w:pPr>
                          <w:r>
                            <w:rPr>
                              <w:rFonts w:hint="eastAsia" w:eastAsia="黑体"/>
                              <w:sz w:val="18"/>
                              <w:szCs w:val="18"/>
                            </w:rPr>
                            <w:t>9.0</w:t>
                          </w:r>
                        </w:p>
                      </w:txbxContent>
                    </v:textbox>
                  </v:shape>
                  <v:rect id="Rectangle 10607" o:spid="_x0000_s23807" o:spt="1" style="position:absolute;left:4470;top:3367;height:449;width:162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">
                    <v:path/>
                    <v:fill focussize="0,0"/>
                    <v:stroke/>
                    <v:imagedata o:title=""/>
                    <o:lock v:ext="edit"/>
                    <v:textbox>
                      <w:txbxContent>
                        <w:p w14:paraId="63559088">
                          <w:pPr>
                            <w:jc w:val="center"/>
                            <w:rPr>
                              <w:rFonts w:eastAsia="黑体"/>
                            </w:rPr>
                          </w:pPr>
                          <w:r>
                            <w:rPr>
                              <w:rFonts w:hint="eastAsia" w:hAnsi="黑体" w:eastAsia="黑体"/>
                              <w:sz w:val="18"/>
                              <w:szCs w:val="18"/>
                            </w:rPr>
                            <w:t>车间冷却用水</w:t>
                          </w:r>
                        </w:p>
                      </w:txbxContent>
                    </v:textbox>
                  </v:rect>
                  <v:shape id="_x0000_s23808" o:spid="_x0000_s23808" o:spt="32" type="#_x0000_t32" style="position:absolute;left:7026;top:3733;height:673;width:1;" o:connectortype="straight" filled="f" coordsize="21600,21600">
                    <v:path arrowok="t"/>
                    <v:fill on="f" focussize="0,0"/>
                    <v:stroke endarrowwidth="narrow"/>
                    <v:imagedata o:title=""/>
                    <o:lock v:ext="edit"/>
                  </v:shape>
                  <v:shape id="_x0000_s23809" o:spid="_x0000_s23809" o:spt="32" type="#_x0000_t32" style="position:absolute;left:5263;top:4414;flip:x;height:1;width:1763;" o:connectortype="straight" filled="f" coordsize="21600,21600">
                    <v:path arrowok="t"/>
                    <v:fill on="f" focussize="0,0"/>
                    <v:stroke endarrowwidth="narrow"/>
                    <v:imagedata o:title=""/>
                    <o:lock v:ext="edit"/>
                  </v:shape>
                  <v:shape id="_x0000_s23810" o:spid="_x0000_s23810" o:spt="32" type="#_x0000_t32" style="position:absolute;left:5263;top:3816;flip:y;height:611;width:1;" o:connectortype="straight" filled="f" coordsize="21600,21600">
                    <v:path arrowok="t"/>
                    <v:fill on="f" focussize="0,0"/>
                    <v:stroke endarrow="block" endarrowwidth="narrow"/>
                    <v:imagedata o:title=""/>
                    <o:lock v:ext="edit"/>
                  </v:shape>
                  <v:shape id="AutoShape 2255" o:spid="_x0000_s23813" o:spt="32" type="#_x0000_t32" style="position:absolute;left:3187;top:3578;height:1;width:1272;"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">
                    <v:path arrowok="t"/>
                    <v:fill on="f" focussize="0,0"/>
                    <v:stroke endarrow="block" endarrowwidth="narrow"/>
                    <v:imagedata o:title=""/>
                    <o:lock v:ext="edit"/>
                  </v:shape>
                  <v:shape id="_x0000_s23814" o:spid="_x0000_s23814" o:spt="32" type="#_x0000_t32" style="position:absolute;left:6089;top:3570;height:1;width:1953;" o:connectortype="straight" filled="f" coordsize="21600,21600">
                    <v:path arrowok="t"/>
                    <v:fill on="f" focussize="0,0"/>
                    <v:stroke endarrow="block" endarrowwidth="narrow"/>
                    <v:imagedata o:title=""/>
                    <o:lock v:ext="edit"/>
                  </v:shape>
                  <v:shape id="AutoShape 2255" o:spid="_x0000_s23815" o:spt="32" type="#_x0000_t32" style="position:absolute;left:3198;top:2355;height:1;width:1272;"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">
                    <v:path arrowok="t"/>
                    <v:fill on="f" focussize="0,0"/>
                    <v:stroke endarrow="block" endarrowwidth="narrow"/>
                    <v:imagedata o:title=""/>
                    <o:lock v:ext="edit"/>
                  </v:shape>
                  <v:shape id="_x0000_s23820" o:spid="_x0000_s23820" style="position:absolute;left:5032;top:1818;height:312;width:374;" filled="f" coordsize="548,388" path="m0,388c94,267,189,146,238,130c287,114,242,314,294,292c346,270,447,135,548,0e">
                    <v:path arrowok="t"/>
                    <v:fill on="f" focussize="0,0"/>
                    <v:stroke dashstyle="dash" endarrow="block" endarrowwidth="narrow"/>
                    <v:imagedata o:title=""/>
                    <o:lock v:ext="edit"/>
                  </v:shape>
                  <v:shape id="_x0000_s23821" o:spid="_x0000_s23821" style="position:absolute;left:5272;top:3024;height:312;width:374;" filled="f" coordsize="548,388" path="m0,388c94,267,189,146,238,130c287,114,242,314,294,292c346,270,447,135,548,0e">
                    <v:path arrowok="t"/>
                    <v:fill on="f" focussize="0,0"/>
                    <v:stroke dashstyle="dash" endarrow="block" endarrowwidth="narrow"/>
                    <v:imagedata o:title=""/>
                    <o:lock v:ext="edit"/>
                  </v:shape>
                  <v:shape id="_x0000_s23822" o:spid="_x0000_s23822" style="position:absolute;left:5358;top:5421;height:312;width:374;" filled="f" coordsize="548,388" path="m0,388c94,267,189,146,238,130c287,114,242,314,294,292c346,270,447,135,548,0e">
                    <v:path arrowok="t"/>
                    <v:fill on="f" focussize="0,0"/>
                    <v:stroke dashstyle="dash" endarrow="block" endarrowwidth="narrow"/>
                    <v:imagedata o:title=""/>
                    <o:lock v:ext="edit"/>
                  </v:shape>
                  <v:shape id="_x0000_s23851" o:spid="_x0000_s23851" o:spt="32" type="#_x0000_t32" style="position:absolute;left:6094;top:3733;height:1;width:938;" o:connectortype="straight" filled="f" coordsize="21600,21600">
                    <v:path arrowok="t"/>
                    <v:fill on="f" focussize="0,0"/>
                    <v:stroke endarrowwidth="narrow" endarrowlength="long"/>
                    <v:imagedata o:title=""/>
                    <o:lock v:ext="edit"/>
                  </v:shape>
                  <v:shape id="_x0000_s23853" o:spid="_x0000_s23853" o:spt="33" type="#_x0000_t33" style="position:absolute;left:5563;top:2355;height:981;width:3316;" o:connectortype="elbow" filled="f" coordsize="21600,21600" adj="-36230,-153842,-36230">
                    <v:path arrowok="t"/>
                    <v:fill on="f" focussize="0,0"/>
                    <v:stroke endarrow="block" endarrowwidth="narrow"/>
                    <v:imagedata o:title=""/>
                    <o:lock v:ext="edit"/>
                  </v:shape>
                  <v:shape id="_x0000_s23873" o:spid="_x0000_s23873" o:spt="35" type="#_x0000_t35" style="position:absolute;left:5293;top:6005;flip:x;height:224;width:801;" o:connectortype="elbow" filled="f" coordsize="21600,21600" adj="-9681,56218,170346">
                    <v:path arrowok="t"/>
                    <v:fill on="f" focussize="0,0"/>
                    <v:stroke endarrow="block" endarrowwidth="narrow"/>
                    <v:imagedata o:title=""/>
                    <o:lock v:ext="edit"/>
                  </v:shape>
                  <w10:wrap type="none"/>
                  <w10:anchorlock/>
                </v:group>
              </w:pict>
            </w:r>
          </w:p>
          <w:p w14:paraId="06371C64">
            <w:pPr>
              <w:pStyle w:val="16"/>
              <w:spacing w:after="0" w:line="360" w:lineRule="auto"/>
              <w:ind w:left="0" w:leftChars="0" w:firstLine="480" w:firstLineChars="200"/>
              <w:jc w:val="center"/>
              <w:rPr>
                <w:color w:val="auto"/>
                <w:kern w:val="0"/>
                <w:sz w:val="24"/>
              </w:rPr>
            </w:pPr>
            <w:r>
              <w:rPr>
                <w:rFonts w:hAnsi="黑体" w:eastAsia="黑体"/>
                <w:color w:val="auto"/>
                <w:sz w:val="24"/>
              </w:rPr>
              <w:t>图</w:t>
            </w:r>
            <w:r>
              <w:rPr>
                <w:rFonts w:hint="eastAsia" w:hAnsi="黑体" w:eastAsia="黑体"/>
                <w:color w:val="auto"/>
                <w:sz w:val="24"/>
              </w:rPr>
              <w:t>6</w:t>
            </w:r>
            <w:r>
              <w:rPr>
                <w:rFonts w:hAnsi="黑体" w:eastAsia="黑体"/>
                <w:color w:val="auto"/>
                <w:sz w:val="24"/>
              </w:rPr>
              <w:t xml:space="preserve">  现有项目全厂水平衡图   单位：m</w:t>
            </w:r>
            <w:r>
              <w:rPr>
                <w:rFonts w:hAnsi="黑体" w:eastAsia="黑体"/>
                <w:color w:val="auto"/>
                <w:sz w:val="24"/>
                <w:vertAlign w:val="superscript"/>
              </w:rPr>
              <w:t>3</w:t>
            </w:r>
            <w:r>
              <w:rPr>
                <w:rFonts w:hAnsi="黑体" w:eastAsia="黑体"/>
                <w:color w:val="auto"/>
                <w:sz w:val="24"/>
              </w:rPr>
              <w:t>/d</w:t>
            </w:r>
          </w:p>
          <w:p w14:paraId="0E9255CE">
            <w:pPr>
              <w:pStyle w:val="16"/>
              <w:spacing w:after="0" w:line="360" w:lineRule="auto"/>
              <w:ind w:left="0" w:leftChars="0" w:firstLine="480" w:firstLineChars="200"/>
              <w:rPr>
                <w:color w:val="auto"/>
                <w:kern w:val="0"/>
                <w:sz w:val="24"/>
              </w:rPr>
            </w:pPr>
            <w:r>
              <w:rPr>
                <w:rFonts w:hint="eastAsia"/>
                <w:color w:val="auto"/>
                <w:kern w:val="0"/>
                <w:sz w:val="24"/>
              </w:rPr>
              <w:t>（2）有组织废气</w:t>
            </w:r>
          </w:p>
          <w:p w14:paraId="02B0DF8A">
            <w:pPr>
              <w:pStyle w:val="16"/>
              <w:spacing w:after="0" w:line="360" w:lineRule="auto"/>
              <w:ind w:left="0" w:leftChars="0" w:firstLine="480" w:firstLineChars="200"/>
              <w:rPr>
                <w:color w:val="auto"/>
                <w:kern w:val="0"/>
                <w:sz w:val="24"/>
              </w:rPr>
            </w:pPr>
            <w:r>
              <w:rPr>
                <w:rFonts w:hint="eastAsia"/>
                <w:color w:val="auto"/>
                <w:kern w:val="0"/>
                <w:sz w:val="24"/>
              </w:rPr>
              <w:t>1）1#废气排放口（DA006）</w:t>
            </w:r>
          </w:p>
          <w:p w14:paraId="281CED65">
            <w:pPr>
              <w:pStyle w:val="16"/>
              <w:spacing w:after="0" w:line="360" w:lineRule="auto"/>
              <w:ind w:left="0" w:leftChars="0" w:firstLine="480" w:firstLineChars="200"/>
              <w:rPr>
                <w:color w:val="auto"/>
                <w:kern w:val="0"/>
                <w:sz w:val="24"/>
              </w:rPr>
            </w:pPr>
            <w:r>
              <w:rPr>
                <w:rFonts w:hint="eastAsia"/>
                <w:color w:val="auto"/>
                <w:kern w:val="0"/>
                <w:sz w:val="24"/>
              </w:rPr>
              <w:t>根据安徽澳林检测技术有限公司于2024年3月8日对1#废气排放口（DA006）监测（报告编号：安澳检[2024]（03048）号），监测结果详见下表。</w:t>
            </w:r>
          </w:p>
          <w:p w14:paraId="55807206">
            <w:pPr>
              <w:pStyle w:val="16"/>
              <w:spacing w:after="0" w:line="360" w:lineRule="auto"/>
              <w:ind w:left="0" w:leftChars="0" w:firstLine="480" w:firstLineChars="200"/>
              <w:jc w:val="center"/>
              <w:rPr>
                <w:color w:val="auto"/>
                <w:kern w:val="0"/>
                <w:sz w:val="24"/>
              </w:rPr>
            </w:pPr>
            <w:r>
              <w:rPr>
                <w:rFonts w:hAnsi="黑体" w:eastAsia="黑体"/>
                <w:color w:val="auto"/>
                <w:sz w:val="24"/>
              </w:rPr>
              <w:t>表</w:t>
            </w:r>
            <w:r>
              <w:rPr>
                <w:rFonts w:hint="eastAsia" w:eastAsia="黑体"/>
                <w:color w:val="auto"/>
                <w:sz w:val="24"/>
              </w:rPr>
              <w:t>22</w:t>
            </w:r>
            <w:r>
              <w:rPr>
                <w:rFonts w:eastAsia="黑体"/>
                <w:color w:val="auto"/>
                <w:sz w:val="24"/>
              </w:rPr>
              <w:t xml:space="preserve"> </w:t>
            </w:r>
            <w:r>
              <w:rPr>
                <w:rFonts w:hint="eastAsia" w:eastAsia="黑体"/>
                <w:color w:val="auto"/>
                <w:sz w:val="24"/>
              </w:rPr>
              <w:t xml:space="preserve"> </w:t>
            </w:r>
            <w:r>
              <w:rPr>
                <w:rFonts w:hint="eastAsia" w:eastAsia="黑体"/>
                <w:color w:val="auto"/>
                <w:kern w:val="0"/>
                <w:sz w:val="24"/>
              </w:rPr>
              <w:t>1</w:t>
            </w:r>
            <w:r>
              <w:rPr>
                <w:rFonts w:eastAsia="黑体"/>
                <w:color w:val="auto"/>
                <w:kern w:val="0"/>
                <w:sz w:val="24"/>
              </w:rPr>
              <w:t>#</w:t>
            </w:r>
            <w:r>
              <w:rPr>
                <w:rFonts w:hAnsi="黑体" w:eastAsia="黑体"/>
                <w:color w:val="auto"/>
                <w:kern w:val="0"/>
                <w:sz w:val="24"/>
              </w:rPr>
              <w:t>废气排放口有组织废气检测结果统计</w:t>
            </w:r>
          </w:p>
          <w:tbl>
            <w:tblPr>
              <w:tblStyle w:val="3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00"/>
              <w:gridCol w:w="710"/>
              <w:gridCol w:w="707"/>
              <w:gridCol w:w="1063"/>
              <w:gridCol w:w="1065"/>
              <w:gridCol w:w="850"/>
              <w:gridCol w:w="1134"/>
              <w:gridCol w:w="1139"/>
              <w:gridCol w:w="799"/>
            </w:tblGrid>
            <w:tr w14:paraId="5C8BBA4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1" w:type="pct"/>
                  <w:vMerge w:val="restart"/>
                  <w:shd w:val="clear" w:color="auto" w:fill="auto"/>
                  <w:vAlign w:val="center"/>
                </w:tcPr>
                <w:p w14:paraId="628F36D6">
                  <w:pPr>
                    <w:adjustRightInd w:val="0"/>
                    <w:spacing w:line="276" w:lineRule="auto"/>
                    <w:jc w:val="center"/>
                    <w:rPr>
                      <w:b/>
                      <w:color w:val="auto"/>
                      <w:kern w:val="0"/>
                      <w:szCs w:val="21"/>
                    </w:rPr>
                  </w:pPr>
                  <w:r>
                    <w:rPr>
                      <w:b/>
                      <w:color w:val="auto"/>
                      <w:kern w:val="0"/>
                      <w:szCs w:val="21"/>
                    </w:rPr>
                    <w:t>监测点位</w:t>
                  </w:r>
                </w:p>
              </w:tc>
              <w:tc>
                <w:tcPr>
                  <w:tcW w:w="1537" w:type="pct"/>
                  <w:gridSpan w:val="3"/>
                  <w:vMerge w:val="restart"/>
                  <w:vAlign w:val="center"/>
                </w:tcPr>
                <w:p w14:paraId="3D58CFAF">
                  <w:pPr>
                    <w:adjustRightInd w:val="0"/>
                    <w:spacing w:line="276" w:lineRule="auto"/>
                    <w:jc w:val="center"/>
                    <w:rPr>
                      <w:b/>
                      <w:color w:val="auto"/>
                      <w:kern w:val="0"/>
                      <w:szCs w:val="21"/>
                    </w:rPr>
                  </w:pPr>
                  <w:r>
                    <w:rPr>
                      <w:b/>
                      <w:color w:val="auto"/>
                      <w:kern w:val="0"/>
                      <w:szCs w:val="21"/>
                    </w:rPr>
                    <w:t>监测内容</w:t>
                  </w:r>
                </w:p>
              </w:tc>
              <w:tc>
                <w:tcPr>
                  <w:tcW w:w="2596" w:type="pct"/>
                  <w:gridSpan w:val="4"/>
                  <w:vAlign w:val="center"/>
                </w:tcPr>
                <w:p w14:paraId="0177AE94">
                  <w:pPr>
                    <w:adjustRightInd w:val="0"/>
                    <w:spacing w:line="276" w:lineRule="auto"/>
                    <w:jc w:val="center"/>
                    <w:rPr>
                      <w:b/>
                      <w:color w:val="auto"/>
                      <w:kern w:val="0"/>
                      <w:szCs w:val="21"/>
                    </w:rPr>
                  </w:pPr>
                  <w:r>
                    <w:rPr>
                      <w:b/>
                      <w:color w:val="auto"/>
                      <w:kern w:val="0"/>
                      <w:szCs w:val="21"/>
                    </w:rPr>
                    <w:t>监测数据</w:t>
                  </w:r>
                </w:p>
              </w:tc>
              <w:tc>
                <w:tcPr>
                  <w:tcW w:w="495" w:type="pct"/>
                  <w:vMerge w:val="restart"/>
                  <w:shd w:val="clear" w:color="auto" w:fill="auto"/>
                  <w:vAlign w:val="center"/>
                </w:tcPr>
                <w:p w14:paraId="394DB592">
                  <w:pPr>
                    <w:adjustRightInd w:val="0"/>
                    <w:spacing w:line="276" w:lineRule="auto"/>
                    <w:jc w:val="center"/>
                    <w:rPr>
                      <w:b/>
                      <w:color w:val="auto"/>
                      <w:kern w:val="0"/>
                      <w:szCs w:val="21"/>
                    </w:rPr>
                  </w:pPr>
                  <w:r>
                    <w:rPr>
                      <w:b/>
                      <w:color w:val="auto"/>
                      <w:kern w:val="0"/>
                      <w:szCs w:val="21"/>
                    </w:rPr>
                    <w:t>排气筒高度（m）</w:t>
                  </w:r>
                </w:p>
              </w:tc>
            </w:tr>
            <w:tr w14:paraId="75F6373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371" w:type="pct"/>
                  <w:vMerge w:val="continue"/>
                  <w:shd w:val="clear" w:color="auto" w:fill="auto"/>
                  <w:vAlign w:val="center"/>
                </w:tcPr>
                <w:p w14:paraId="157B86BE">
                  <w:pPr>
                    <w:adjustRightInd w:val="0"/>
                    <w:spacing w:line="276" w:lineRule="auto"/>
                    <w:jc w:val="center"/>
                    <w:rPr>
                      <w:color w:val="auto"/>
                      <w:kern w:val="0"/>
                      <w:szCs w:val="21"/>
                    </w:rPr>
                  </w:pPr>
                </w:p>
              </w:tc>
              <w:tc>
                <w:tcPr>
                  <w:tcW w:w="1537" w:type="pct"/>
                  <w:gridSpan w:val="3"/>
                  <w:vMerge w:val="continue"/>
                  <w:vAlign w:val="center"/>
                </w:tcPr>
                <w:p w14:paraId="41F57BA2">
                  <w:pPr>
                    <w:adjustRightInd w:val="0"/>
                    <w:spacing w:line="276" w:lineRule="auto"/>
                    <w:jc w:val="center"/>
                    <w:rPr>
                      <w:b/>
                      <w:color w:val="auto"/>
                      <w:kern w:val="0"/>
                      <w:szCs w:val="21"/>
                    </w:rPr>
                  </w:pPr>
                </w:p>
              </w:tc>
              <w:tc>
                <w:tcPr>
                  <w:tcW w:w="660" w:type="pct"/>
                  <w:vMerge w:val="restart"/>
                  <w:vAlign w:val="center"/>
                </w:tcPr>
                <w:p w14:paraId="57ADBD4F">
                  <w:pPr>
                    <w:adjustRightInd w:val="0"/>
                    <w:spacing w:line="276" w:lineRule="auto"/>
                    <w:jc w:val="center"/>
                    <w:rPr>
                      <w:b/>
                      <w:color w:val="auto"/>
                      <w:kern w:val="0"/>
                      <w:szCs w:val="21"/>
                    </w:rPr>
                  </w:pPr>
                  <w:r>
                    <w:rPr>
                      <w:b/>
                      <w:color w:val="auto"/>
                      <w:kern w:val="0"/>
                      <w:szCs w:val="21"/>
                    </w:rPr>
                    <w:t>标干流量（m</w:t>
                  </w:r>
                  <w:r>
                    <w:rPr>
                      <w:rFonts w:hint="eastAsia"/>
                      <w:b/>
                      <w:color w:val="auto"/>
                      <w:kern w:val="0"/>
                      <w:szCs w:val="21"/>
                      <w:vertAlign w:val="superscript"/>
                    </w:rPr>
                    <w:t>3</w:t>
                  </w:r>
                  <w:r>
                    <w:rPr>
                      <w:rFonts w:hint="eastAsia"/>
                      <w:b/>
                      <w:color w:val="auto"/>
                      <w:kern w:val="0"/>
                      <w:szCs w:val="21"/>
                    </w:rPr>
                    <w:t>/h</w:t>
                  </w:r>
                  <w:r>
                    <w:rPr>
                      <w:b/>
                      <w:color w:val="auto"/>
                      <w:kern w:val="0"/>
                      <w:szCs w:val="21"/>
                    </w:rPr>
                    <w:t>）</w:t>
                  </w:r>
                </w:p>
              </w:tc>
              <w:tc>
                <w:tcPr>
                  <w:tcW w:w="527" w:type="pct"/>
                  <w:vMerge w:val="restart"/>
                  <w:vAlign w:val="center"/>
                </w:tcPr>
                <w:p w14:paraId="0D988942">
                  <w:pPr>
                    <w:adjustRightInd w:val="0"/>
                    <w:spacing w:line="276" w:lineRule="auto"/>
                    <w:jc w:val="center"/>
                    <w:rPr>
                      <w:b/>
                      <w:color w:val="auto"/>
                      <w:kern w:val="0"/>
                      <w:szCs w:val="21"/>
                    </w:rPr>
                  </w:pPr>
                  <w:r>
                    <w:rPr>
                      <w:b/>
                      <w:color w:val="auto"/>
                      <w:kern w:val="0"/>
                      <w:szCs w:val="21"/>
                    </w:rPr>
                    <w:t>含氧量（</w:t>
                  </w:r>
                  <w:r>
                    <w:rPr>
                      <w:rFonts w:hint="eastAsia"/>
                      <w:b/>
                      <w:color w:val="auto"/>
                      <w:kern w:val="0"/>
                      <w:szCs w:val="21"/>
                    </w:rPr>
                    <w:t>%</w:t>
                  </w:r>
                  <w:r>
                    <w:rPr>
                      <w:b/>
                      <w:color w:val="auto"/>
                      <w:kern w:val="0"/>
                      <w:szCs w:val="21"/>
                    </w:rPr>
                    <w:t>）</w:t>
                  </w:r>
                </w:p>
              </w:tc>
              <w:tc>
                <w:tcPr>
                  <w:tcW w:w="703" w:type="pct"/>
                  <w:vMerge w:val="restart"/>
                  <w:shd w:val="clear" w:color="auto" w:fill="auto"/>
                  <w:vAlign w:val="center"/>
                </w:tcPr>
                <w:p w14:paraId="5F37BEE2">
                  <w:pPr>
                    <w:adjustRightInd w:val="0"/>
                    <w:spacing w:line="276" w:lineRule="auto"/>
                    <w:jc w:val="center"/>
                    <w:rPr>
                      <w:b/>
                      <w:color w:val="auto"/>
                      <w:kern w:val="0"/>
                      <w:szCs w:val="21"/>
                    </w:rPr>
                  </w:pPr>
                  <w:r>
                    <w:rPr>
                      <w:b/>
                      <w:color w:val="auto"/>
                      <w:kern w:val="0"/>
                      <w:szCs w:val="21"/>
                    </w:rPr>
                    <w:t>实测浓度（mg/m</w:t>
                  </w:r>
                  <w:r>
                    <w:rPr>
                      <w:b/>
                      <w:color w:val="auto"/>
                      <w:kern w:val="0"/>
                      <w:szCs w:val="21"/>
                      <w:vertAlign w:val="superscript"/>
                    </w:rPr>
                    <w:t>3</w:t>
                  </w:r>
                  <w:r>
                    <w:rPr>
                      <w:b/>
                      <w:color w:val="auto"/>
                      <w:kern w:val="0"/>
                      <w:szCs w:val="21"/>
                    </w:rPr>
                    <w:t>）</w:t>
                  </w:r>
                </w:p>
              </w:tc>
              <w:tc>
                <w:tcPr>
                  <w:tcW w:w="706" w:type="pct"/>
                  <w:vMerge w:val="restart"/>
                  <w:shd w:val="clear" w:color="auto" w:fill="auto"/>
                  <w:vAlign w:val="center"/>
                </w:tcPr>
                <w:p w14:paraId="56DD3C7E">
                  <w:pPr>
                    <w:adjustRightInd w:val="0"/>
                    <w:spacing w:line="276" w:lineRule="auto"/>
                    <w:jc w:val="center"/>
                    <w:rPr>
                      <w:b/>
                      <w:color w:val="auto"/>
                      <w:kern w:val="0"/>
                      <w:szCs w:val="21"/>
                    </w:rPr>
                  </w:pPr>
                  <w:r>
                    <w:rPr>
                      <w:rFonts w:hint="eastAsia"/>
                      <w:b/>
                      <w:color w:val="auto"/>
                      <w:kern w:val="0"/>
                      <w:szCs w:val="21"/>
                    </w:rPr>
                    <w:t>折算</w:t>
                  </w:r>
                  <w:r>
                    <w:rPr>
                      <w:b/>
                      <w:color w:val="auto"/>
                      <w:kern w:val="0"/>
                      <w:szCs w:val="21"/>
                    </w:rPr>
                    <w:t>浓度（mg/m</w:t>
                  </w:r>
                  <w:r>
                    <w:rPr>
                      <w:b/>
                      <w:color w:val="auto"/>
                      <w:kern w:val="0"/>
                      <w:szCs w:val="21"/>
                      <w:vertAlign w:val="superscript"/>
                    </w:rPr>
                    <w:t>3</w:t>
                  </w:r>
                  <w:r>
                    <w:rPr>
                      <w:b/>
                      <w:color w:val="auto"/>
                      <w:kern w:val="0"/>
                      <w:szCs w:val="21"/>
                    </w:rPr>
                    <w:t>）</w:t>
                  </w:r>
                </w:p>
              </w:tc>
              <w:tc>
                <w:tcPr>
                  <w:tcW w:w="495" w:type="pct"/>
                  <w:vMerge w:val="continue"/>
                  <w:shd w:val="clear" w:color="auto" w:fill="auto"/>
                  <w:vAlign w:val="center"/>
                </w:tcPr>
                <w:p w14:paraId="59D1B613">
                  <w:pPr>
                    <w:adjustRightInd w:val="0"/>
                    <w:spacing w:line="276" w:lineRule="auto"/>
                    <w:jc w:val="center"/>
                    <w:rPr>
                      <w:b/>
                      <w:color w:val="auto"/>
                      <w:kern w:val="0"/>
                      <w:szCs w:val="21"/>
                    </w:rPr>
                  </w:pPr>
                </w:p>
              </w:tc>
            </w:tr>
            <w:tr w14:paraId="6D8CD7E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1" w:type="pct"/>
                  <w:vMerge w:val="continue"/>
                  <w:vAlign w:val="center"/>
                </w:tcPr>
                <w:p w14:paraId="360B619E">
                  <w:pPr>
                    <w:adjustRightInd w:val="0"/>
                    <w:spacing w:line="276" w:lineRule="auto"/>
                    <w:jc w:val="center"/>
                    <w:rPr>
                      <w:color w:val="auto"/>
                      <w:kern w:val="0"/>
                      <w:szCs w:val="21"/>
                    </w:rPr>
                  </w:pPr>
                </w:p>
              </w:tc>
              <w:tc>
                <w:tcPr>
                  <w:tcW w:w="440" w:type="pct"/>
                  <w:vAlign w:val="center"/>
                </w:tcPr>
                <w:p w14:paraId="33CBF38F">
                  <w:pPr>
                    <w:adjustRightInd w:val="0"/>
                    <w:spacing w:line="276" w:lineRule="auto"/>
                    <w:jc w:val="center"/>
                    <w:rPr>
                      <w:b/>
                      <w:color w:val="auto"/>
                      <w:kern w:val="0"/>
                      <w:szCs w:val="21"/>
                    </w:rPr>
                  </w:pPr>
                  <w:r>
                    <w:rPr>
                      <w:b/>
                      <w:color w:val="auto"/>
                      <w:kern w:val="0"/>
                      <w:szCs w:val="21"/>
                    </w:rPr>
                    <w:t>采样日期</w:t>
                  </w:r>
                </w:p>
              </w:tc>
              <w:tc>
                <w:tcPr>
                  <w:tcW w:w="438" w:type="pct"/>
                  <w:shd w:val="clear" w:color="auto" w:fill="auto"/>
                  <w:vAlign w:val="center"/>
                </w:tcPr>
                <w:p w14:paraId="6E949338">
                  <w:pPr>
                    <w:adjustRightInd w:val="0"/>
                    <w:spacing w:line="276" w:lineRule="auto"/>
                    <w:jc w:val="center"/>
                    <w:rPr>
                      <w:b/>
                      <w:color w:val="auto"/>
                      <w:kern w:val="0"/>
                      <w:szCs w:val="21"/>
                    </w:rPr>
                  </w:pPr>
                  <w:r>
                    <w:rPr>
                      <w:b/>
                      <w:color w:val="auto"/>
                      <w:szCs w:val="21"/>
                    </w:rPr>
                    <w:t>检测项目</w:t>
                  </w:r>
                </w:p>
              </w:tc>
              <w:tc>
                <w:tcPr>
                  <w:tcW w:w="659" w:type="pct"/>
                  <w:vAlign w:val="center"/>
                </w:tcPr>
                <w:p w14:paraId="397F063C">
                  <w:pPr>
                    <w:adjustRightInd w:val="0"/>
                    <w:spacing w:line="276" w:lineRule="auto"/>
                    <w:jc w:val="center"/>
                    <w:rPr>
                      <w:b/>
                      <w:color w:val="auto"/>
                      <w:kern w:val="0"/>
                      <w:szCs w:val="21"/>
                    </w:rPr>
                  </w:pPr>
                  <w:r>
                    <w:rPr>
                      <w:b/>
                      <w:color w:val="auto"/>
                      <w:kern w:val="0"/>
                      <w:szCs w:val="21"/>
                    </w:rPr>
                    <w:t>监测频次</w:t>
                  </w:r>
                </w:p>
              </w:tc>
              <w:tc>
                <w:tcPr>
                  <w:tcW w:w="660" w:type="pct"/>
                  <w:vMerge w:val="continue"/>
                  <w:vAlign w:val="center"/>
                </w:tcPr>
                <w:p w14:paraId="3F6DD89A">
                  <w:pPr>
                    <w:adjustRightInd w:val="0"/>
                    <w:spacing w:line="276" w:lineRule="auto"/>
                    <w:jc w:val="center"/>
                    <w:rPr>
                      <w:b/>
                      <w:color w:val="auto"/>
                      <w:kern w:val="0"/>
                      <w:szCs w:val="21"/>
                    </w:rPr>
                  </w:pPr>
                </w:p>
              </w:tc>
              <w:tc>
                <w:tcPr>
                  <w:tcW w:w="527" w:type="pct"/>
                  <w:vMerge w:val="continue"/>
                  <w:vAlign w:val="center"/>
                </w:tcPr>
                <w:p w14:paraId="217FA40E">
                  <w:pPr>
                    <w:adjustRightInd w:val="0"/>
                    <w:spacing w:line="276" w:lineRule="auto"/>
                    <w:jc w:val="center"/>
                    <w:rPr>
                      <w:b/>
                      <w:color w:val="auto"/>
                      <w:kern w:val="0"/>
                      <w:szCs w:val="21"/>
                    </w:rPr>
                  </w:pPr>
                </w:p>
              </w:tc>
              <w:tc>
                <w:tcPr>
                  <w:tcW w:w="703" w:type="pct"/>
                  <w:vMerge w:val="continue"/>
                  <w:shd w:val="clear" w:color="auto" w:fill="auto"/>
                  <w:vAlign w:val="center"/>
                </w:tcPr>
                <w:p w14:paraId="343F91DE">
                  <w:pPr>
                    <w:adjustRightInd w:val="0"/>
                    <w:spacing w:line="276" w:lineRule="auto"/>
                    <w:jc w:val="center"/>
                    <w:rPr>
                      <w:b/>
                      <w:color w:val="auto"/>
                      <w:kern w:val="0"/>
                      <w:szCs w:val="21"/>
                    </w:rPr>
                  </w:pPr>
                </w:p>
              </w:tc>
              <w:tc>
                <w:tcPr>
                  <w:tcW w:w="706" w:type="pct"/>
                  <w:vMerge w:val="continue"/>
                  <w:shd w:val="clear" w:color="auto" w:fill="auto"/>
                  <w:vAlign w:val="center"/>
                </w:tcPr>
                <w:p w14:paraId="05A36CF5">
                  <w:pPr>
                    <w:adjustRightInd w:val="0"/>
                    <w:spacing w:line="276" w:lineRule="auto"/>
                    <w:jc w:val="center"/>
                    <w:rPr>
                      <w:b/>
                      <w:color w:val="auto"/>
                      <w:kern w:val="0"/>
                      <w:szCs w:val="21"/>
                      <w:vertAlign w:val="superscript"/>
                    </w:rPr>
                  </w:pPr>
                </w:p>
              </w:tc>
              <w:tc>
                <w:tcPr>
                  <w:tcW w:w="495" w:type="pct"/>
                  <w:vMerge w:val="continue"/>
                  <w:shd w:val="clear" w:color="auto" w:fill="auto"/>
                  <w:vAlign w:val="center"/>
                </w:tcPr>
                <w:p w14:paraId="2B816815">
                  <w:pPr>
                    <w:adjustRightInd w:val="0"/>
                    <w:spacing w:line="276" w:lineRule="auto"/>
                    <w:jc w:val="center"/>
                    <w:rPr>
                      <w:b/>
                      <w:color w:val="auto"/>
                      <w:kern w:val="0"/>
                      <w:szCs w:val="21"/>
                    </w:rPr>
                  </w:pPr>
                </w:p>
              </w:tc>
            </w:tr>
            <w:tr w14:paraId="61B03DA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1" w:type="pct"/>
                  <w:vMerge w:val="restart"/>
                  <w:vAlign w:val="center"/>
                </w:tcPr>
                <w:p w14:paraId="5BC96277">
                  <w:pPr>
                    <w:adjustRightInd w:val="0"/>
                    <w:spacing w:line="276" w:lineRule="auto"/>
                    <w:jc w:val="center"/>
                    <w:rPr>
                      <w:strike/>
                      <w:color w:val="auto"/>
                      <w:kern w:val="0"/>
                      <w:szCs w:val="21"/>
                    </w:rPr>
                  </w:pPr>
                  <w:r>
                    <w:rPr>
                      <w:rFonts w:hint="eastAsia"/>
                      <w:color w:val="auto"/>
                      <w:kern w:val="0"/>
                      <w:szCs w:val="21"/>
                    </w:rPr>
                    <w:t>DA006（一车间）</w:t>
                  </w:r>
                </w:p>
              </w:tc>
              <w:tc>
                <w:tcPr>
                  <w:tcW w:w="440" w:type="pct"/>
                  <w:vMerge w:val="restart"/>
                  <w:vAlign w:val="center"/>
                </w:tcPr>
                <w:p w14:paraId="5C516AFA">
                  <w:pPr>
                    <w:adjustRightInd w:val="0"/>
                    <w:spacing w:line="276" w:lineRule="auto"/>
                    <w:jc w:val="center"/>
                    <w:rPr>
                      <w:color w:val="auto"/>
                      <w:kern w:val="0"/>
                      <w:szCs w:val="21"/>
                    </w:rPr>
                  </w:pPr>
                  <w:r>
                    <w:rPr>
                      <w:rFonts w:hint="eastAsia"/>
                      <w:color w:val="auto"/>
                      <w:kern w:val="0"/>
                      <w:szCs w:val="21"/>
                    </w:rPr>
                    <w:t>2024.03.08</w:t>
                  </w:r>
                </w:p>
              </w:tc>
              <w:tc>
                <w:tcPr>
                  <w:tcW w:w="438" w:type="pct"/>
                  <w:vMerge w:val="restart"/>
                  <w:shd w:val="clear" w:color="auto" w:fill="auto"/>
                  <w:vAlign w:val="center"/>
                </w:tcPr>
                <w:p w14:paraId="71B5CA43">
                  <w:pPr>
                    <w:adjustRightInd w:val="0"/>
                    <w:spacing w:line="276" w:lineRule="auto"/>
                    <w:jc w:val="center"/>
                    <w:rPr>
                      <w:color w:val="auto"/>
                      <w:kern w:val="0"/>
                      <w:szCs w:val="21"/>
                    </w:rPr>
                  </w:pPr>
                  <w:r>
                    <w:rPr>
                      <w:color w:val="auto"/>
                      <w:kern w:val="0"/>
                      <w:szCs w:val="21"/>
                    </w:rPr>
                    <w:t>氟化物</w:t>
                  </w:r>
                </w:p>
              </w:tc>
              <w:tc>
                <w:tcPr>
                  <w:tcW w:w="659" w:type="pct"/>
                  <w:vAlign w:val="center"/>
                </w:tcPr>
                <w:p w14:paraId="2B125CCB">
                  <w:pPr>
                    <w:adjustRightInd w:val="0"/>
                    <w:spacing w:line="276" w:lineRule="auto"/>
                    <w:jc w:val="center"/>
                    <w:rPr>
                      <w:color w:val="auto"/>
                      <w:kern w:val="0"/>
                      <w:szCs w:val="21"/>
                    </w:rPr>
                  </w:pPr>
                  <w:r>
                    <w:rPr>
                      <w:rFonts w:hint="eastAsia"/>
                      <w:color w:val="auto"/>
                      <w:kern w:val="0"/>
                      <w:szCs w:val="21"/>
                    </w:rPr>
                    <w:t>第一次</w:t>
                  </w:r>
                </w:p>
              </w:tc>
              <w:tc>
                <w:tcPr>
                  <w:tcW w:w="660" w:type="pct"/>
                  <w:vAlign w:val="center"/>
                </w:tcPr>
                <w:p w14:paraId="0E9011F3">
                  <w:pPr>
                    <w:adjustRightInd w:val="0"/>
                    <w:spacing w:line="276" w:lineRule="auto"/>
                    <w:jc w:val="center"/>
                    <w:rPr>
                      <w:color w:val="auto"/>
                      <w:kern w:val="0"/>
                      <w:szCs w:val="21"/>
                    </w:rPr>
                  </w:pPr>
                  <w:r>
                    <w:rPr>
                      <w:rFonts w:hint="eastAsia"/>
                      <w:color w:val="auto"/>
                      <w:kern w:val="0"/>
                      <w:szCs w:val="21"/>
                    </w:rPr>
                    <w:t>35011</w:t>
                  </w:r>
                </w:p>
              </w:tc>
              <w:tc>
                <w:tcPr>
                  <w:tcW w:w="527" w:type="pct"/>
                  <w:vAlign w:val="center"/>
                </w:tcPr>
                <w:p w14:paraId="247BE915">
                  <w:pPr>
                    <w:adjustRightInd w:val="0"/>
                    <w:spacing w:line="276" w:lineRule="auto"/>
                    <w:jc w:val="center"/>
                    <w:rPr>
                      <w:color w:val="auto"/>
                      <w:kern w:val="0"/>
                      <w:szCs w:val="21"/>
                    </w:rPr>
                  </w:pPr>
                  <w:r>
                    <w:rPr>
                      <w:rFonts w:hint="eastAsia"/>
                      <w:color w:val="auto"/>
                      <w:kern w:val="0"/>
                      <w:szCs w:val="21"/>
                    </w:rPr>
                    <w:t>15.5</w:t>
                  </w:r>
                </w:p>
              </w:tc>
              <w:tc>
                <w:tcPr>
                  <w:tcW w:w="703" w:type="pct"/>
                  <w:shd w:val="clear" w:color="auto" w:fill="auto"/>
                  <w:vAlign w:val="center"/>
                </w:tcPr>
                <w:p w14:paraId="0B68625C">
                  <w:pPr>
                    <w:adjustRightInd w:val="0"/>
                    <w:spacing w:line="276" w:lineRule="auto"/>
                    <w:jc w:val="center"/>
                    <w:rPr>
                      <w:color w:val="auto"/>
                      <w:kern w:val="0"/>
                      <w:szCs w:val="21"/>
                    </w:rPr>
                  </w:pPr>
                  <w:r>
                    <w:rPr>
                      <w:rFonts w:hint="eastAsia"/>
                      <w:color w:val="auto"/>
                      <w:kern w:val="0"/>
                      <w:szCs w:val="21"/>
                    </w:rPr>
                    <w:t>0.13</w:t>
                  </w:r>
                </w:p>
              </w:tc>
              <w:tc>
                <w:tcPr>
                  <w:tcW w:w="706" w:type="pct"/>
                  <w:shd w:val="clear" w:color="auto" w:fill="auto"/>
                  <w:vAlign w:val="center"/>
                </w:tcPr>
                <w:p w14:paraId="35B4D804">
                  <w:pPr>
                    <w:adjustRightInd w:val="0"/>
                    <w:spacing w:line="276" w:lineRule="auto"/>
                    <w:jc w:val="center"/>
                    <w:rPr>
                      <w:color w:val="auto"/>
                      <w:kern w:val="0"/>
                      <w:szCs w:val="21"/>
                    </w:rPr>
                  </w:pPr>
                  <w:r>
                    <w:rPr>
                      <w:rFonts w:hint="eastAsia"/>
                      <w:color w:val="auto"/>
                      <w:kern w:val="0"/>
                      <w:szCs w:val="21"/>
                    </w:rPr>
                    <w:t>0.29</w:t>
                  </w:r>
                </w:p>
              </w:tc>
              <w:tc>
                <w:tcPr>
                  <w:tcW w:w="495" w:type="pct"/>
                  <w:vMerge w:val="restart"/>
                  <w:shd w:val="clear" w:color="auto" w:fill="auto"/>
                  <w:vAlign w:val="center"/>
                </w:tcPr>
                <w:p w14:paraId="7490D96D">
                  <w:pPr>
                    <w:adjustRightInd w:val="0"/>
                    <w:spacing w:line="276" w:lineRule="auto"/>
                    <w:jc w:val="center"/>
                    <w:rPr>
                      <w:color w:val="auto"/>
                      <w:kern w:val="0"/>
                      <w:szCs w:val="21"/>
                    </w:rPr>
                  </w:pPr>
                  <w:r>
                    <w:rPr>
                      <w:rFonts w:hint="eastAsia"/>
                      <w:color w:val="auto"/>
                      <w:kern w:val="0"/>
                      <w:szCs w:val="21"/>
                    </w:rPr>
                    <w:t>60</w:t>
                  </w:r>
                </w:p>
              </w:tc>
            </w:tr>
            <w:tr w14:paraId="0ADDC36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1" w:type="pct"/>
                  <w:vMerge w:val="continue"/>
                  <w:vAlign w:val="center"/>
                </w:tcPr>
                <w:p w14:paraId="0B9564EE">
                  <w:pPr>
                    <w:adjustRightInd w:val="0"/>
                    <w:spacing w:line="276" w:lineRule="auto"/>
                    <w:jc w:val="center"/>
                    <w:rPr>
                      <w:color w:val="auto"/>
                      <w:kern w:val="0"/>
                      <w:szCs w:val="21"/>
                    </w:rPr>
                  </w:pPr>
                </w:p>
              </w:tc>
              <w:tc>
                <w:tcPr>
                  <w:tcW w:w="440" w:type="pct"/>
                  <w:vMerge w:val="continue"/>
                  <w:vAlign w:val="center"/>
                </w:tcPr>
                <w:p w14:paraId="77FC475B">
                  <w:pPr>
                    <w:adjustRightInd w:val="0"/>
                    <w:spacing w:line="276" w:lineRule="auto"/>
                    <w:jc w:val="center"/>
                    <w:rPr>
                      <w:color w:val="auto"/>
                      <w:kern w:val="0"/>
                      <w:szCs w:val="21"/>
                    </w:rPr>
                  </w:pPr>
                </w:p>
              </w:tc>
              <w:tc>
                <w:tcPr>
                  <w:tcW w:w="438" w:type="pct"/>
                  <w:vMerge w:val="continue"/>
                  <w:shd w:val="clear" w:color="auto" w:fill="auto"/>
                  <w:vAlign w:val="center"/>
                </w:tcPr>
                <w:p w14:paraId="028D7CA2">
                  <w:pPr>
                    <w:adjustRightInd w:val="0"/>
                    <w:spacing w:line="276" w:lineRule="auto"/>
                    <w:jc w:val="center"/>
                    <w:rPr>
                      <w:color w:val="auto"/>
                      <w:kern w:val="0"/>
                      <w:szCs w:val="21"/>
                    </w:rPr>
                  </w:pPr>
                </w:p>
              </w:tc>
              <w:tc>
                <w:tcPr>
                  <w:tcW w:w="659" w:type="pct"/>
                  <w:vAlign w:val="center"/>
                </w:tcPr>
                <w:p w14:paraId="49BC5E06">
                  <w:pPr>
                    <w:adjustRightInd w:val="0"/>
                    <w:spacing w:line="276" w:lineRule="auto"/>
                    <w:jc w:val="center"/>
                    <w:rPr>
                      <w:color w:val="auto"/>
                      <w:kern w:val="0"/>
                      <w:szCs w:val="21"/>
                    </w:rPr>
                  </w:pPr>
                  <w:r>
                    <w:rPr>
                      <w:rFonts w:hint="eastAsia"/>
                      <w:color w:val="auto"/>
                      <w:kern w:val="0"/>
                      <w:szCs w:val="21"/>
                    </w:rPr>
                    <w:t>第二次</w:t>
                  </w:r>
                </w:p>
              </w:tc>
              <w:tc>
                <w:tcPr>
                  <w:tcW w:w="660" w:type="pct"/>
                  <w:vAlign w:val="center"/>
                </w:tcPr>
                <w:p w14:paraId="16ABD86B">
                  <w:pPr>
                    <w:adjustRightInd w:val="0"/>
                    <w:spacing w:line="276" w:lineRule="auto"/>
                    <w:jc w:val="center"/>
                    <w:rPr>
                      <w:color w:val="auto"/>
                      <w:kern w:val="0"/>
                      <w:szCs w:val="21"/>
                    </w:rPr>
                  </w:pPr>
                  <w:r>
                    <w:rPr>
                      <w:rFonts w:hint="eastAsia"/>
                      <w:color w:val="auto"/>
                      <w:kern w:val="0"/>
                      <w:szCs w:val="21"/>
                    </w:rPr>
                    <w:t>32286</w:t>
                  </w:r>
                </w:p>
              </w:tc>
              <w:tc>
                <w:tcPr>
                  <w:tcW w:w="527" w:type="pct"/>
                  <w:vAlign w:val="center"/>
                </w:tcPr>
                <w:p w14:paraId="50180EEA">
                  <w:pPr>
                    <w:adjustRightInd w:val="0"/>
                    <w:spacing w:line="276" w:lineRule="auto"/>
                    <w:jc w:val="center"/>
                    <w:rPr>
                      <w:color w:val="auto"/>
                      <w:kern w:val="0"/>
                      <w:szCs w:val="21"/>
                    </w:rPr>
                  </w:pPr>
                  <w:r>
                    <w:rPr>
                      <w:rFonts w:hint="eastAsia"/>
                      <w:color w:val="auto"/>
                      <w:kern w:val="0"/>
                      <w:szCs w:val="21"/>
                    </w:rPr>
                    <w:t>15.5</w:t>
                  </w:r>
                </w:p>
              </w:tc>
              <w:tc>
                <w:tcPr>
                  <w:tcW w:w="703" w:type="pct"/>
                  <w:shd w:val="clear" w:color="auto" w:fill="auto"/>
                  <w:vAlign w:val="center"/>
                </w:tcPr>
                <w:p w14:paraId="65F07E50">
                  <w:pPr>
                    <w:adjustRightInd w:val="0"/>
                    <w:spacing w:line="276" w:lineRule="auto"/>
                    <w:jc w:val="center"/>
                    <w:rPr>
                      <w:color w:val="auto"/>
                      <w:kern w:val="0"/>
                      <w:szCs w:val="21"/>
                    </w:rPr>
                  </w:pPr>
                  <w:r>
                    <w:rPr>
                      <w:rFonts w:hint="eastAsia"/>
                      <w:color w:val="auto"/>
                      <w:kern w:val="0"/>
                      <w:szCs w:val="21"/>
                    </w:rPr>
                    <w:t>0.12</w:t>
                  </w:r>
                </w:p>
              </w:tc>
              <w:tc>
                <w:tcPr>
                  <w:tcW w:w="706" w:type="pct"/>
                  <w:shd w:val="clear" w:color="auto" w:fill="auto"/>
                  <w:vAlign w:val="center"/>
                </w:tcPr>
                <w:p w14:paraId="26AEC33A">
                  <w:pPr>
                    <w:adjustRightInd w:val="0"/>
                    <w:spacing w:line="276" w:lineRule="auto"/>
                    <w:jc w:val="center"/>
                    <w:rPr>
                      <w:color w:val="auto"/>
                      <w:kern w:val="0"/>
                      <w:szCs w:val="21"/>
                    </w:rPr>
                  </w:pPr>
                  <w:r>
                    <w:rPr>
                      <w:rFonts w:hint="eastAsia"/>
                      <w:color w:val="auto"/>
                      <w:kern w:val="0"/>
                      <w:szCs w:val="21"/>
                    </w:rPr>
                    <w:t>0.27</w:t>
                  </w:r>
                </w:p>
              </w:tc>
              <w:tc>
                <w:tcPr>
                  <w:tcW w:w="495" w:type="pct"/>
                  <w:vMerge w:val="continue"/>
                  <w:shd w:val="clear" w:color="auto" w:fill="auto"/>
                  <w:vAlign w:val="center"/>
                </w:tcPr>
                <w:p w14:paraId="0F381DB4">
                  <w:pPr>
                    <w:adjustRightInd w:val="0"/>
                    <w:spacing w:line="276" w:lineRule="auto"/>
                    <w:jc w:val="center"/>
                    <w:rPr>
                      <w:color w:val="auto"/>
                      <w:kern w:val="0"/>
                      <w:szCs w:val="21"/>
                    </w:rPr>
                  </w:pPr>
                </w:p>
              </w:tc>
            </w:tr>
            <w:tr w14:paraId="74C8D7A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1" w:type="pct"/>
                  <w:vMerge w:val="continue"/>
                  <w:vAlign w:val="center"/>
                </w:tcPr>
                <w:p w14:paraId="639B417C">
                  <w:pPr>
                    <w:adjustRightInd w:val="0"/>
                    <w:spacing w:line="276" w:lineRule="auto"/>
                    <w:jc w:val="center"/>
                    <w:rPr>
                      <w:color w:val="auto"/>
                      <w:kern w:val="0"/>
                      <w:szCs w:val="21"/>
                    </w:rPr>
                  </w:pPr>
                </w:p>
              </w:tc>
              <w:tc>
                <w:tcPr>
                  <w:tcW w:w="440" w:type="pct"/>
                  <w:vMerge w:val="continue"/>
                  <w:vAlign w:val="center"/>
                </w:tcPr>
                <w:p w14:paraId="797738D4">
                  <w:pPr>
                    <w:adjustRightInd w:val="0"/>
                    <w:spacing w:line="276" w:lineRule="auto"/>
                    <w:jc w:val="center"/>
                    <w:rPr>
                      <w:color w:val="auto"/>
                      <w:kern w:val="0"/>
                      <w:szCs w:val="21"/>
                    </w:rPr>
                  </w:pPr>
                </w:p>
              </w:tc>
              <w:tc>
                <w:tcPr>
                  <w:tcW w:w="438" w:type="pct"/>
                  <w:vMerge w:val="continue"/>
                  <w:shd w:val="clear" w:color="auto" w:fill="auto"/>
                  <w:vAlign w:val="center"/>
                </w:tcPr>
                <w:p w14:paraId="4BCE3307">
                  <w:pPr>
                    <w:adjustRightInd w:val="0"/>
                    <w:spacing w:line="276" w:lineRule="auto"/>
                    <w:jc w:val="center"/>
                    <w:rPr>
                      <w:color w:val="auto"/>
                      <w:kern w:val="0"/>
                      <w:szCs w:val="21"/>
                    </w:rPr>
                  </w:pPr>
                </w:p>
              </w:tc>
              <w:tc>
                <w:tcPr>
                  <w:tcW w:w="659" w:type="pct"/>
                  <w:vAlign w:val="center"/>
                </w:tcPr>
                <w:p w14:paraId="7EC932E8">
                  <w:pPr>
                    <w:adjustRightInd w:val="0"/>
                    <w:spacing w:line="276" w:lineRule="auto"/>
                    <w:jc w:val="center"/>
                    <w:rPr>
                      <w:color w:val="auto"/>
                      <w:kern w:val="0"/>
                      <w:szCs w:val="21"/>
                    </w:rPr>
                  </w:pPr>
                  <w:r>
                    <w:rPr>
                      <w:rFonts w:hint="eastAsia"/>
                      <w:color w:val="auto"/>
                      <w:kern w:val="0"/>
                      <w:szCs w:val="21"/>
                    </w:rPr>
                    <w:t>第三次</w:t>
                  </w:r>
                </w:p>
              </w:tc>
              <w:tc>
                <w:tcPr>
                  <w:tcW w:w="660" w:type="pct"/>
                  <w:vAlign w:val="center"/>
                </w:tcPr>
                <w:p w14:paraId="5D0AFA77">
                  <w:pPr>
                    <w:adjustRightInd w:val="0"/>
                    <w:spacing w:line="276" w:lineRule="auto"/>
                    <w:jc w:val="center"/>
                    <w:rPr>
                      <w:color w:val="auto"/>
                      <w:kern w:val="0"/>
                      <w:szCs w:val="21"/>
                    </w:rPr>
                  </w:pPr>
                  <w:r>
                    <w:rPr>
                      <w:rFonts w:hint="eastAsia"/>
                      <w:color w:val="auto"/>
                      <w:kern w:val="0"/>
                      <w:szCs w:val="21"/>
                    </w:rPr>
                    <w:t>30962</w:t>
                  </w:r>
                </w:p>
              </w:tc>
              <w:tc>
                <w:tcPr>
                  <w:tcW w:w="527" w:type="pct"/>
                  <w:vAlign w:val="center"/>
                </w:tcPr>
                <w:p w14:paraId="1D9D55C4">
                  <w:pPr>
                    <w:adjustRightInd w:val="0"/>
                    <w:spacing w:line="276" w:lineRule="auto"/>
                    <w:jc w:val="center"/>
                    <w:rPr>
                      <w:color w:val="auto"/>
                      <w:kern w:val="0"/>
                      <w:szCs w:val="21"/>
                    </w:rPr>
                  </w:pPr>
                  <w:r>
                    <w:rPr>
                      <w:rFonts w:hint="eastAsia"/>
                      <w:color w:val="auto"/>
                      <w:kern w:val="0"/>
                      <w:szCs w:val="21"/>
                    </w:rPr>
                    <w:t>15.0</w:t>
                  </w:r>
                </w:p>
              </w:tc>
              <w:tc>
                <w:tcPr>
                  <w:tcW w:w="703" w:type="pct"/>
                  <w:shd w:val="clear" w:color="auto" w:fill="auto"/>
                  <w:vAlign w:val="center"/>
                </w:tcPr>
                <w:p w14:paraId="6C975CF4">
                  <w:pPr>
                    <w:adjustRightInd w:val="0"/>
                    <w:spacing w:line="276" w:lineRule="auto"/>
                    <w:jc w:val="center"/>
                    <w:rPr>
                      <w:color w:val="auto"/>
                      <w:kern w:val="0"/>
                      <w:szCs w:val="21"/>
                    </w:rPr>
                  </w:pPr>
                  <w:r>
                    <w:rPr>
                      <w:rFonts w:hint="eastAsia"/>
                      <w:color w:val="auto"/>
                      <w:kern w:val="0"/>
                      <w:szCs w:val="21"/>
                    </w:rPr>
                    <w:t>0.15</w:t>
                  </w:r>
                </w:p>
              </w:tc>
              <w:tc>
                <w:tcPr>
                  <w:tcW w:w="706" w:type="pct"/>
                  <w:shd w:val="clear" w:color="auto" w:fill="auto"/>
                  <w:vAlign w:val="center"/>
                </w:tcPr>
                <w:p w14:paraId="576C5407">
                  <w:pPr>
                    <w:adjustRightInd w:val="0"/>
                    <w:spacing w:line="276" w:lineRule="auto"/>
                    <w:jc w:val="center"/>
                    <w:rPr>
                      <w:color w:val="auto"/>
                      <w:kern w:val="0"/>
                      <w:szCs w:val="21"/>
                    </w:rPr>
                  </w:pPr>
                  <w:r>
                    <w:rPr>
                      <w:rFonts w:hint="eastAsia"/>
                      <w:color w:val="auto"/>
                      <w:kern w:val="0"/>
                      <w:szCs w:val="21"/>
                    </w:rPr>
                    <w:t>0.31</w:t>
                  </w:r>
                </w:p>
              </w:tc>
              <w:tc>
                <w:tcPr>
                  <w:tcW w:w="495" w:type="pct"/>
                  <w:vMerge w:val="continue"/>
                  <w:shd w:val="clear" w:color="auto" w:fill="auto"/>
                  <w:vAlign w:val="center"/>
                </w:tcPr>
                <w:p w14:paraId="42676CDB">
                  <w:pPr>
                    <w:adjustRightInd w:val="0"/>
                    <w:spacing w:line="276" w:lineRule="auto"/>
                    <w:jc w:val="center"/>
                    <w:rPr>
                      <w:color w:val="auto"/>
                      <w:kern w:val="0"/>
                      <w:szCs w:val="21"/>
                    </w:rPr>
                  </w:pPr>
                </w:p>
              </w:tc>
            </w:tr>
            <w:tr w14:paraId="234FB7F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1" w:type="pct"/>
                  <w:vMerge w:val="continue"/>
                  <w:vAlign w:val="center"/>
                </w:tcPr>
                <w:p w14:paraId="0F269599">
                  <w:pPr>
                    <w:adjustRightInd w:val="0"/>
                    <w:spacing w:line="276" w:lineRule="auto"/>
                    <w:jc w:val="center"/>
                    <w:rPr>
                      <w:color w:val="auto"/>
                      <w:kern w:val="0"/>
                      <w:szCs w:val="21"/>
                    </w:rPr>
                  </w:pPr>
                </w:p>
              </w:tc>
              <w:tc>
                <w:tcPr>
                  <w:tcW w:w="440" w:type="pct"/>
                  <w:vMerge w:val="continue"/>
                  <w:vAlign w:val="center"/>
                </w:tcPr>
                <w:p w14:paraId="2DBA27BA">
                  <w:pPr>
                    <w:adjustRightInd w:val="0"/>
                    <w:spacing w:line="276" w:lineRule="auto"/>
                    <w:jc w:val="center"/>
                    <w:rPr>
                      <w:color w:val="auto"/>
                      <w:kern w:val="0"/>
                      <w:szCs w:val="21"/>
                    </w:rPr>
                  </w:pPr>
                </w:p>
              </w:tc>
              <w:tc>
                <w:tcPr>
                  <w:tcW w:w="438" w:type="pct"/>
                  <w:vMerge w:val="restart"/>
                  <w:shd w:val="clear" w:color="auto" w:fill="auto"/>
                  <w:vAlign w:val="center"/>
                </w:tcPr>
                <w:p w14:paraId="04516531">
                  <w:pPr>
                    <w:adjustRightInd w:val="0"/>
                    <w:spacing w:line="276" w:lineRule="auto"/>
                    <w:jc w:val="center"/>
                    <w:rPr>
                      <w:color w:val="auto"/>
                      <w:kern w:val="0"/>
                      <w:szCs w:val="21"/>
                    </w:rPr>
                  </w:pPr>
                  <w:r>
                    <w:rPr>
                      <w:color w:val="auto"/>
                      <w:kern w:val="0"/>
                      <w:szCs w:val="21"/>
                    </w:rPr>
                    <w:t>烟气黑度</w:t>
                  </w:r>
                </w:p>
              </w:tc>
              <w:tc>
                <w:tcPr>
                  <w:tcW w:w="659" w:type="pct"/>
                  <w:vAlign w:val="center"/>
                </w:tcPr>
                <w:p w14:paraId="5DD37557">
                  <w:pPr>
                    <w:adjustRightInd w:val="0"/>
                    <w:spacing w:line="276" w:lineRule="auto"/>
                    <w:jc w:val="center"/>
                    <w:rPr>
                      <w:color w:val="auto"/>
                      <w:kern w:val="0"/>
                      <w:szCs w:val="21"/>
                    </w:rPr>
                  </w:pPr>
                  <w:r>
                    <w:rPr>
                      <w:rFonts w:hint="eastAsia"/>
                      <w:color w:val="auto"/>
                      <w:kern w:val="0"/>
                      <w:szCs w:val="21"/>
                    </w:rPr>
                    <w:t>第一次</w:t>
                  </w:r>
                </w:p>
              </w:tc>
              <w:tc>
                <w:tcPr>
                  <w:tcW w:w="660" w:type="pct"/>
                  <w:vAlign w:val="center"/>
                </w:tcPr>
                <w:p w14:paraId="7920AFC8">
                  <w:pPr>
                    <w:adjustRightInd w:val="0"/>
                    <w:spacing w:line="276" w:lineRule="auto"/>
                    <w:jc w:val="center"/>
                    <w:rPr>
                      <w:color w:val="auto"/>
                      <w:kern w:val="0"/>
                      <w:szCs w:val="21"/>
                    </w:rPr>
                  </w:pPr>
                  <w:r>
                    <w:rPr>
                      <w:rFonts w:hint="eastAsia"/>
                      <w:color w:val="auto"/>
                      <w:kern w:val="0"/>
                      <w:szCs w:val="21"/>
                    </w:rPr>
                    <w:t>/</w:t>
                  </w:r>
                </w:p>
              </w:tc>
              <w:tc>
                <w:tcPr>
                  <w:tcW w:w="527" w:type="pct"/>
                  <w:vAlign w:val="center"/>
                </w:tcPr>
                <w:p w14:paraId="4ADFD6A8">
                  <w:pPr>
                    <w:adjustRightInd w:val="0"/>
                    <w:spacing w:line="276" w:lineRule="auto"/>
                    <w:jc w:val="center"/>
                    <w:rPr>
                      <w:color w:val="auto"/>
                      <w:kern w:val="0"/>
                      <w:szCs w:val="21"/>
                    </w:rPr>
                  </w:pPr>
                  <w:r>
                    <w:rPr>
                      <w:rFonts w:hint="eastAsia"/>
                      <w:color w:val="auto"/>
                      <w:kern w:val="0"/>
                      <w:szCs w:val="21"/>
                    </w:rPr>
                    <w:t>/</w:t>
                  </w:r>
                </w:p>
              </w:tc>
              <w:tc>
                <w:tcPr>
                  <w:tcW w:w="703" w:type="pct"/>
                  <w:shd w:val="clear" w:color="auto" w:fill="auto"/>
                  <w:vAlign w:val="center"/>
                </w:tcPr>
                <w:p w14:paraId="023ADEE8">
                  <w:pPr>
                    <w:adjustRightInd w:val="0"/>
                    <w:spacing w:line="276" w:lineRule="auto"/>
                    <w:jc w:val="center"/>
                    <w:rPr>
                      <w:color w:val="auto"/>
                      <w:kern w:val="0"/>
                      <w:szCs w:val="21"/>
                    </w:rPr>
                  </w:pPr>
                  <w:r>
                    <w:rPr>
                      <w:color w:val="auto"/>
                      <w:kern w:val="0"/>
                      <w:szCs w:val="21"/>
                    </w:rPr>
                    <w:t>＜</w:t>
                  </w:r>
                  <w:r>
                    <w:rPr>
                      <w:rFonts w:hint="eastAsia"/>
                      <w:color w:val="auto"/>
                      <w:kern w:val="0"/>
                      <w:szCs w:val="21"/>
                    </w:rPr>
                    <w:t>1级</w:t>
                  </w:r>
                </w:p>
              </w:tc>
              <w:tc>
                <w:tcPr>
                  <w:tcW w:w="706" w:type="pct"/>
                  <w:shd w:val="clear" w:color="auto" w:fill="auto"/>
                  <w:vAlign w:val="center"/>
                </w:tcPr>
                <w:p w14:paraId="26F5ADAA">
                  <w:pPr>
                    <w:adjustRightInd w:val="0"/>
                    <w:spacing w:line="276" w:lineRule="auto"/>
                    <w:jc w:val="center"/>
                    <w:rPr>
                      <w:color w:val="auto"/>
                      <w:kern w:val="0"/>
                      <w:szCs w:val="21"/>
                    </w:rPr>
                  </w:pPr>
                  <w:r>
                    <w:rPr>
                      <w:rFonts w:hint="eastAsia"/>
                      <w:color w:val="auto"/>
                      <w:kern w:val="0"/>
                      <w:szCs w:val="21"/>
                    </w:rPr>
                    <w:t>/</w:t>
                  </w:r>
                </w:p>
              </w:tc>
              <w:tc>
                <w:tcPr>
                  <w:tcW w:w="495" w:type="pct"/>
                  <w:vMerge w:val="continue"/>
                  <w:shd w:val="clear" w:color="auto" w:fill="auto"/>
                  <w:vAlign w:val="center"/>
                </w:tcPr>
                <w:p w14:paraId="16ABFF21">
                  <w:pPr>
                    <w:adjustRightInd w:val="0"/>
                    <w:spacing w:line="276" w:lineRule="auto"/>
                    <w:jc w:val="center"/>
                    <w:rPr>
                      <w:color w:val="auto"/>
                      <w:kern w:val="0"/>
                      <w:szCs w:val="21"/>
                    </w:rPr>
                  </w:pPr>
                </w:p>
              </w:tc>
            </w:tr>
            <w:tr w14:paraId="2EA150D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jc w:val="center"/>
              </w:trPr>
              <w:tc>
                <w:tcPr>
                  <w:tcW w:w="371" w:type="pct"/>
                  <w:vMerge w:val="continue"/>
                  <w:vAlign w:val="center"/>
                </w:tcPr>
                <w:p w14:paraId="6EC8A137">
                  <w:pPr>
                    <w:adjustRightInd w:val="0"/>
                    <w:spacing w:line="276" w:lineRule="auto"/>
                    <w:jc w:val="center"/>
                    <w:rPr>
                      <w:color w:val="auto"/>
                      <w:kern w:val="0"/>
                      <w:szCs w:val="21"/>
                    </w:rPr>
                  </w:pPr>
                </w:p>
              </w:tc>
              <w:tc>
                <w:tcPr>
                  <w:tcW w:w="440" w:type="pct"/>
                  <w:vMerge w:val="continue"/>
                  <w:vAlign w:val="center"/>
                </w:tcPr>
                <w:p w14:paraId="3C0FEAD3">
                  <w:pPr>
                    <w:adjustRightInd w:val="0"/>
                    <w:spacing w:line="276" w:lineRule="auto"/>
                    <w:jc w:val="center"/>
                    <w:rPr>
                      <w:color w:val="auto"/>
                      <w:kern w:val="0"/>
                      <w:szCs w:val="21"/>
                    </w:rPr>
                  </w:pPr>
                </w:p>
              </w:tc>
              <w:tc>
                <w:tcPr>
                  <w:tcW w:w="438" w:type="pct"/>
                  <w:vMerge w:val="continue"/>
                  <w:shd w:val="clear" w:color="auto" w:fill="auto"/>
                  <w:vAlign w:val="center"/>
                </w:tcPr>
                <w:p w14:paraId="205AAD95">
                  <w:pPr>
                    <w:adjustRightInd w:val="0"/>
                    <w:spacing w:line="276" w:lineRule="auto"/>
                    <w:jc w:val="center"/>
                    <w:rPr>
                      <w:color w:val="auto"/>
                      <w:kern w:val="0"/>
                      <w:szCs w:val="21"/>
                    </w:rPr>
                  </w:pPr>
                </w:p>
              </w:tc>
              <w:tc>
                <w:tcPr>
                  <w:tcW w:w="659" w:type="pct"/>
                  <w:vAlign w:val="center"/>
                </w:tcPr>
                <w:p w14:paraId="5F75ABBE">
                  <w:pPr>
                    <w:adjustRightInd w:val="0"/>
                    <w:spacing w:line="276" w:lineRule="auto"/>
                    <w:jc w:val="center"/>
                    <w:rPr>
                      <w:color w:val="auto"/>
                      <w:kern w:val="0"/>
                      <w:szCs w:val="21"/>
                    </w:rPr>
                  </w:pPr>
                  <w:r>
                    <w:rPr>
                      <w:rFonts w:hint="eastAsia"/>
                      <w:color w:val="auto"/>
                      <w:kern w:val="0"/>
                      <w:szCs w:val="21"/>
                    </w:rPr>
                    <w:t>第二次</w:t>
                  </w:r>
                </w:p>
              </w:tc>
              <w:tc>
                <w:tcPr>
                  <w:tcW w:w="660" w:type="pct"/>
                  <w:vAlign w:val="center"/>
                </w:tcPr>
                <w:p w14:paraId="7130C096">
                  <w:pPr>
                    <w:adjustRightInd w:val="0"/>
                    <w:spacing w:line="276" w:lineRule="auto"/>
                    <w:jc w:val="center"/>
                    <w:rPr>
                      <w:color w:val="auto"/>
                      <w:kern w:val="0"/>
                      <w:szCs w:val="21"/>
                    </w:rPr>
                  </w:pPr>
                  <w:r>
                    <w:rPr>
                      <w:rFonts w:hint="eastAsia"/>
                      <w:color w:val="auto"/>
                      <w:kern w:val="0"/>
                      <w:szCs w:val="21"/>
                    </w:rPr>
                    <w:t>/</w:t>
                  </w:r>
                </w:p>
              </w:tc>
              <w:tc>
                <w:tcPr>
                  <w:tcW w:w="527" w:type="pct"/>
                  <w:vAlign w:val="center"/>
                </w:tcPr>
                <w:p w14:paraId="1F2319A6">
                  <w:pPr>
                    <w:adjustRightInd w:val="0"/>
                    <w:spacing w:line="276" w:lineRule="auto"/>
                    <w:jc w:val="center"/>
                    <w:rPr>
                      <w:color w:val="auto"/>
                      <w:kern w:val="0"/>
                      <w:szCs w:val="21"/>
                    </w:rPr>
                  </w:pPr>
                  <w:r>
                    <w:rPr>
                      <w:rFonts w:hint="eastAsia"/>
                      <w:color w:val="auto"/>
                      <w:kern w:val="0"/>
                      <w:szCs w:val="21"/>
                    </w:rPr>
                    <w:t>/</w:t>
                  </w:r>
                </w:p>
              </w:tc>
              <w:tc>
                <w:tcPr>
                  <w:tcW w:w="703" w:type="pct"/>
                  <w:shd w:val="clear" w:color="auto" w:fill="auto"/>
                  <w:vAlign w:val="center"/>
                </w:tcPr>
                <w:p w14:paraId="269FA854">
                  <w:pPr>
                    <w:adjustRightInd w:val="0"/>
                    <w:spacing w:line="276" w:lineRule="auto"/>
                    <w:jc w:val="center"/>
                    <w:rPr>
                      <w:color w:val="auto"/>
                      <w:kern w:val="0"/>
                      <w:szCs w:val="21"/>
                    </w:rPr>
                  </w:pPr>
                  <w:r>
                    <w:rPr>
                      <w:color w:val="auto"/>
                      <w:kern w:val="0"/>
                      <w:szCs w:val="21"/>
                    </w:rPr>
                    <w:t>＜</w:t>
                  </w:r>
                  <w:r>
                    <w:rPr>
                      <w:rFonts w:hint="eastAsia"/>
                      <w:color w:val="auto"/>
                      <w:kern w:val="0"/>
                      <w:szCs w:val="21"/>
                    </w:rPr>
                    <w:t>1级</w:t>
                  </w:r>
                </w:p>
              </w:tc>
              <w:tc>
                <w:tcPr>
                  <w:tcW w:w="706" w:type="pct"/>
                  <w:shd w:val="clear" w:color="auto" w:fill="auto"/>
                  <w:vAlign w:val="center"/>
                </w:tcPr>
                <w:p w14:paraId="49C3A416">
                  <w:pPr>
                    <w:adjustRightInd w:val="0"/>
                    <w:spacing w:line="276" w:lineRule="auto"/>
                    <w:jc w:val="center"/>
                    <w:rPr>
                      <w:color w:val="auto"/>
                      <w:kern w:val="0"/>
                      <w:szCs w:val="21"/>
                    </w:rPr>
                  </w:pPr>
                  <w:r>
                    <w:rPr>
                      <w:rFonts w:hint="eastAsia"/>
                      <w:color w:val="auto"/>
                      <w:kern w:val="0"/>
                      <w:szCs w:val="21"/>
                    </w:rPr>
                    <w:t>/</w:t>
                  </w:r>
                </w:p>
              </w:tc>
              <w:tc>
                <w:tcPr>
                  <w:tcW w:w="495" w:type="pct"/>
                  <w:vMerge w:val="continue"/>
                  <w:shd w:val="clear" w:color="auto" w:fill="auto"/>
                  <w:vAlign w:val="center"/>
                </w:tcPr>
                <w:p w14:paraId="5B445364">
                  <w:pPr>
                    <w:adjustRightInd w:val="0"/>
                    <w:spacing w:line="276" w:lineRule="auto"/>
                    <w:jc w:val="center"/>
                    <w:rPr>
                      <w:color w:val="auto"/>
                      <w:kern w:val="0"/>
                      <w:szCs w:val="21"/>
                    </w:rPr>
                  </w:pPr>
                </w:p>
              </w:tc>
            </w:tr>
            <w:tr w14:paraId="15A3EFD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371" w:type="pct"/>
                  <w:vMerge w:val="continue"/>
                  <w:vAlign w:val="center"/>
                </w:tcPr>
                <w:p w14:paraId="2C280E37">
                  <w:pPr>
                    <w:adjustRightInd w:val="0"/>
                    <w:spacing w:line="276" w:lineRule="auto"/>
                    <w:jc w:val="center"/>
                    <w:rPr>
                      <w:color w:val="auto"/>
                      <w:kern w:val="0"/>
                      <w:szCs w:val="21"/>
                    </w:rPr>
                  </w:pPr>
                </w:p>
              </w:tc>
              <w:tc>
                <w:tcPr>
                  <w:tcW w:w="440" w:type="pct"/>
                  <w:vMerge w:val="continue"/>
                  <w:vAlign w:val="center"/>
                </w:tcPr>
                <w:p w14:paraId="6E6B7CFB">
                  <w:pPr>
                    <w:adjustRightInd w:val="0"/>
                    <w:spacing w:line="276" w:lineRule="auto"/>
                    <w:jc w:val="center"/>
                    <w:rPr>
                      <w:color w:val="auto"/>
                      <w:kern w:val="0"/>
                      <w:szCs w:val="21"/>
                    </w:rPr>
                  </w:pPr>
                </w:p>
              </w:tc>
              <w:tc>
                <w:tcPr>
                  <w:tcW w:w="438" w:type="pct"/>
                  <w:vMerge w:val="continue"/>
                  <w:shd w:val="clear" w:color="auto" w:fill="auto"/>
                  <w:vAlign w:val="center"/>
                </w:tcPr>
                <w:p w14:paraId="173BE4A4">
                  <w:pPr>
                    <w:adjustRightInd w:val="0"/>
                    <w:spacing w:line="276" w:lineRule="auto"/>
                    <w:jc w:val="center"/>
                    <w:rPr>
                      <w:color w:val="auto"/>
                      <w:kern w:val="0"/>
                      <w:szCs w:val="21"/>
                    </w:rPr>
                  </w:pPr>
                </w:p>
              </w:tc>
              <w:tc>
                <w:tcPr>
                  <w:tcW w:w="659" w:type="pct"/>
                  <w:vAlign w:val="center"/>
                </w:tcPr>
                <w:p w14:paraId="172BE827">
                  <w:pPr>
                    <w:adjustRightInd w:val="0"/>
                    <w:spacing w:line="276" w:lineRule="auto"/>
                    <w:jc w:val="center"/>
                    <w:rPr>
                      <w:color w:val="auto"/>
                      <w:kern w:val="0"/>
                      <w:szCs w:val="21"/>
                    </w:rPr>
                  </w:pPr>
                  <w:r>
                    <w:rPr>
                      <w:rFonts w:hint="eastAsia"/>
                      <w:color w:val="auto"/>
                      <w:kern w:val="0"/>
                      <w:szCs w:val="21"/>
                    </w:rPr>
                    <w:t>第三次</w:t>
                  </w:r>
                </w:p>
              </w:tc>
              <w:tc>
                <w:tcPr>
                  <w:tcW w:w="660" w:type="pct"/>
                  <w:vAlign w:val="center"/>
                </w:tcPr>
                <w:p w14:paraId="603AD9E8">
                  <w:pPr>
                    <w:adjustRightInd w:val="0"/>
                    <w:spacing w:line="276" w:lineRule="auto"/>
                    <w:jc w:val="center"/>
                    <w:rPr>
                      <w:color w:val="auto"/>
                      <w:kern w:val="0"/>
                      <w:szCs w:val="21"/>
                    </w:rPr>
                  </w:pPr>
                  <w:r>
                    <w:rPr>
                      <w:rFonts w:hint="eastAsia"/>
                      <w:color w:val="auto"/>
                      <w:kern w:val="0"/>
                      <w:szCs w:val="21"/>
                    </w:rPr>
                    <w:t>/</w:t>
                  </w:r>
                </w:p>
              </w:tc>
              <w:tc>
                <w:tcPr>
                  <w:tcW w:w="527" w:type="pct"/>
                  <w:vAlign w:val="center"/>
                </w:tcPr>
                <w:p w14:paraId="5F376ED5">
                  <w:pPr>
                    <w:adjustRightInd w:val="0"/>
                    <w:spacing w:line="276" w:lineRule="auto"/>
                    <w:jc w:val="center"/>
                    <w:rPr>
                      <w:color w:val="auto"/>
                      <w:kern w:val="0"/>
                      <w:szCs w:val="21"/>
                    </w:rPr>
                  </w:pPr>
                  <w:r>
                    <w:rPr>
                      <w:rFonts w:hint="eastAsia"/>
                      <w:color w:val="auto"/>
                      <w:kern w:val="0"/>
                      <w:szCs w:val="21"/>
                    </w:rPr>
                    <w:t>/</w:t>
                  </w:r>
                </w:p>
              </w:tc>
              <w:tc>
                <w:tcPr>
                  <w:tcW w:w="703" w:type="pct"/>
                  <w:shd w:val="clear" w:color="auto" w:fill="auto"/>
                  <w:vAlign w:val="center"/>
                </w:tcPr>
                <w:p w14:paraId="667771F5">
                  <w:pPr>
                    <w:adjustRightInd w:val="0"/>
                    <w:spacing w:line="276" w:lineRule="auto"/>
                    <w:jc w:val="center"/>
                    <w:rPr>
                      <w:color w:val="auto"/>
                      <w:kern w:val="0"/>
                      <w:szCs w:val="21"/>
                    </w:rPr>
                  </w:pPr>
                  <w:r>
                    <w:rPr>
                      <w:color w:val="auto"/>
                      <w:kern w:val="0"/>
                      <w:szCs w:val="21"/>
                    </w:rPr>
                    <w:t>＜</w:t>
                  </w:r>
                  <w:r>
                    <w:rPr>
                      <w:rFonts w:hint="eastAsia"/>
                      <w:color w:val="auto"/>
                      <w:kern w:val="0"/>
                      <w:szCs w:val="21"/>
                    </w:rPr>
                    <w:t>1级</w:t>
                  </w:r>
                </w:p>
              </w:tc>
              <w:tc>
                <w:tcPr>
                  <w:tcW w:w="706" w:type="pct"/>
                  <w:shd w:val="clear" w:color="auto" w:fill="auto"/>
                  <w:vAlign w:val="center"/>
                </w:tcPr>
                <w:p w14:paraId="3D568AB7">
                  <w:pPr>
                    <w:adjustRightInd w:val="0"/>
                    <w:spacing w:line="276" w:lineRule="auto"/>
                    <w:jc w:val="center"/>
                    <w:rPr>
                      <w:color w:val="auto"/>
                      <w:kern w:val="0"/>
                      <w:szCs w:val="21"/>
                    </w:rPr>
                  </w:pPr>
                  <w:r>
                    <w:rPr>
                      <w:rFonts w:hint="eastAsia"/>
                      <w:color w:val="auto"/>
                      <w:kern w:val="0"/>
                      <w:szCs w:val="21"/>
                    </w:rPr>
                    <w:t>/</w:t>
                  </w:r>
                </w:p>
              </w:tc>
              <w:tc>
                <w:tcPr>
                  <w:tcW w:w="495" w:type="pct"/>
                  <w:vMerge w:val="continue"/>
                  <w:shd w:val="clear" w:color="auto" w:fill="auto"/>
                  <w:vAlign w:val="center"/>
                </w:tcPr>
                <w:p w14:paraId="1EC4E42C">
                  <w:pPr>
                    <w:adjustRightInd w:val="0"/>
                    <w:spacing w:line="276" w:lineRule="auto"/>
                    <w:jc w:val="center"/>
                    <w:rPr>
                      <w:color w:val="auto"/>
                      <w:kern w:val="0"/>
                      <w:szCs w:val="21"/>
                    </w:rPr>
                  </w:pPr>
                </w:p>
              </w:tc>
            </w:tr>
          </w:tbl>
          <w:p w14:paraId="6254C540">
            <w:pPr>
              <w:pStyle w:val="16"/>
              <w:spacing w:after="0" w:line="360" w:lineRule="auto"/>
              <w:ind w:left="0" w:leftChars="0" w:firstLine="480" w:firstLineChars="200"/>
              <w:rPr>
                <w:color w:val="auto"/>
                <w:kern w:val="0"/>
                <w:sz w:val="24"/>
              </w:rPr>
            </w:pPr>
            <w:r>
              <w:rPr>
                <w:rFonts w:hint="eastAsia"/>
                <w:color w:val="auto"/>
                <w:kern w:val="0"/>
                <w:sz w:val="24"/>
              </w:rPr>
              <w:t>根据监测结果，1#废气排放口废气污染物</w:t>
            </w:r>
            <w:r>
              <w:rPr>
                <w:rFonts w:hint="eastAsia"/>
                <w:color w:val="auto"/>
                <w:sz w:val="24"/>
                <w:szCs w:val="32"/>
              </w:rPr>
              <w:t>氟化物、烟气黑度均满足</w:t>
            </w:r>
            <w:r>
              <w:rPr>
                <w:color w:val="auto"/>
                <w:sz w:val="24"/>
                <w:szCs w:val="32"/>
              </w:rPr>
              <w:t>《工业炉窑大气污染物排放标准》（</w:t>
            </w:r>
            <w:r>
              <w:rPr>
                <w:rFonts w:hint="eastAsia"/>
                <w:color w:val="auto"/>
                <w:sz w:val="24"/>
                <w:szCs w:val="32"/>
              </w:rPr>
              <w:t>GB9078-1996</w:t>
            </w:r>
            <w:r>
              <w:rPr>
                <w:color w:val="auto"/>
                <w:sz w:val="24"/>
                <w:szCs w:val="32"/>
              </w:rPr>
              <w:t>）中</w:t>
            </w:r>
            <w:r>
              <w:rPr>
                <w:rFonts w:hint="eastAsia"/>
                <w:color w:val="auto"/>
                <w:sz w:val="24"/>
                <w:szCs w:val="32"/>
              </w:rPr>
              <w:t>排放限值要求（氟化物：6</w:t>
            </w:r>
            <w:r>
              <w:rPr>
                <w:color w:val="auto"/>
                <w:sz w:val="24"/>
                <w:szCs w:val="32"/>
              </w:rPr>
              <w:t>mg/m</w:t>
            </w:r>
            <w:r>
              <w:rPr>
                <w:color w:val="auto"/>
                <w:sz w:val="24"/>
                <w:szCs w:val="32"/>
                <w:vertAlign w:val="superscript"/>
              </w:rPr>
              <w:t>3</w:t>
            </w:r>
            <w:r>
              <w:rPr>
                <w:color w:val="auto"/>
                <w:sz w:val="24"/>
                <w:szCs w:val="32"/>
              </w:rPr>
              <w:t>、</w:t>
            </w:r>
            <w:r>
              <w:rPr>
                <w:rFonts w:hint="eastAsia"/>
                <w:color w:val="auto"/>
                <w:sz w:val="24"/>
                <w:szCs w:val="32"/>
              </w:rPr>
              <w:t>林格曼黑度：1级）。</w:t>
            </w:r>
          </w:p>
          <w:p w14:paraId="3DD57FB0">
            <w:pPr>
              <w:pStyle w:val="219"/>
              <w:ind w:firstLine="480" w:firstLineChars="200"/>
              <w:rPr>
                <w:color w:val="auto"/>
                <w:kern w:val="0"/>
              </w:rPr>
            </w:pPr>
            <w:r>
              <w:rPr>
                <w:rFonts w:hint="eastAsia"/>
                <w:color w:val="auto"/>
                <w:kern w:val="0"/>
              </w:rPr>
              <w:t>根据2024年企业重点排污单位自动监测与基础数据库系统在线监控数据分析，1#废气排放口废气污染物颗粒物排放浓度可满足</w:t>
            </w:r>
            <w:r>
              <w:rPr>
                <w:rFonts w:hint="eastAsia"/>
                <w:color w:val="auto"/>
              </w:rPr>
              <w:t>《工业炉窑大气污染综合治理方案》（环大气[2019]56号）限值要求（颗粒物：30mg/m</w:t>
            </w:r>
            <w:r>
              <w:rPr>
                <w:rFonts w:hint="eastAsia"/>
                <w:color w:val="auto"/>
                <w:vertAlign w:val="superscript"/>
              </w:rPr>
              <w:t>3</w:t>
            </w:r>
            <w:r>
              <w:rPr>
                <w:rFonts w:hint="eastAsia"/>
                <w:color w:val="auto"/>
              </w:rPr>
              <w:t>），也可满足《安徽省玻璃工业大气污染物排放标准》（DB34/4295-2022）表1限值要求（颗粒物：20mg/m</w:t>
            </w:r>
            <w:r>
              <w:rPr>
                <w:rFonts w:hint="eastAsia"/>
                <w:color w:val="auto"/>
                <w:vertAlign w:val="superscript"/>
              </w:rPr>
              <w:t>3</w:t>
            </w:r>
            <w:r>
              <w:rPr>
                <w:rFonts w:hint="eastAsia"/>
                <w:color w:val="auto"/>
              </w:rPr>
              <w:t>）；</w:t>
            </w:r>
            <w:r>
              <w:rPr>
                <w:rFonts w:hint="eastAsia"/>
                <w:color w:val="auto"/>
                <w:kern w:val="0"/>
              </w:rPr>
              <w:t>二氧化硫排放浓度可满足</w:t>
            </w:r>
            <w:r>
              <w:rPr>
                <w:rFonts w:hint="eastAsia"/>
                <w:color w:val="auto"/>
              </w:rPr>
              <w:t>《工业炉窑大气污染物排放标准》（GB9078-1996）中表4二级标准要求相关限值要求（二氧化硫：200mg/m</w:t>
            </w:r>
            <w:r>
              <w:rPr>
                <w:rFonts w:hint="eastAsia"/>
                <w:color w:val="auto"/>
                <w:vertAlign w:val="superscript"/>
              </w:rPr>
              <w:t>3</w:t>
            </w:r>
            <w:r>
              <w:rPr>
                <w:rFonts w:hint="eastAsia"/>
                <w:color w:val="auto"/>
              </w:rPr>
              <w:t>），也可满足《安徽省玻璃工业大气污染物排放标准》（DB34/4295-2022）表1限值要求（二氧化硫：100mg/m</w:t>
            </w:r>
            <w:r>
              <w:rPr>
                <w:rFonts w:hint="eastAsia"/>
                <w:color w:val="auto"/>
                <w:vertAlign w:val="superscript"/>
              </w:rPr>
              <w:t>3</w:t>
            </w:r>
            <w:r>
              <w:rPr>
                <w:rFonts w:hint="eastAsia"/>
                <w:color w:val="auto"/>
              </w:rPr>
              <w:t>）；</w:t>
            </w:r>
            <w:r>
              <w:rPr>
                <w:rFonts w:hint="eastAsia"/>
                <w:color w:val="auto"/>
                <w:kern w:val="0"/>
              </w:rPr>
              <w:t>氮氧化物排放浓度</w:t>
            </w:r>
            <w:r>
              <w:rPr>
                <w:rFonts w:hint="eastAsia"/>
                <w:color w:val="auto"/>
              </w:rPr>
              <w:t>可满足《关于印发&lt;淮南市工业窑炉污染综合整治专项行动方案&gt;的通知》（淮环通〔2019〕143号文）相关限值要求（氮氧化物：400mg/m</w:t>
            </w:r>
            <w:r>
              <w:rPr>
                <w:rFonts w:hint="eastAsia"/>
                <w:color w:val="auto"/>
                <w:vertAlign w:val="superscript"/>
              </w:rPr>
              <w:t>3</w:t>
            </w:r>
            <w:r>
              <w:rPr>
                <w:rFonts w:hint="eastAsia"/>
                <w:color w:val="auto"/>
              </w:rPr>
              <w:t>），也可满足《安徽省玻璃工业大气污染物排放标准》（DB34/4295-2022）表1限值要求（氮氧化物：200mg/m</w:t>
            </w:r>
            <w:r>
              <w:rPr>
                <w:rFonts w:hint="eastAsia"/>
                <w:color w:val="auto"/>
                <w:vertAlign w:val="superscript"/>
              </w:rPr>
              <w:t>3</w:t>
            </w:r>
            <w:r>
              <w:rPr>
                <w:rFonts w:hint="eastAsia"/>
                <w:color w:val="auto"/>
              </w:rPr>
              <w:t>）。</w:t>
            </w:r>
          </w:p>
          <w:p w14:paraId="4452A640">
            <w:pPr>
              <w:pStyle w:val="16"/>
              <w:spacing w:after="0" w:line="360" w:lineRule="auto"/>
              <w:ind w:left="0" w:leftChars="0" w:firstLine="480" w:firstLineChars="200"/>
              <w:rPr>
                <w:color w:val="auto"/>
                <w:kern w:val="0"/>
                <w:sz w:val="24"/>
              </w:rPr>
            </w:pPr>
            <w:r>
              <w:rPr>
                <w:rFonts w:hint="eastAsia"/>
                <w:color w:val="auto"/>
                <w:kern w:val="0"/>
                <w:sz w:val="24"/>
              </w:rPr>
              <w:t>2）2#废气排放口（DA007）</w:t>
            </w:r>
          </w:p>
          <w:p w14:paraId="1E4BB248">
            <w:pPr>
              <w:pStyle w:val="16"/>
              <w:spacing w:after="0" w:line="360" w:lineRule="auto"/>
              <w:ind w:left="0" w:leftChars="0" w:firstLine="480" w:firstLineChars="200"/>
              <w:rPr>
                <w:color w:val="auto"/>
                <w:kern w:val="0"/>
                <w:sz w:val="24"/>
              </w:rPr>
            </w:pPr>
            <w:r>
              <w:rPr>
                <w:rFonts w:hint="eastAsia"/>
                <w:color w:val="auto"/>
                <w:kern w:val="0"/>
                <w:sz w:val="24"/>
              </w:rPr>
              <w:t>2#废气排放口自2022年停产后冷修改造，至今未运行。</w:t>
            </w:r>
          </w:p>
          <w:p w14:paraId="4DCDC881">
            <w:pPr>
              <w:pStyle w:val="16"/>
              <w:spacing w:after="0" w:line="360" w:lineRule="auto"/>
              <w:ind w:left="0" w:leftChars="0" w:firstLine="480" w:firstLineChars="200"/>
              <w:rPr>
                <w:color w:val="auto"/>
                <w:sz w:val="24"/>
                <w:szCs w:val="32"/>
              </w:rPr>
            </w:pPr>
            <w:r>
              <w:rPr>
                <w:rFonts w:hint="eastAsia"/>
                <w:color w:val="auto"/>
                <w:sz w:val="24"/>
                <w:szCs w:val="32"/>
              </w:rPr>
              <w:t>①2020年验收监测</w:t>
            </w:r>
          </w:p>
          <w:p w14:paraId="2DE5409B">
            <w:pPr>
              <w:pStyle w:val="16"/>
              <w:spacing w:after="0" w:line="360" w:lineRule="auto"/>
              <w:ind w:left="0" w:leftChars="0" w:firstLine="480" w:firstLineChars="200"/>
              <w:rPr>
                <w:color w:val="auto"/>
                <w:sz w:val="24"/>
                <w:szCs w:val="32"/>
              </w:rPr>
            </w:pPr>
            <w:r>
              <w:rPr>
                <w:rFonts w:hint="eastAsia"/>
                <w:color w:val="auto"/>
                <w:sz w:val="24"/>
                <w:szCs w:val="32"/>
              </w:rPr>
              <w:t>根据安徽世环检测技术有限公司于2020年9月14日~9月15日对2#废气排气口（DA007）监测（报告编号：NO.E2020091505），监测结果详见下表。</w:t>
            </w:r>
          </w:p>
          <w:p w14:paraId="57BE66B9">
            <w:pPr>
              <w:pStyle w:val="16"/>
              <w:spacing w:after="0" w:line="360" w:lineRule="auto"/>
              <w:ind w:left="0" w:leftChars="0" w:firstLine="480" w:firstLineChars="200"/>
              <w:jc w:val="center"/>
              <w:rPr>
                <w:rFonts w:hAnsi="黑体" w:eastAsia="黑体"/>
                <w:color w:val="auto"/>
                <w:kern w:val="0"/>
                <w:sz w:val="24"/>
              </w:rPr>
            </w:pPr>
            <w:r>
              <w:rPr>
                <w:rFonts w:hAnsi="黑体" w:eastAsia="黑体"/>
                <w:color w:val="auto"/>
                <w:sz w:val="24"/>
              </w:rPr>
              <w:t>表</w:t>
            </w:r>
            <w:r>
              <w:rPr>
                <w:rFonts w:hint="eastAsia" w:eastAsia="黑体"/>
                <w:color w:val="auto"/>
                <w:sz w:val="24"/>
              </w:rPr>
              <w:t>23</w:t>
            </w:r>
            <w:r>
              <w:rPr>
                <w:rFonts w:eastAsia="黑体"/>
                <w:color w:val="auto"/>
                <w:sz w:val="24"/>
              </w:rPr>
              <w:t xml:space="preserve">  </w:t>
            </w:r>
            <w:r>
              <w:rPr>
                <w:rFonts w:eastAsia="黑体"/>
                <w:color w:val="auto"/>
                <w:kern w:val="0"/>
                <w:sz w:val="24"/>
              </w:rPr>
              <w:t>2#</w:t>
            </w:r>
            <w:r>
              <w:rPr>
                <w:rFonts w:hAnsi="黑体" w:eastAsia="黑体"/>
                <w:color w:val="auto"/>
                <w:kern w:val="0"/>
                <w:sz w:val="24"/>
              </w:rPr>
              <w:t>废气排放口有组织废气检测结果统计</w:t>
            </w:r>
          </w:p>
          <w:tbl>
            <w:tblPr>
              <w:tblStyle w:val="3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72"/>
              <w:gridCol w:w="671"/>
              <w:gridCol w:w="857"/>
              <w:gridCol w:w="1154"/>
              <w:gridCol w:w="939"/>
              <w:gridCol w:w="671"/>
              <w:gridCol w:w="805"/>
              <w:gridCol w:w="670"/>
              <w:gridCol w:w="805"/>
              <w:gridCol w:w="723"/>
            </w:tblGrid>
            <w:tr w14:paraId="5C7921D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479" w:type="pct"/>
                  <w:vMerge w:val="restart"/>
                  <w:shd w:val="clear" w:color="auto" w:fill="auto"/>
                  <w:vAlign w:val="center"/>
                </w:tcPr>
                <w:p w14:paraId="72A3F20B">
                  <w:pPr>
                    <w:adjustRightInd w:val="0"/>
                    <w:spacing w:line="276" w:lineRule="auto"/>
                    <w:jc w:val="center"/>
                    <w:rPr>
                      <w:b/>
                      <w:color w:val="auto"/>
                      <w:kern w:val="0"/>
                      <w:szCs w:val="21"/>
                    </w:rPr>
                  </w:pPr>
                  <w:r>
                    <w:rPr>
                      <w:b/>
                      <w:color w:val="auto"/>
                      <w:kern w:val="0"/>
                      <w:szCs w:val="21"/>
                    </w:rPr>
                    <w:t>监测点位</w:t>
                  </w:r>
                </w:p>
              </w:tc>
              <w:tc>
                <w:tcPr>
                  <w:tcW w:w="1662" w:type="pct"/>
                  <w:gridSpan w:val="3"/>
                  <w:vMerge w:val="restart"/>
                  <w:vAlign w:val="center"/>
                </w:tcPr>
                <w:p w14:paraId="388C833C">
                  <w:pPr>
                    <w:adjustRightInd w:val="0"/>
                    <w:spacing w:line="276" w:lineRule="auto"/>
                    <w:jc w:val="center"/>
                    <w:rPr>
                      <w:b/>
                      <w:color w:val="auto"/>
                      <w:kern w:val="0"/>
                      <w:szCs w:val="21"/>
                    </w:rPr>
                  </w:pPr>
                  <w:r>
                    <w:rPr>
                      <w:b/>
                      <w:color w:val="auto"/>
                      <w:kern w:val="0"/>
                      <w:szCs w:val="21"/>
                    </w:rPr>
                    <w:t>监测内容</w:t>
                  </w:r>
                </w:p>
              </w:tc>
              <w:tc>
                <w:tcPr>
                  <w:tcW w:w="2411" w:type="pct"/>
                  <w:gridSpan w:val="5"/>
                  <w:vAlign w:val="center"/>
                </w:tcPr>
                <w:p w14:paraId="352B6A6B">
                  <w:pPr>
                    <w:adjustRightInd w:val="0"/>
                    <w:spacing w:line="276" w:lineRule="auto"/>
                    <w:jc w:val="center"/>
                    <w:rPr>
                      <w:b/>
                      <w:color w:val="auto"/>
                      <w:kern w:val="0"/>
                      <w:szCs w:val="21"/>
                    </w:rPr>
                  </w:pPr>
                  <w:r>
                    <w:rPr>
                      <w:b/>
                      <w:color w:val="auto"/>
                      <w:kern w:val="0"/>
                      <w:szCs w:val="21"/>
                    </w:rPr>
                    <w:t>监测</w:t>
                  </w:r>
                  <w:r>
                    <w:rPr>
                      <w:rFonts w:hint="eastAsia"/>
                      <w:b/>
                      <w:color w:val="auto"/>
                      <w:kern w:val="0"/>
                      <w:szCs w:val="21"/>
                    </w:rPr>
                    <w:t>结果</w:t>
                  </w:r>
                </w:p>
              </w:tc>
              <w:tc>
                <w:tcPr>
                  <w:tcW w:w="448" w:type="pct"/>
                  <w:vMerge w:val="restart"/>
                  <w:shd w:val="clear" w:color="auto" w:fill="auto"/>
                  <w:vAlign w:val="center"/>
                </w:tcPr>
                <w:p w14:paraId="72DF8DEF">
                  <w:pPr>
                    <w:adjustRightInd w:val="0"/>
                    <w:spacing w:line="276" w:lineRule="auto"/>
                    <w:jc w:val="center"/>
                    <w:rPr>
                      <w:b/>
                      <w:color w:val="auto"/>
                      <w:kern w:val="0"/>
                      <w:szCs w:val="21"/>
                    </w:rPr>
                  </w:pPr>
                  <w:r>
                    <w:rPr>
                      <w:b/>
                      <w:color w:val="auto"/>
                      <w:kern w:val="0"/>
                      <w:szCs w:val="21"/>
                    </w:rPr>
                    <w:t>排气筒高度（m）</w:t>
                  </w:r>
                </w:p>
              </w:tc>
            </w:tr>
            <w:tr w14:paraId="564DDF3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479" w:type="pct"/>
                  <w:vMerge w:val="continue"/>
                  <w:shd w:val="clear" w:color="auto" w:fill="auto"/>
                  <w:vAlign w:val="center"/>
                </w:tcPr>
                <w:p w14:paraId="452F119A">
                  <w:pPr>
                    <w:adjustRightInd w:val="0"/>
                    <w:spacing w:line="276" w:lineRule="auto"/>
                    <w:jc w:val="center"/>
                    <w:rPr>
                      <w:color w:val="auto"/>
                      <w:kern w:val="0"/>
                      <w:szCs w:val="21"/>
                    </w:rPr>
                  </w:pPr>
                </w:p>
              </w:tc>
              <w:tc>
                <w:tcPr>
                  <w:tcW w:w="1662" w:type="pct"/>
                  <w:gridSpan w:val="3"/>
                  <w:vMerge w:val="continue"/>
                  <w:vAlign w:val="center"/>
                </w:tcPr>
                <w:p w14:paraId="44663D49">
                  <w:pPr>
                    <w:adjustRightInd w:val="0"/>
                    <w:spacing w:line="276" w:lineRule="auto"/>
                    <w:jc w:val="center"/>
                    <w:rPr>
                      <w:b/>
                      <w:color w:val="auto"/>
                      <w:kern w:val="0"/>
                      <w:szCs w:val="21"/>
                    </w:rPr>
                  </w:pPr>
                </w:p>
              </w:tc>
              <w:tc>
                <w:tcPr>
                  <w:tcW w:w="582" w:type="pct"/>
                  <w:vMerge w:val="restart"/>
                  <w:vAlign w:val="center"/>
                </w:tcPr>
                <w:p w14:paraId="592D9015">
                  <w:pPr>
                    <w:adjustRightInd w:val="0"/>
                    <w:spacing w:line="276" w:lineRule="auto"/>
                    <w:jc w:val="center"/>
                    <w:rPr>
                      <w:b/>
                      <w:color w:val="auto"/>
                      <w:kern w:val="0"/>
                      <w:szCs w:val="21"/>
                    </w:rPr>
                  </w:pPr>
                  <w:r>
                    <w:rPr>
                      <w:b/>
                      <w:color w:val="auto"/>
                      <w:kern w:val="0"/>
                      <w:szCs w:val="21"/>
                    </w:rPr>
                    <w:t>标干流量（m</w:t>
                  </w:r>
                  <w:r>
                    <w:rPr>
                      <w:rFonts w:hint="eastAsia"/>
                      <w:b/>
                      <w:color w:val="auto"/>
                      <w:kern w:val="0"/>
                      <w:szCs w:val="21"/>
                      <w:vertAlign w:val="superscript"/>
                    </w:rPr>
                    <w:t>3</w:t>
                  </w:r>
                  <w:r>
                    <w:rPr>
                      <w:rFonts w:hint="eastAsia"/>
                      <w:b/>
                      <w:color w:val="auto"/>
                      <w:kern w:val="0"/>
                      <w:szCs w:val="21"/>
                    </w:rPr>
                    <w:t>/h</w:t>
                  </w:r>
                  <w:r>
                    <w:rPr>
                      <w:b/>
                      <w:color w:val="auto"/>
                      <w:kern w:val="0"/>
                      <w:szCs w:val="21"/>
                    </w:rPr>
                    <w:t>）</w:t>
                  </w:r>
                </w:p>
              </w:tc>
              <w:tc>
                <w:tcPr>
                  <w:tcW w:w="416" w:type="pct"/>
                  <w:vMerge w:val="restart"/>
                  <w:vAlign w:val="center"/>
                </w:tcPr>
                <w:p w14:paraId="3D743027">
                  <w:pPr>
                    <w:adjustRightInd w:val="0"/>
                    <w:spacing w:line="276" w:lineRule="auto"/>
                    <w:jc w:val="center"/>
                    <w:rPr>
                      <w:b/>
                      <w:color w:val="auto"/>
                      <w:kern w:val="0"/>
                      <w:szCs w:val="21"/>
                    </w:rPr>
                  </w:pPr>
                  <w:r>
                    <w:rPr>
                      <w:b/>
                      <w:color w:val="auto"/>
                      <w:kern w:val="0"/>
                      <w:szCs w:val="21"/>
                    </w:rPr>
                    <w:t>含氧量（</w:t>
                  </w:r>
                  <w:r>
                    <w:rPr>
                      <w:rFonts w:hint="eastAsia"/>
                      <w:b/>
                      <w:color w:val="auto"/>
                      <w:kern w:val="0"/>
                      <w:szCs w:val="21"/>
                    </w:rPr>
                    <w:t>%</w:t>
                  </w:r>
                  <w:r>
                    <w:rPr>
                      <w:b/>
                      <w:color w:val="auto"/>
                      <w:kern w:val="0"/>
                      <w:szCs w:val="21"/>
                    </w:rPr>
                    <w:t>）</w:t>
                  </w:r>
                </w:p>
              </w:tc>
              <w:tc>
                <w:tcPr>
                  <w:tcW w:w="499" w:type="pct"/>
                  <w:vMerge w:val="restart"/>
                  <w:shd w:val="clear" w:color="auto" w:fill="auto"/>
                  <w:vAlign w:val="center"/>
                </w:tcPr>
                <w:p w14:paraId="65208A56">
                  <w:pPr>
                    <w:adjustRightInd w:val="0"/>
                    <w:spacing w:line="276" w:lineRule="auto"/>
                    <w:jc w:val="center"/>
                    <w:rPr>
                      <w:b/>
                      <w:color w:val="auto"/>
                      <w:kern w:val="0"/>
                      <w:szCs w:val="21"/>
                    </w:rPr>
                  </w:pPr>
                  <w:r>
                    <w:rPr>
                      <w:b/>
                      <w:color w:val="auto"/>
                      <w:kern w:val="0"/>
                      <w:szCs w:val="21"/>
                    </w:rPr>
                    <w:t>实测浓度（mg/m</w:t>
                  </w:r>
                  <w:r>
                    <w:rPr>
                      <w:b/>
                      <w:color w:val="auto"/>
                      <w:kern w:val="0"/>
                      <w:szCs w:val="21"/>
                      <w:vertAlign w:val="superscript"/>
                    </w:rPr>
                    <w:t>3</w:t>
                  </w:r>
                  <w:r>
                    <w:rPr>
                      <w:b/>
                      <w:color w:val="auto"/>
                      <w:kern w:val="0"/>
                      <w:szCs w:val="21"/>
                    </w:rPr>
                    <w:t>）</w:t>
                  </w:r>
                </w:p>
              </w:tc>
              <w:tc>
                <w:tcPr>
                  <w:tcW w:w="415" w:type="pct"/>
                  <w:vMerge w:val="restart"/>
                  <w:shd w:val="clear" w:color="auto" w:fill="auto"/>
                  <w:vAlign w:val="center"/>
                </w:tcPr>
                <w:p w14:paraId="1902F186">
                  <w:pPr>
                    <w:adjustRightInd w:val="0"/>
                    <w:spacing w:line="276" w:lineRule="auto"/>
                    <w:jc w:val="center"/>
                    <w:rPr>
                      <w:b/>
                      <w:color w:val="auto"/>
                      <w:kern w:val="0"/>
                      <w:szCs w:val="21"/>
                    </w:rPr>
                  </w:pPr>
                  <w:r>
                    <w:rPr>
                      <w:b/>
                      <w:color w:val="auto"/>
                      <w:kern w:val="0"/>
                      <w:szCs w:val="21"/>
                    </w:rPr>
                    <w:t>折算浓度（mg/m</w:t>
                  </w:r>
                  <w:r>
                    <w:rPr>
                      <w:b/>
                      <w:color w:val="auto"/>
                      <w:kern w:val="0"/>
                      <w:szCs w:val="21"/>
                      <w:vertAlign w:val="superscript"/>
                    </w:rPr>
                    <w:t>3</w:t>
                  </w:r>
                  <w:r>
                    <w:rPr>
                      <w:b/>
                      <w:color w:val="auto"/>
                      <w:kern w:val="0"/>
                      <w:szCs w:val="21"/>
                    </w:rPr>
                    <w:t>）</w:t>
                  </w:r>
                </w:p>
              </w:tc>
              <w:tc>
                <w:tcPr>
                  <w:tcW w:w="499" w:type="pct"/>
                  <w:vMerge w:val="restart"/>
                  <w:vAlign w:val="center"/>
                </w:tcPr>
                <w:p w14:paraId="25C7F2B5">
                  <w:pPr>
                    <w:adjustRightInd w:val="0"/>
                    <w:spacing w:line="276" w:lineRule="auto"/>
                    <w:jc w:val="center"/>
                    <w:rPr>
                      <w:b/>
                      <w:color w:val="auto"/>
                      <w:kern w:val="0"/>
                      <w:szCs w:val="21"/>
                    </w:rPr>
                  </w:pPr>
                  <w:r>
                    <w:rPr>
                      <w:b/>
                      <w:color w:val="auto"/>
                      <w:kern w:val="0"/>
                      <w:szCs w:val="21"/>
                    </w:rPr>
                    <w:t>排放速率（kg</w:t>
                  </w:r>
                  <w:r>
                    <w:rPr>
                      <w:rFonts w:hint="eastAsia"/>
                      <w:b/>
                      <w:color w:val="auto"/>
                      <w:kern w:val="0"/>
                      <w:szCs w:val="21"/>
                    </w:rPr>
                    <w:t>/h</w:t>
                  </w:r>
                  <w:r>
                    <w:rPr>
                      <w:b/>
                      <w:color w:val="auto"/>
                      <w:kern w:val="0"/>
                      <w:szCs w:val="21"/>
                    </w:rPr>
                    <w:t>）</w:t>
                  </w:r>
                </w:p>
              </w:tc>
              <w:tc>
                <w:tcPr>
                  <w:tcW w:w="448" w:type="pct"/>
                  <w:vMerge w:val="continue"/>
                  <w:shd w:val="clear" w:color="auto" w:fill="auto"/>
                  <w:vAlign w:val="center"/>
                </w:tcPr>
                <w:p w14:paraId="59E7CFB2">
                  <w:pPr>
                    <w:adjustRightInd w:val="0"/>
                    <w:spacing w:line="276" w:lineRule="auto"/>
                    <w:jc w:val="center"/>
                    <w:rPr>
                      <w:b/>
                      <w:color w:val="auto"/>
                      <w:kern w:val="0"/>
                      <w:szCs w:val="21"/>
                    </w:rPr>
                  </w:pPr>
                </w:p>
              </w:tc>
            </w:tr>
            <w:tr w14:paraId="45AB464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9" w:type="pct"/>
                  <w:vMerge w:val="continue"/>
                  <w:vAlign w:val="center"/>
                </w:tcPr>
                <w:p w14:paraId="22705906">
                  <w:pPr>
                    <w:adjustRightInd w:val="0"/>
                    <w:spacing w:line="276" w:lineRule="auto"/>
                    <w:jc w:val="center"/>
                    <w:rPr>
                      <w:color w:val="auto"/>
                      <w:kern w:val="0"/>
                      <w:szCs w:val="21"/>
                    </w:rPr>
                  </w:pPr>
                </w:p>
              </w:tc>
              <w:tc>
                <w:tcPr>
                  <w:tcW w:w="416" w:type="pct"/>
                  <w:vAlign w:val="center"/>
                </w:tcPr>
                <w:p w14:paraId="16BF9AB5">
                  <w:pPr>
                    <w:widowControl/>
                    <w:adjustRightInd w:val="0"/>
                    <w:spacing w:line="276" w:lineRule="auto"/>
                    <w:jc w:val="center"/>
                    <w:rPr>
                      <w:b/>
                      <w:color w:val="auto"/>
                      <w:szCs w:val="21"/>
                    </w:rPr>
                  </w:pPr>
                  <w:r>
                    <w:rPr>
                      <w:b/>
                      <w:color w:val="auto"/>
                      <w:szCs w:val="21"/>
                    </w:rPr>
                    <w:t>检测项目</w:t>
                  </w:r>
                </w:p>
              </w:tc>
              <w:tc>
                <w:tcPr>
                  <w:tcW w:w="531" w:type="pct"/>
                  <w:vAlign w:val="center"/>
                </w:tcPr>
                <w:p w14:paraId="7A7035FC">
                  <w:pPr>
                    <w:adjustRightInd w:val="0"/>
                    <w:spacing w:line="276" w:lineRule="auto"/>
                    <w:jc w:val="center"/>
                    <w:rPr>
                      <w:b/>
                      <w:color w:val="auto"/>
                      <w:kern w:val="0"/>
                      <w:szCs w:val="21"/>
                    </w:rPr>
                  </w:pPr>
                  <w:r>
                    <w:rPr>
                      <w:b/>
                      <w:color w:val="auto"/>
                      <w:kern w:val="0"/>
                      <w:szCs w:val="21"/>
                    </w:rPr>
                    <w:t>采样日期</w:t>
                  </w:r>
                </w:p>
              </w:tc>
              <w:tc>
                <w:tcPr>
                  <w:tcW w:w="715" w:type="pct"/>
                  <w:shd w:val="clear" w:color="auto" w:fill="auto"/>
                  <w:vAlign w:val="center"/>
                </w:tcPr>
                <w:p w14:paraId="21BC68DC">
                  <w:pPr>
                    <w:adjustRightInd w:val="0"/>
                    <w:spacing w:line="276" w:lineRule="auto"/>
                    <w:jc w:val="center"/>
                    <w:rPr>
                      <w:b/>
                      <w:color w:val="auto"/>
                      <w:kern w:val="0"/>
                      <w:szCs w:val="21"/>
                    </w:rPr>
                  </w:pPr>
                  <w:r>
                    <w:rPr>
                      <w:b/>
                      <w:color w:val="auto"/>
                      <w:kern w:val="0"/>
                      <w:szCs w:val="21"/>
                    </w:rPr>
                    <w:t>检测频次</w:t>
                  </w:r>
                </w:p>
              </w:tc>
              <w:tc>
                <w:tcPr>
                  <w:tcW w:w="582" w:type="pct"/>
                  <w:vMerge w:val="continue"/>
                  <w:vAlign w:val="center"/>
                </w:tcPr>
                <w:p w14:paraId="336AE78A">
                  <w:pPr>
                    <w:adjustRightInd w:val="0"/>
                    <w:spacing w:line="276" w:lineRule="auto"/>
                    <w:jc w:val="center"/>
                    <w:rPr>
                      <w:b/>
                      <w:color w:val="auto"/>
                      <w:kern w:val="0"/>
                      <w:szCs w:val="21"/>
                    </w:rPr>
                  </w:pPr>
                </w:p>
              </w:tc>
              <w:tc>
                <w:tcPr>
                  <w:tcW w:w="416" w:type="pct"/>
                  <w:vMerge w:val="continue"/>
                  <w:vAlign w:val="center"/>
                </w:tcPr>
                <w:p w14:paraId="1628C4AC">
                  <w:pPr>
                    <w:adjustRightInd w:val="0"/>
                    <w:spacing w:line="276" w:lineRule="auto"/>
                    <w:jc w:val="center"/>
                    <w:rPr>
                      <w:b/>
                      <w:color w:val="auto"/>
                      <w:kern w:val="0"/>
                      <w:szCs w:val="21"/>
                    </w:rPr>
                  </w:pPr>
                </w:p>
              </w:tc>
              <w:tc>
                <w:tcPr>
                  <w:tcW w:w="499" w:type="pct"/>
                  <w:vMerge w:val="continue"/>
                  <w:shd w:val="clear" w:color="auto" w:fill="auto"/>
                  <w:vAlign w:val="center"/>
                </w:tcPr>
                <w:p w14:paraId="4650CA01">
                  <w:pPr>
                    <w:adjustRightInd w:val="0"/>
                    <w:spacing w:line="276" w:lineRule="auto"/>
                    <w:jc w:val="center"/>
                    <w:rPr>
                      <w:b/>
                      <w:color w:val="auto"/>
                      <w:kern w:val="0"/>
                      <w:szCs w:val="21"/>
                    </w:rPr>
                  </w:pPr>
                </w:p>
              </w:tc>
              <w:tc>
                <w:tcPr>
                  <w:tcW w:w="415" w:type="pct"/>
                  <w:vMerge w:val="continue"/>
                  <w:shd w:val="clear" w:color="auto" w:fill="auto"/>
                  <w:vAlign w:val="center"/>
                </w:tcPr>
                <w:p w14:paraId="486A5051">
                  <w:pPr>
                    <w:adjustRightInd w:val="0"/>
                    <w:spacing w:line="276" w:lineRule="auto"/>
                    <w:jc w:val="center"/>
                    <w:rPr>
                      <w:b/>
                      <w:color w:val="auto"/>
                      <w:kern w:val="0"/>
                      <w:szCs w:val="21"/>
                      <w:vertAlign w:val="superscript"/>
                    </w:rPr>
                  </w:pPr>
                </w:p>
              </w:tc>
              <w:tc>
                <w:tcPr>
                  <w:tcW w:w="499" w:type="pct"/>
                  <w:vMerge w:val="continue"/>
                  <w:vAlign w:val="center"/>
                </w:tcPr>
                <w:p w14:paraId="09DC4B81">
                  <w:pPr>
                    <w:adjustRightInd w:val="0"/>
                    <w:spacing w:line="276" w:lineRule="auto"/>
                    <w:jc w:val="center"/>
                    <w:rPr>
                      <w:b/>
                      <w:color w:val="auto"/>
                      <w:kern w:val="0"/>
                      <w:szCs w:val="21"/>
                    </w:rPr>
                  </w:pPr>
                </w:p>
              </w:tc>
              <w:tc>
                <w:tcPr>
                  <w:tcW w:w="448" w:type="pct"/>
                  <w:vMerge w:val="continue"/>
                  <w:shd w:val="clear" w:color="auto" w:fill="auto"/>
                  <w:vAlign w:val="center"/>
                </w:tcPr>
                <w:p w14:paraId="512AA75A">
                  <w:pPr>
                    <w:adjustRightInd w:val="0"/>
                    <w:spacing w:line="276" w:lineRule="auto"/>
                    <w:jc w:val="center"/>
                    <w:rPr>
                      <w:b/>
                      <w:color w:val="auto"/>
                      <w:kern w:val="0"/>
                      <w:szCs w:val="21"/>
                    </w:rPr>
                  </w:pPr>
                </w:p>
              </w:tc>
            </w:tr>
            <w:tr w14:paraId="2153864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9" w:type="pct"/>
                  <w:vMerge w:val="restart"/>
                  <w:vAlign w:val="center"/>
                </w:tcPr>
                <w:p w14:paraId="7D12C995">
                  <w:pPr>
                    <w:adjustRightInd w:val="0"/>
                    <w:spacing w:line="276" w:lineRule="auto"/>
                    <w:jc w:val="center"/>
                    <w:rPr>
                      <w:color w:val="auto"/>
                      <w:kern w:val="0"/>
                      <w:szCs w:val="21"/>
                    </w:rPr>
                  </w:pPr>
                  <w:r>
                    <w:rPr>
                      <w:rFonts w:hint="eastAsia"/>
                      <w:color w:val="auto"/>
                      <w:kern w:val="0"/>
                      <w:szCs w:val="21"/>
                    </w:rPr>
                    <w:t>DA007</w:t>
                  </w:r>
                  <w:r>
                    <w:rPr>
                      <w:rFonts w:hint="eastAsia" w:ascii="宋体" w:hAnsi="宋体"/>
                      <w:color w:val="auto"/>
                      <w:kern w:val="0"/>
                      <w:szCs w:val="21"/>
                    </w:rPr>
                    <w:t>(二车间)</w:t>
                  </w:r>
                </w:p>
              </w:tc>
              <w:tc>
                <w:tcPr>
                  <w:tcW w:w="416" w:type="pct"/>
                  <w:vMerge w:val="restart"/>
                  <w:vAlign w:val="center"/>
                </w:tcPr>
                <w:p w14:paraId="5D259B40">
                  <w:pPr>
                    <w:widowControl/>
                    <w:adjustRightInd w:val="0"/>
                    <w:spacing w:line="276" w:lineRule="auto"/>
                    <w:jc w:val="center"/>
                    <w:rPr>
                      <w:color w:val="auto"/>
                      <w:szCs w:val="21"/>
                    </w:rPr>
                  </w:pPr>
                  <w:r>
                    <w:rPr>
                      <w:color w:val="auto"/>
                      <w:szCs w:val="21"/>
                    </w:rPr>
                    <w:t>二氧化硫</w:t>
                  </w:r>
                </w:p>
              </w:tc>
              <w:tc>
                <w:tcPr>
                  <w:tcW w:w="531" w:type="pct"/>
                  <w:vMerge w:val="restart"/>
                  <w:vAlign w:val="center"/>
                </w:tcPr>
                <w:p w14:paraId="014A70F2">
                  <w:pPr>
                    <w:adjustRightInd w:val="0"/>
                    <w:spacing w:line="276" w:lineRule="auto"/>
                    <w:jc w:val="center"/>
                    <w:rPr>
                      <w:color w:val="auto"/>
                      <w:kern w:val="0"/>
                      <w:szCs w:val="21"/>
                    </w:rPr>
                  </w:pPr>
                  <w:r>
                    <w:rPr>
                      <w:rFonts w:hint="eastAsia"/>
                      <w:color w:val="auto"/>
                      <w:kern w:val="0"/>
                      <w:szCs w:val="21"/>
                    </w:rPr>
                    <w:t>2020.09.14</w:t>
                  </w:r>
                </w:p>
              </w:tc>
              <w:tc>
                <w:tcPr>
                  <w:tcW w:w="715" w:type="pct"/>
                  <w:shd w:val="clear" w:color="auto" w:fill="auto"/>
                  <w:vAlign w:val="center"/>
                </w:tcPr>
                <w:p w14:paraId="64389E0C">
                  <w:pPr>
                    <w:adjustRightInd w:val="0"/>
                    <w:spacing w:line="276" w:lineRule="auto"/>
                    <w:jc w:val="center"/>
                    <w:rPr>
                      <w:color w:val="auto"/>
                      <w:kern w:val="0"/>
                      <w:szCs w:val="21"/>
                    </w:rPr>
                  </w:pPr>
                  <w:r>
                    <w:rPr>
                      <w:color w:val="auto"/>
                      <w:kern w:val="0"/>
                      <w:szCs w:val="21"/>
                    </w:rPr>
                    <w:t>第一次</w:t>
                  </w:r>
                </w:p>
              </w:tc>
              <w:tc>
                <w:tcPr>
                  <w:tcW w:w="582" w:type="pct"/>
                  <w:vAlign w:val="center"/>
                </w:tcPr>
                <w:p w14:paraId="689ED62C">
                  <w:pPr>
                    <w:adjustRightInd w:val="0"/>
                    <w:spacing w:line="276" w:lineRule="auto"/>
                    <w:jc w:val="center"/>
                    <w:rPr>
                      <w:color w:val="auto"/>
                      <w:kern w:val="0"/>
                      <w:szCs w:val="21"/>
                    </w:rPr>
                  </w:pPr>
                  <w:r>
                    <w:rPr>
                      <w:rFonts w:hint="eastAsia"/>
                      <w:color w:val="auto"/>
                      <w:kern w:val="0"/>
                      <w:szCs w:val="21"/>
                    </w:rPr>
                    <w:t>64624</w:t>
                  </w:r>
                </w:p>
              </w:tc>
              <w:tc>
                <w:tcPr>
                  <w:tcW w:w="416" w:type="pct"/>
                  <w:vAlign w:val="center"/>
                </w:tcPr>
                <w:p w14:paraId="08EA4F55">
                  <w:pPr>
                    <w:adjustRightInd w:val="0"/>
                    <w:spacing w:line="276" w:lineRule="auto"/>
                    <w:jc w:val="center"/>
                    <w:rPr>
                      <w:color w:val="auto"/>
                      <w:kern w:val="0"/>
                      <w:szCs w:val="21"/>
                    </w:rPr>
                  </w:pPr>
                  <w:r>
                    <w:rPr>
                      <w:rFonts w:hint="eastAsia"/>
                      <w:color w:val="auto"/>
                      <w:kern w:val="0"/>
                      <w:szCs w:val="21"/>
                    </w:rPr>
                    <w:t>15.1</w:t>
                  </w:r>
                </w:p>
              </w:tc>
              <w:tc>
                <w:tcPr>
                  <w:tcW w:w="499" w:type="pct"/>
                  <w:shd w:val="clear" w:color="auto" w:fill="auto"/>
                  <w:vAlign w:val="center"/>
                </w:tcPr>
                <w:p w14:paraId="2D103181">
                  <w:pPr>
                    <w:adjustRightInd w:val="0"/>
                    <w:spacing w:line="276" w:lineRule="auto"/>
                    <w:jc w:val="center"/>
                    <w:rPr>
                      <w:color w:val="auto"/>
                      <w:kern w:val="0"/>
                      <w:szCs w:val="21"/>
                    </w:rPr>
                  </w:pPr>
                  <w:r>
                    <w:rPr>
                      <w:color w:val="auto"/>
                      <w:kern w:val="0"/>
                      <w:szCs w:val="21"/>
                    </w:rPr>
                    <w:t>＜</w:t>
                  </w:r>
                  <w:r>
                    <w:rPr>
                      <w:rFonts w:hint="eastAsia"/>
                      <w:color w:val="auto"/>
                      <w:kern w:val="0"/>
                      <w:szCs w:val="21"/>
                    </w:rPr>
                    <w:t>3</w:t>
                  </w:r>
                </w:p>
              </w:tc>
              <w:tc>
                <w:tcPr>
                  <w:tcW w:w="415" w:type="pct"/>
                  <w:shd w:val="clear" w:color="auto" w:fill="auto"/>
                  <w:vAlign w:val="center"/>
                </w:tcPr>
                <w:p w14:paraId="79DC51E6">
                  <w:pPr>
                    <w:adjustRightInd w:val="0"/>
                    <w:spacing w:line="276" w:lineRule="auto"/>
                    <w:jc w:val="center"/>
                    <w:rPr>
                      <w:color w:val="auto"/>
                      <w:kern w:val="0"/>
                      <w:szCs w:val="21"/>
                    </w:rPr>
                  </w:pPr>
                  <w:r>
                    <w:rPr>
                      <w:rFonts w:hint="eastAsia"/>
                      <w:color w:val="auto"/>
                      <w:kern w:val="0"/>
                      <w:szCs w:val="21"/>
                    </w:rPr>
                    <w:t>/</w:t>
                  </w:r>
                </w:p>
              </w:tc>
              <w:tc>
                <w:tcPr>
                  <w:tcW w:w="499" w:type="pct"/>
                  <w:vAlign w:val="center"/>
                </w:tcPr>
                <w:p w14:paraId="0054480A">
                  <w:pPr>
                    <w:adjustRightInd w:val="0"/>
                    <w:spacing w:line="276" w:lineRule="auto"/>
                    <w:jc w:val="center"/>
                    <w:rPr>
                      <w:color w:val="auto"/>
                      <w:kern w:val="0"/>
                      <w:szCs w:val="21"/>
                    </w:rPr>
                  </w:pPr>
                  <w:r>
                    <w:rPr>
                      <w:rFonts w:hint="eastAsia"/>
                      <w:color w:val="auto"/>
                      <w:kern w:val="0"/>
                      <w:szCs w:val="21"/>
                    </w:rPr>
                    <w:t>/</w:t>
                  </w:r>
                </w:p>
              </w:tc>
              <w:tc>
                <w:tcPr>
                  <w:tcW w:w="448" w:type="pct"/>
                  <w:vMerge w:val="restart"/>
                  <w:shd w:val="clear" w:color="auto" w:fill="auto"/>
                  <w:vAlign w:val="center"/>
                </w:tcPr>
                <w:p w14:paraId="3A51764E">
                  <w:pPr>
                    <w:adjustRightInd w:val="0"/>
                    <w:spacing w:line="276" w:lineRule="auto"/>
                    <w:jc w:val="center"/>
                    <w:rPr>
                      <w:color w:val="auto"/>
                      <w:kern w:val="0"/>
                      <w:szCs w:val="21"/>
                    </w:rPr>
                  </w:pPr>
                  <w:r>
                    <w:rPr>
                      <w:rFonts w:hint="eastAsia"/>
                      <w:color w:val="auto"/>
                      <w:kern w:val="0"/>
                      <w:szCs w:val="21"/>
                    </w:rPr>
                    <w:t>60</w:t>
                  </w:r>
                </w:p>
              </w:tc>
            </w:tr>
            <w:tr w14:paraId="3DC594D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9" w:type="pct"/>
                  <w:vMerge w:val="continue"/>
                  <w:vAlign w:val="center"/>
                </w:tcPr>
                <w:p w14:paraId="500C99DB">
                  <w:pPr>
                    <w:adjustRightInd w:val="0"/>
                    <w:spacing w:line="276" w:lineRule="auto"/>
                    <w:jc w:val="center"/>
                    <w:rPr>
                      <w:color w:val="auto"/>
                      <w:kern w:val="0"/>
                      <w:szCs w:val="21"/>
                    </w:rPr>
                  </w:pPr>
                </w:p>
              </w:tc>
              <w:tc>
                <w:tcPr>
                  <w:tcW w:w="416" w:type="pct"/>
                  <w:vMerge w:val="continue"/>
                  <w:vAlign w:val="center"/>
                </w:tcPr>
                <w:p w14:paraId="7A58F0C6">
                  <w:pPr>
                    <w:widowControl/>
                    <w:adjustRightInd w:val="0"/>
                    <w:spacing w:line="276" w:lineRule="auto"/>
                    <w:jc w:val="center"/>
                    <w:rPr>
                      <w:color w:val="auto"/>
                      <w:szCs w:val="21"/>
                    </w:rPr>
                  </w:pPr>
                </w:p>
              </w:tc>
              <w:tc>
                <w:tcPr>
                  <w:tcW w:w="531" w:type="pct"/>
                  <w:vMerge w:val="continue"/>
                  <w:vAlign w:val="center"/>
                </w:tcPr>
                <w:p w14:paraId="6006F194">
                  <w:pPr>
                    <w:adjustRightInd w:val="0"/>
                    <w:spacing w:line="276" w:lineRule="auto"/>
                    <w:jc w:val="center"/>
                    <w:rPr>
                      <w:color w:val="auto"/>
                      <w:kern w:val="0"/>
                      <w:szCs w:val="21"/>
                    </w:rPr>
                  </w:pPr>
                </w:p>
              </w:tc>
              <w:tc>
                <w:tcPr>
                  <w:tcW w:w="715" w:type="pct"/>
                  <w:shd w:val="clear" w:color="auto" w:fill="auto"/>
                  <w:vAlign w:val="center"/>
                </w:tcPr>
                <w:p w14:paraId="74F5032F">
                  <w:pPr>
                    <w:adjustRightInd w:val="0"/>
                    <w:spacing w:line="276" w:lineRule="auto"/>
                    <w:jc w:val="center"/>
                    <w:rPr>
                      <w:color w:val="auto"/>
                      <w:kern w:val="0"/>
                      <w:szCs w:val="21"/>
                    </w:rPr>
                  </w:pPr>
                  <w:r>
                    <w:rPr>
                      <w:color w:val="auto"/>
                      <w:kern w:val="0"/>
                      <w:szCs w:val="21"/>
                    </w:rPr>
                    <w:t>第二次</w:t>
                  </w:r>
                </w:p>
              </w:tc>
              <w:tc>
                <w:tcPr>
                  <w:tcW w:w="582" w:type="pct"/>
                  <w:vAlign w:val="center"/>
                </w:tcPr>
                <w:p w14:paraId="70B2BDB3">
                  <w:pPr>
                    <w:adjustRightInd w:val="0"/>
                    <w:spacing w:line="276" w:lineRule="auto"/>
                    <w:jc w:val="center"/>
                    <w:rPr>
                      <w:color w:val="auto"/>
                      <w:kern w:val="0"/>
                      <w:szCs w:val="21"/>
                    </w:rPr>
                  </w:pPr>
                  <w:r>
                    <w:rPr>
                      <w:rFonts w:hint="eastAsia"/>
                      <w:color w:val="auto"/>
                      <w:kern w:val="0"/>
                      <w:szCs w:val="21"/>
                    </w:rPr>
                    <w:t>61001</w:t>
                  </w:r>
                </w:p>
              </w:tc>
              <w:tc>
                <w:tcPr>
                  <w:tcW w:w="416" w:type="pct"/>
                  <w:vAlign w:val="center"/>
                </w:tcPr>
                <w:p w14:paraId="7A52FCA8">
                  <w:pPr>
                    <w:adjustRightInd w:val="0"/>
                    <w:spacing w:line="276" w:lineRule="auto"/>
                    <w:jc w:val="center"/>
                    <w:rPr>
                      <w:color w:val="auto"/>
                      <w:kern w:val="0"/>
                      <w:szCs w:val="21"/>
                    </w:rPr>
                  </w:pPr>
                  <w:r>
                    <w:rPr>
                      <w:rFonts w:hint="eastAsia"/>
                      <w:color w:val="auto"/>
                      <w:kern w:val="0"/>
                      <w:szCs w:val="21"/>
                    </w:rPr>
                    <w:t>14.9</w:t>
                  </w:r>
                </w:p>
              </w:tc>
              <w:tc>
                <w:tcPr>
                  <w:tcW w:w="499" w:type="pct"/>
                  <w:shd w:val="clear" w:color="auto" w:fill="auto"/>
                  <w:vAlign w:val="center"/>
                </w:tcPr>
                <w:p w14:paraId="7F5E4744">
                  <w:pPr>
                    <w:adjustRightInd w:val="0"/>
                    <w:spacing w:line="276" w:lineRule="auto"/>
                    <w:jc w:val="center"/>
                    <w:rPr>
                      <w:color w:val="auto"/>
                      <w:kern w:val="0"/>
                      <w:szCs w:val="21"/>
                    </w:rPr>
                  </w:pPr>
                  <w:r>
                    <w:rPr>
                      <w:color w:val="auto"/>
                      <w:kern w:val="0"/>
                      <w:szCs w:val="21"/>
                    </w:rPr>
                    <w:t>＜</w:t>
                  </w:r>
                  <w:r>
                    <w:rPr>
                      <w:rFonts w:hint="eastAsia"/>
                      <w:color w:val="auto"/>
                      <w:kern w:val="0"/>
                      <w:szCs w:val="21"/>
                    </w:rPr>
                    <w:t>3</w:t>
                  </w:r>
                </w:p>
              </w:tc>
              <w:tc>
                <w:tcPr>
                  <w:tcW w:w="415" w:type="pct"/>
                  <w:shd w:val="clear" w:color="auto" w:fill="auto"/>
                  <w:vAlign w:val="center"/>
                </w:tcPr>
                <w:p w14:paraId="65F56969">
                  <w:pPr>
                    <w:adjustRightInd w:val="0"/>
                    <w:spacing w:line="276" w:lineRule="auto"/>
                    <w:jc w:val="center"/>
                    <w:rPr>
                      <w:color w:val="auto"/>
                      <w:kern w:val="0"/>
                      <w:szCs w:val="21"/>
                    </w:rPr>
                  </w:pPr>
                  <w:r>
                    <w:rPr>
                      <w:rFonts w:hint="eastAsia"/>
                      <w:color w:val="auto"/>
                      <w:kern w:val="0"/>
                      <w:szCs w:val="21"/>
                    </w:rPr>
                    <w:t>/</w:t>
                  </w:r>
                </w:p>
              </w:tc>
              <w:tc>
                <w:tcPr>
                  <w:tcW w:w="499" w:type="pct"/>
                  <w:vAlign w:val="center"/>
                </w:tcPr>
                <w:p w14:paraId="3A40C95A">
                  <w:pPr>
                    <w:adjustRightInd w:val="0"/>
                    <w:spacing w:line="276" w:lineRule="auto"/>
                    <w:jc w:val="center"/>
                    <w:rPr>
                      <w:color w:val="auto"/>
                      <w:kern w:val="0"/>
                      <w:szCs w:val="21"/>
                    </w:rPr>
                  </w:pPr>
                  <w:r>
                    <w:rPr>
                      <w:rFonts w:hint="eastAsia"/>
                      <w:color w:val="auto"/>
                      <w:kern w:val="0"/>
                      <w:szCs w:val="21"/>
                    </w:rPr>
                    <w:t>/</w:t>
                  </w:r>
                </w:p>
              </w:tc>
              <w:tc>
                <w:tcPr>
                  <w:tcW w:w="448" w:type="pct"/>
                  <w:vMerge w:val="continue"/>
                  <w:shd w:val="clear" w:color="auto" w:fill="auto"/>
                  <w:vAlign w:val="center"/>
                </w:tcPr>
                <w:p w14:paraId="720BAF78">
                  <w:pPr>
                    <w:adjustRightInd w:val="0"/>
                    <w:spacing w:line="276" w:lineRule="auto"/>
                    <w:jc w:val="center"/>
                    <w:rPr>
                      <w:color w:val="auto"/>
                      <w:kern w:val="0"/>
                      <w:szCs w:val="21"/>
                    </w:rPr>
                  </w:pPr>
                </w:p>
              </w:tc>
            </w:tr>
            <w:tr w14:paraId="2310F81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9" w:type="pct"/>
                  <w:vMerge w:val="continue"/>
                  <w:vAlign w:val="center"/>
                </w:tcPr>
                <w:p w14:paraId="53684723">
                  <w:pPr>
                    <w:adjustRightInd w:val="0"/>
                    <w:spacing w:line="276" w:lineRule="auto"/>
                    <w:jc w:val="center"/>
                    <w:rPr>
                      <w:color w:val="auto"/>
                      <w:kern w:val="0"/>
                      <w:szCs w:val="21"/>
                    </w:rPr>
                  </w:pPr>
                </w:p>
              </w:tc>
              <w:tc>
                <w:tcPr>
                  <w:tcW w:w="416" w:type="pct"/>
                  <w:vMerge w:val="continue"/>
                  <w:vAlign w:val="center"/>
                </w:tcPr>
                <w:p w14:paraId="0E5FF570">
                  <w:pPr>
                    <w:widowControl/>
                    <w:adjustRightInd w:val="0"/>
                    <w:spacing w:line="276" w:lineRule="auto"/>
                    <w:jc w:val="center"/>
                    <w:rPr>
                      <w:color w:val="auto"/>
                      <w:szCs w:val="21"/>
                    </w:rPr>
                  </w:pPr>
                </w:p>
              </w:tc>
              <w:tc>
                <w:tcPr>
                  <w:tcW w:w="531" w:type="pct"/>
                  <w:vMerge w:val="continue"/>
                  <w:vAlign w:val="center"/>
                </w:tcPr>
                <w:p w14:paraId="6B4905F2">
                  <w:pPr>
                    <w:adjustRightInd w:val="0"/>
                    <w:spacing w:line="276" w:lineRule="auto"/>
                    <w:jc w:val="center"/>
                    <w:rPr>
                      <w:color w:val="auto"/>
                      <w:kern w:val="0"/>
                      <w:szCs w:val="21"/>
                    </w:rPr>
                  </w:pPr>
                </w:p>
              </w:tc>
              <w:tc>
                <w:tcPr>
                  <w:tcW w:w="715" w:type="pct"/>
                  <w:shd w:val="clear" w:color="auto" w:fill="auto"/>
                  <w:vAlign w:val="center"/>
                </w:tcPr>
                <w:p w14:paraId="3D1057DF">
                  <w:pPr>
                    <w:adjustRightInd w:val="0"/>
                    <w:spacing w:line="276" w:lineRule="auto"/>
                    <w:jc w:val="center"/>
                    <w:rPr>
                      <w:color w:val="auto"/>
                      <w:kern w:val="0"/>
                      <w:szCs w:val="21"/>
                    </w:rPr>
                  </w:pPr>
                  <w:r>
                    <w:rPr>
                      <w:color w:val="auto"/>
                      <w:kern w:val="0"/>
                      <w:szCs w:val="21"/>
                    </w:rPr>
                    <w:t>第三次</w:t>
                  </w:r>
                </w:p>
              </w:tc>
              <w:tc>
                <w:tcPr>
                  <w:tcW w:w="582" w:type="pct"/>
                  <w:vAlign w:val="center"/>
                </w:tcPr>
                <w:p w14:paraId="7915D992">
                  <w:pPr>
                    <w:adjustRightInd w:val="0"/>
                    <w:spacing w:line="276" w:lineRule="auto"/>
                    <w:jc w:val="center"/>
                    <w:rPr>
                      <w:color w:val="auto"/>
                      <w:kern w:val="0"/>
                      <w:szCs w:val="21"/>
                    </w:rPr>
                  </w:pPr>
                  <w:r>
                    <w:rPr>
                      <w:rFonts w:hint="eastAsia"/>
                      <w:color w:val="auto"/>
                      <w:kern w:val="0"/>
                      <w:szCs w:val="21"/>
                    </w:rPr>
                    <w:t>69048</w:t>
                  </w:r>
                </w:p>
              </w:tc>
              <w:tc>
                <w:tcPr>
                  <w:tcW w:w="416" w:type="pct"/>
                  <w:vAlign w:val="center"/>
                </w:tcPr>
                <w:p w14:paraId="4ECA02BA">
                  <w:pPr>
                    <w:adjustRightInd w:val="0"/>
                    <w:spacing w:line="276" w:lineRule="auto"/>
                    <w:jc w:val="center"/>
                    <w:rPr>
                      <w:color w:val="auto"/>
                      <w:kern w:val="0"/>
                      <w:szCs w:val="21"/>
                    </w:rPr>
                  </w:pPr>
                  <w:r>
                    <w:rPr>
                      <w:rFonts w:hint="eastAsia"/>
                      <w:color w:val="auto"/>
                      <w:kern w:val="0"/>
                      <w:szCs w:val="21"/>
                    </w:rPr>
                    <w:t>14.8</w:t>
                  </w:r>
                </w:p>
              </w:tc>
              <w:tc>
                <w:tcPr>
                  <w:tcW w:w="499" w:type="pct"/>
                  <w:shd w:val="clear" w:color="auto" w:fill="auto"/>
                  <w:vAlign w:val="center"/>
                </w:tcPr>
                <w:p w14:paraId="58D80143">
                  <w:pPr>
                    <w:adjustRightInd w:val="0"/>
                    <w:spacing w:line="276" w:lineRule="auto"/>
                    <w:jc w:val="center"/>
                    <w:rPr>
                      <w:color w:val="auto"/>
                      <w:kern w:val="0"/>
                      <w:szCs w:val="21"/>
                    </w:rPr>
                  </w:pPr>
                  <w:r>
                    <w:rPr>
                      <w:color w:val="auto"/>
                      <w:kern w:val="0"/>
                      <w:szCs w:val="21"/>
                    </w:rPr>
                    <w:t>＜</w:t>
                  </w:r>
                  <w:r>
                    <w:rPr>
                      <w:rFonts w:hint="eastAsia"/>
                      <w:color w:val="auto"/>
                      <w:kern w:val="0"/>
                      <w:szCs w:val="21"/>
                    </w:rPr>
                    <w:t>3</w:t>
                  </w:r>
                </w:p>
              </w:tc>
              <w:tc>
                <w:tcPr>
                  <w:tcW w:w="415" w:type="pct"/>
                  <w:shd w:val="clear" w:color="auto" w:fill="auto"/>
                  <w:vAlign w:val="center"/>
                </w:tcPr>
                <w:p w14:paraId="52A7531B">
                  <w:pPr>
                    <w:adjustRightInd w:val="0"/>
                    <w:spacing w:line="276" w:lineRule="auto"/>
                    <w:jc w:val="center"/>
                    <w:rPr>
                      <w:color w:val="auto"/>
                      <w:kern w:val="0"/>
                      <w:szCs w:val="21"/>
                    </w:rPr>
                  </w:pPr>
                  <w:r>
                    <w:rPr>
                      <w:rFonts w:hint="eastAsia"/>
                      <w:color w:val="auto"/>
                      <w:kern w:val="0"/>
                      <w:szCs w:val="21"/>
                    </w:rPr>
                    <w:t>/</w:t>
                  </w:r>
                </w:p>
              </w:tc>
              <w:tc>
                <w:tcPr>
                  <w:tcW w:w="499" w:type="pct"/>
                  <w:vAlign w:val="center"/>
                </w:tcPr>
                <w:p w14:paraId="11D2EBCE">
                  <w:pPr>
                    <w:adjustRightInd w:val="0"/>
                    <w:spacing w:line="276" w:lineRule="auto"/>
                    <w:jc w:val="center"/>
                    <w:rPr>
                      <w:color w:val="auto"/>
                      <w:kern w:val="0"/>
                      <w:szCs w:val="21"/>
                    </w:rPr>
                  </w:pPr>
                  <w:r>
                    <w:rPr>
                      <w:rFonts w:hint="eastAsia"/>
                      <w:color w:val="auto"/>
                      <w:kern w:val="0"/>
                      <w:szCs w:val="21"/>
                    </w:rPr>
                    <w:t>/</w:t>
                  </w:r>
                </w:p>
              </w:tc>
              <w:tc>
                <w:tcPr>
                  <w:tcW w:w="448" w:type="pct"/>
                  <w:vMerge w:val="continue"/>
                  <w:shd w:val="clear" w:color="auto" w:fill="auto"/>
                  <w:vAlign w:val="center"/>
                </w:tcPr>
                <w:p w14:paraId="6D201544">
                  <w:pPr>
                    <w:adjustRightInd w:val="0"/>
                    <w:spacing w:line="276" w:lineRule="auto"/>
                    <w:jc w:val="center"/>
                    <w:rPr>
                      <w:color w:val="auto"/>
                      <w:kern w:val="0"/>
                      <w:szCs w:val="21"/>
                    </w:rPr>
                  </w:pPr>
                </w:p>
              </w:tc>
            </w:tr>
            <w:tr w14:paraId="2455098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9" w:type="pct"/>
                  <w:vMerge w:val="continue"/>
                  <w:vAlign w:val="center"/>
                </w:tcPr>
                <w:p w14:paraId="12EE2BAA">
                  <w:pPr>
                    <w:adjustRightInd w:val="0"/>
                    <w:spacing w:line="276" w:lineRule="auto"/>
                    <w:jc w:val="center"/>
                    <w:rPr>
                      <w:color w:val="auto"/>
                      <w:kern w:val="0"/>
                      <w:szCs w:val="21"/>
                    </w:rPr>
                  </w:pPr>
                </w:p>
              </w:tc>
              <w:tc>
                <w:tcPr>
                  <w:tcW w:w="416" w:type="pct"/>
                  <w:vMerge w:val="continue"/>
                  <w:vAlign w:val="center"/>
                </w:tcPr>
                <w:p w14:paraId="744F5F23">
                  <w:pPr>
                    <w:widowControl/>
                    <w:adjustRightInd w:val="0"/>
                    <w:spacing w:line="276" w:lineRule="auto"/>
                    <w:jc w:val="center"/>
                    <w:rPr>
                      <w:color w:val="auto"/>
                      <w:szCs w:val="21"/>
                    </w:rPr>
                  </w:pPr>
                </w:p>
              </w:tc>
              <w:tc>
                <w:tcPr>
                  <w:tcW w:w="531" w:type="pct"/>
                  <w:vMerge w:val="continue"/>
                  <w:vAlign w:val="center"/>
                </w:tcPr>
                <w:p w14:paraId="105EECA9">
                  <w:pPr>
                    <w:adjustRightInd w:val="0"/>
                    <w:spacing w:line="276" w:lineRule="auto"/>
                    <w:jc w:val="center"/>
                    <w:rPr>
                      <w:color w:val="auto"/>
                      <w:kern w:val="0"/>
                      <w:szCs w:val="21"/>
                    </w:rPr>
                  </w:pPr>
                </w:p>
              </w:tc>
              <w:tc>
                <w:tcPr>
                  <w:tcW w:w="715" w:type="pct"/>
                  <w:shd w:val="clear" w:color="auto" w:fill="auto"/>
                  <w:vAlign w:val="center"/>
                </w:tcPr>
                <w:p w14:paraId="2893BD8D">
                  <w:pPr>
                    <w:adjustRightInd w:val="0"/>
                    <w:spacing w:line="276" w:lineRule="auto"/>
                    <w:jc w:val="center"/>
                    <w:rPr>
                      <w:color w:val="auto"/>
                      <w:kern w:val="0"/>
                      <w:szCs w:val="21"/>
                    </w:rPr>
                  </w:pPr>
                  <w:r>
                    <w:rPr>
                      <w:color w:val="auto"/>
                      <w:kern w:val="0"/>
                      <w:szCs w:val="21"/>
                    </w:rPr>
                    <w:t>第四次</w:t>
                  </w:r>
                </w:p>
              </w:tc>
              <w:tc>
                <w:tcPr>
                  <w:tcW w:w="582" w:type="pct"/>
                  <w:vAlign w:val="center"/>
                </w:tcPr>
                <w:p w14:paraId="68F47E6C">
                  <w:pPr>
                    <w:adjustRightInd w:val="0"/>
                    <w:spacing w:line="276" w:lineRule="auto"/>
                    <w:jc w:val="center"/>
                    <w:rPr>
                      <w:color w:val="auto"/>
                      <w:kern w:val="0"/>
                      <w:szCs w:val="21"/>
                    </w:rPr>
                  </w:pPr>
                  <w:r>
                    <w:rPr>
                      <w:rFonts w:hint="eastAsia"/>
                      <w:color w:val="auto"/>
                      <w:kern w:val="0"/>
                      <w:szCs w:val="21"/>
                    </w:rPr>
                    <w:t>61873</w:t>
                  </w:r>
                </w:p>
              </w:tc>
              <w:tc>
                <w:tcPr>
                  <w:tcW w:w="416" w:type="pct"/>
                  <w:vAlign w:val="center"/>
                </w:tcPr>
                <w:p w14:paraId="6905BAF3">
                  <w:pPr>
                    <w:adjustRightInd w:val="0"/>
                    <w:spacing w:line="276" w:lineRule="auto"/>
                    <w:jc w:val="center"/>
                    <w:rPr>
                      <w:color w:val="auto"/>
                      <w:kern w:val="0"/>
                      <w:szCs w:val="21"/>
                    </w:rPr>
                  </w:pPr>
                  <w:r>
                    <w:rPr>
                      <w:rFonts w:hint="eastAsia"/>
                      <w:color w:val="auto"/>
                      <w:kern w:val="0"/>
                      <w:szCs w:val="21"/>
                    </w:rPr>
                    <w:t>14.8</w:t>
                  </w:r>
                </w:p>
              </w:tc>
              <w:tc>
                <w:tcPr>
                  <w:tcW w:w="499" w:type="pct"/>
                  <w:shd w:val="clear" w:color="auto" w:fill="auto"/>
                  <w:vAlign w:val="center"/>
                </w:tcPr>
                <w:p w14:paraId="56E6D45B">
                  <w:pPr>
                    <w:adjustRightInd w:val="0"/>
                    <w:spacing w:line="276" w:lineRule="auto"/>
                    <w:jc w:val="center"/>
                    <w:rPr>
                      <w:color w:val="auto"/>
                      <w:kern w:val="0"/>
                      <w:szCs w:val="21"/>
                    </w:rPr>
                  </w:pPr>
                  <w:r>
                    <w:rPr>
                      <w:color w:val="auto"/>
                      <w:kern w:val="0"/>
                      <w:szCs w:val="21"/>
                    </w:rPr>
                    <w:t>＜</w:t>
                  </w:r>
                  <w:r>
                    <w:rPr>
                      <w:rFonts w:hint="eastAsia"/>
                      <w:color w:val="auto"/>
                      <w:kern w:val="0"/>
                      <w:szCs w:val="21"/>
                    </w:rPr>
                    <w:t>3</w:t>
                  </w:r>
                </w:p>
              </w:tc>
              <w:tc>
                <w:tcPr>
                  <w:tcW w:w="415" w:type="pct"/>
                  <w:shd w:val="clear" w:color="auto" w:fill="auto"/>
                  <w:vAlign w:val="center"/>
                </w:tcPr>
                <w:p w14:paraId="1295B2DB">
                  <w:pPr>
                    <w:adjustRightInd w:val="0"/>
                    <w:spacing w:line="276" w:lineRule="auto"/>
                    <w:jc w:val="center"/>
                    <w:rPr>
                      <w:color w:val="auto"/>
                      <w:kern w:val="0"/>
                      <w:szCs w:val="21"/>
                    </w:rPr>
                  </w:pPr>
                  <w:r>
                    <w:rPr>
                      <w:rFonts w:hint="eastAsia"/>
                      <w:color w:val="auto"/>
                      <w:kern w:val="0"/>
                      <w:szCs w:val="21"/>
                    </w:rPr>
                    <w:t>/</w:t>
                  </w:r>
                </w:p>
              </w:tc>
              <w:tc>
                <w:tcPr>
                  <w:tcW w:w="499" w:type="pct"/>
                  <w:vAlign w:val="center"/>
                </w:tcPr>
                <w:p w14:paraId="51B73520">
                  <w:pPr>
                    <w:adjustRightInd w:val="0"/>
                    <w:spacing w:line="276" w:lineRule="auto"/>
                    <w:jc w:val="center"/>
                    <w:rPr>
                      <w:color w:val="auto"/>
                      <w:kern w:val="0"/>
                      <w:szCs w:val="21"/>
                    </w:rPr>
                  </w:pPr>
                  <w:r>
                    <w:rPr>
                      <w:rFonts w:hint="eastAsia"/>
                      <w:color w:val="auto"/>
                      <w:kern w:val="0"/>
                      <w:szCs w:val="21"/>
                    </w:rPr>
                    <w:t>/</w:t>
                  </w:r>
                </w:p>
              </w:tc>
              <w:tc>
                <w:tcPr>
                  <w:tcW w:w="448" w:type="pct"/>
                  <w:vMerge w:val="continue"/>
                  <w:shd w:val="clear" w:color="auto" w:fill="auto"/>
                  <w:vAlign w:val="center"/>
                </w:tcPr>
                <w:p w14:paraId="720DEA8E">
                  <w:pPr>
                    <w:adjustRightInd w:val="0"/>
                    <w:spacing w:line="276" w:lineRule="auto"/>
                    <w:jc w:val="center"/>
                    <w:rPr>
                      <w:color w:val="auto"/>
                      <w:kern w:val="0"/>
                      <w:szCs w:val="21"/>
                    </w:rPr>
                  </w:pPr>
                </w:p>
              </w:tc>
            </w:tr>
            <w:tr w14:paraId="557D4FE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9" w:type="pct"/>
                  <w:vMerge w:val="continue"/>
                  <w:vAlign w:val="center"/>
                </w:tcPr>
                <w:p w14:paraId="3D2E1C45">
                  <w:pPr>
                    <w:adjustRightInd w:val="0"/>
                    <w:spacing w:line="276" w:lineRule="auto"/>
                    <w:jc w:val="center"/>
                    <w:rPr>
                      <w:color w:val="auto"/>
                      <w:kern w:val="0"/>
                      <w:szCs w:val="21"/>
                    </w:rPr>
                  </w:pPr>
                </w:p>
              </w:tc>
              <w:tc>
                <w:tcPr>
                  <w:tcW w:w="416" w:type="pct"/>
                  <w:vMerge w:val="continue"/>
                  <w:vAlign w:val="center"/>
                </w:tcPr>
                <w:p w14:paraId="4742D215">
                  <w:pPr>
                    <w:widowControl/>
                    <w:adjustRightInd w:val="0"/>
                    <w:spacing w:line="276" w:lineRule="auto"/>
                    <w:jc w:val="center"/>
                    <w:rPr>
                      <w:color w:val="auto"/>
                      <w:szCs w:val="21"/>
                    </w:rPr>
                  </w:pPr>
                </w:p>
              </w:tc>
              <w:tc>
                <w:tcPr>
                  <w:tcW w:w="531" w:type="pct"/>
                  <w:vMerge w:val="restart"/>
                  <w:vAlign w:val="center"/>
                </w:tcPr>
                <w:p w14:paraId="5BB82749">
                  <w:pPr>
                    <w:adjustRightInd w:val="0"/>
                    <w:spacing w:line="276" w:lineRule="auto"/>
                    <w:jc w:val="center"/>
                    <w:rPr>
                      <w:color w:val="auto"/>
                      <w:kern w:val="0"/>
                      <w:szCs w:val="21"/>
                    </w:rPr>
                  </w:pPr>
                  <w:r>
                    <w:rPr>
                      <w:rFonts w:hint="eastAsia"/>
                      <w:color w:val="auto"/>
                      <w:kern w:val="0"/>
                      <w:szCs w:val="21"/>
                    </w:rPr>
                    <w:t>2020.09.15</w:t>
                  </w:r>
                </w:p>
              </w:tc>
              <w:tc>
                <w:tcPr>
                  <w:tcW w:w="715" w:type="pct"/>
                  <w:shd w:val="clear" w:color="auto" w:fill="auto"/>
                  <w:vAlign w:val="center"/>
                </w:tcPr>
                <w:p w14:paraId="204C3D20">
                  <w:pPr>
                    <w:adjustRightInd w:val="0"/>
                    <w:spacing w:line="276" w:lineRule="auto"/>
                    <w:jc w:val="center"/>
                    <w:rPr>
                      <w:color w:val="auto"/>
                      <w:kern w:val="0"/>
                      <w:szCs w:val="21"/>
                    </w:rPr>
                  </w:pPr>
                  <w:r>
                    <w:rPr>
                      <w:color w:val="auto"/>
                      <w:kern w:val="0"/>
                      <w:szCs w:val="21"/>
                    </w:rPr>
                    <w:t>第一次</w:t>
                  </w:r>
                </w:p>
              </w:tc>
              <w:tc>
                <w:tcPr>
                  <w:tcW w:w="582" w:type="pct"/>
                  <w:vAlign w:val="center"/>
                </w:tcPr>
                <w:p w14:paraId="6C6A888D">
                  <w:pPr>
                    <w:adjustRightInd w:val="0"/>
                    <w:spacing w:line="276" w:lineRule="auto"/>
                    <w:jc w:val="center"/>
                    <w:rPr>
                      <w:color w:val="auto"/>
                      <w:kern w:val="0"/>
                      <w:szCs w:val="21"/>
                    </w:rPr>
                  </w:pPr>
                  <w:r>
                    <w:rPr>
                      <w:rFonts w:hint="eastAsia"/>
                      <w:color w:val="auto"/>
                      <w:kern w:val="0"/>
                      <w:szCs w:val="21"/>
                    </w:rPr>
                    <w:t>59211</w:t>
                  </w:r>
                </w:p>
              </w:tc>
              <w:tc>
                <w:tcPr>
                  <w:tcW w:w="416" w:type="pct"/>
                  <w:vAlign w:val="center"/>
                </w:tcPr>
                <w:p w14:paraId="69AD335D">
                  <w:pPr>
                    <w:adjustRightInd w:val="0"/>
                    <w:spacing w:line="276" w:lineRule="auto"/>
                    <w:jc w:val="center"/>
                    <w:rPr>
                      <w:color w:val="auto"/>
                      <w:kern w:val="0"/>
                      <w:szCs w:val="21"/>
                    </w:rPr>
                  </w:pPr>
                  <w:r>
                    <w:rPr>
                      <w:rFonts w:hint="eastAsia"/>
                      <w:color w:val="auto"/>
                      <w:kern w:val="0"/>
                      <w:szCs w:val="21"/>
                    </w:rPr>
                    <w:t>14.7</w:t>
                  </w:r>
                </w:p>
              </w:tc>
              <w:tc>
                <w:tcPr>
                  <w:tcW w:w="499" w:type="pct"/>
                  <w:shd w:val="clear" w:color="auto" w:fill="auto"/>
                  <w:vAlign w:val="center"/>
                </w:tcPr>
                <w:p w14:paraId="2C9733CE">
                  <w:pPr>
                    <w:adjustRightInd w:val="0"/>
                    <w:spacing w:line="276" w:lineRule="auto"/>
                    <w:jc w:val="center"/>
                    <w:rPr>
                      <w:color w:val="auto"/>
                      <w:kern w:val="0"/>
                      <w:szCs w:val="21"/>
                    </w:rPr>
                  </w:pPr>
                  <w:r>
                    <w:rPr>
                      <w:color w:val="auto"/>
                      <w:kern w:val="0"/>
                      <w:szCs w:val="21"/>
                    </w:rPr>
                    <w:t>＜</w:t>
                  </w:r>
                  <w:r>
                    <w:rPr>
                      <w:rFonts w:hint="eastAsia"/>
                      <w:color w:val="auto"/>
                      <w:kern w:val="0"/>
                      <w:szCs w:val="21"/>
                    </w:rPr>
                    <w:t>3</w:t>
                  </w:r>
                </w:p>
              </w:tc>
              <w:tc>
                <w:tcPr>
                  <w:tcW w:w="415" w:type="pct"/>
                  <w:shd w:val="clear" w:color="auto" w:fill="auto"/>
                  <w:vAlign w:val="center"/>
                </w:tcPr>
                <w:p w14:paraId="2F6C4673">
                  <w:pPr>
                    <w:adjustRightInd w:val="0"/>
                    <w:spacing w:line="276" w:lineRule="auto"/>
                    <w:jc w:val="center"/>
                    <w:rPr>
                      <w:color w:val="auto"/>
                      <w:kern w:val="0"/>
                      <w:szCs w:val="21"/>
                    </w:rPr>
                  </w:pPr>
                  <w:r>
                    <w:rPr>
                      <w:rFonts w:hint="eastAsia"/>
                      <w:color w:val="auto"/>
                      <w:kern w:val="0"/>
                      <w:szCs w:val="21"/>
                    </w:rPr>
                    <w:t>/</w:t>
                  </w:r>
                </w:p>
              </w:tc>
              <w:tc>
                <w:tcPr>
                  <w:tcW w:w="499" w:type="pct"/>
                  <w:vAlign w:val="center"/>
                </w:tcPr>
                <w:p w14:paraId="410E00F5">
                  <w:pPr>
                    <w:adjustRightInd w:val="0"/>
                    <w:spacing w:line="276" w:lineRule="auto"/>
                    <w:jc w:val="center"/>
                    <w:rPr>
                      <w:color w:val="auto"/>
                      <w:kern w:val="0"/>
                      <w:szCs w:val="21"/>
                    </w:rPr>
                  </w:pPr>
                  <w:r>
                    <w:rPr>
                      <w:rFonts w:hint="eastAsia"/>
                      <w:color w:val="auto"/>
                      <w:kern w:val="0"/>
                      <w:szCs w:val="21"/>
                    </w:rPr>
                    <w:t>/</w:t>
                  </w:r>
                </w:p>
              </w:tc>
              <w:tc>
                <w:tcPr>
                  <w:tcW w:w="448" w:type="pct"/>
                  <w:vMerge w:val="continue"/>
                  <w:shd w:val="clear" w:color="auto" w:fill="auto"/>
                  <w:vAlign w:val="center"/>
                </w:tcPr>
                <w:p w14:paraId="224A98AC">
                  <w:pPr>
                    <w:adjustRightInd w:val="0"/>
                    <w:spacing w:line="276" w:lineRule="auto"/>
                    <w:jc w:val="center"/>
                    <w:rPr>
                      <w:color w:val="auto"/>
                      <w:kern w:val="0"/>
                      <w:szCs w:val="21"/>
                    </w:rPr>
                  </w:pPr>
                </w:p>
              </w:tc>
            </w:tr>
            <w:tr w14:paraId="2DC060E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9" w:type="pct"/>
                  <w:vMerge w:val="continue"/>
                  <w:vAlign w:val="center"/>
                </w:tcPr>
                <w:p w14:paraId="1FA2A30D">
                  <w:pPr>
                    <w:adjustRightInd w:val="0"/>
                    <w:spacing w:line="276" w:lineRule="auto"/>
                    <w:jc w:val="center"/>
                    <w:rPr>
                      <w:color w:val="auto"/>
                      <w:kern w:val="0"/>
                      <w:szCs w:val="21"/>
                    </w:rPr>
                  </w:pPr>
                </w:p>
              </w:tc>
              <w:tc>
                <w:tcPr>
                  <w:tcW w:w="416" w:type="pct"/>
                  <w:vMerge w:val="continue"/>
                  <w:vAlign w:val="center"/>
                </w:tcPr>
                <w:p w14:paraId="3DB53EE0">
                  <w:pPr>
                    <w:widowControl/>
                    <w:adjustRightInd w:val="0"/>
                    <w:spacing w:line="276" w:lineRule="auto"/>
                    <w:jc w:val="center"/>
                    <w:rPr>
                      <w:color w:val="auto"/>
                      <w:szCs w:val="21"/>
                    </w:rPr>
                  </w:pPr>
                </w:p>
              </w:tc>
              <w:tc>
                <w:tcPr>
                  <w:tcW w:w="531" w:type="pct"/>
                  <w:vMerge w:val="continue"/>
                  <w:vAlign w:val="center"/>
                </w:tcPr>
                <w:p w14:paraId="0901472A">
                  <w:pPr>
                    <w:adjustRightInd w:val="0"/>
                    <w:spacing w:line="276" w:lineRule="auto"/>
                    <w:jc w:val="center"/>
                    <w:rPr>
                      <w:color w:val="auto"/>
                      <w:kern w:val="0"/>
                      <w:szCs w:val="21"/>
                    </w:rPr>
                  </w:pPr>
                </w:p>
              </w:tc>
              <w:tc>
                <w:tcPr>
                  <w:tcW w:w="715" w:type="pct"/>
                  <w:shd w:val="clear" w:color="auto" w:fill="auto"/>
                  <w:vAlign w:val="center"/>
                </w:tcPr>
                <w:p w14:paraId="16115760">
                  <w:pPr>
                    <w:adjustRightInd w:val="0"/>
                    <w:spacing w:line="276" w:lineRule="auto"/>
                    <w:jc w:val="center"/>
                    <w:rPr>
                      <w:color w:val="auto"/>
                      <w:kern w:val="0"/>
                      <w:szCs w:val="21"/>
                    </w:rPr>
                  </w:pPr>
                  <w:r>
                    <w:rPr>
                      <w:color w:val="auto"/>
                      <w:kern w:val="0"/>
                      <w:szCs w:val="21"/>
                    </w:rPr>
                    <w:t>第二次</w:t>
                  </w:r>
                </w:p>
              </w:tc>
              <w:tc>
                <w:tcPr>
                  <w:tcW w:w="582" w:type="pct"/>
                  <w:vAlign w:val="center"/>
                </w:tcPr>
                <w:p w14:paraId="7EC63049">
                  <w:pPr>
                    <w:adjustRightInd w:val="0"/>
                    <w:spacing w:line="276" w:lineRule="auto"/>
                    <w:jc w:val="center"/>
                    <w:rPr>
                      <w:color w:val="auto"/>
                      <w:kern w:val="0"/>
                      <w:szCs w:val="21"/>
                    </w:rPr>
                  </w:pPr>
                  <w:r>
                    <w:rPr>
                      <w:rFonts w:hint="eastAsia"/>
                      <w:color w:val="auto"/>
                      <w:kern w:val="0"/>
                      <w:szCs w:val="21"/>
                    </w:rPr>
                    <w:t>68655</w:t>
                  </w:r>
                </w:p>
              </w:tc>
              <w:tc>
                <w:tcPr>
                  <w:tcW w:w="416" w:type="pct"/>
                  <w:vAlign w:val="center"/>
                </w:tcPr>
                <w:p w14:paraId="67D8134F">
                  <w:pPr>
                    <w:adjustRightInd w:val="0"/>
                    <w:spacing w:line="276" w:lineRule="auto"/>
                    <w:jc w:val="center"/>
                    <w:rPr>
                      <w:color w:val="auto"/>
                      <w:kern w:val="0"/>
                      <w:szCs w:val="21"/>
                    </w:rPr>
                  </w:pPr>
                  <w:r>
                    <w:rPr>
                      <w:rFonts w:hint="eastAsia"/>
                      <w:color w:val="auto"/>
                      <w:kern w:val="0"/>
                      <w:szCs w:val="21"/>
                    </w:rPr>
                    <w:t>14.6</w:t>
                  </w:r>
                </w:p>
              </w:tc>
              <w:tc>
                <w:tcPr>
                  <w:tcW w:w="499" w:type="pct"/>
                  <w:shd w:val="clear" w:color="auto" w:fill="auto"/>
                  <w:vAlign w:val="center"/>
                </w:tcPr>
                <w:p w14:paraId="7A74F50B">
                  <w:pPr>
                    <w:adjustRightInd w:val="0"/>
                    <w:spacing w:line="276" w:lineRule="auto"/>
                    <w:jc w:val="center"/>
                    <w:rPr>
                      <w:color w:val="auto"/>
                      <w:kern w:val="0"/>
                      <w:szCs w:val="21"/>
                    </w:rPr>
                  </w:pPr>
                  <w:r>
                    <w:rPr>
                      <w:color w:val="auto"/>
                      <w:kern w:val="0"/>
                      <w:szCs w:val="21"/>
                    </w:rPr>
                    <w:t>＜</w:t>
                  </w:r>
                  <w:r>
                    <w:rPr>
                      <w:rFonts w:hint="eastAsia"/>
                      <w:color w:val="auto"/>
                      <w:kern w:val="0"/>
                      <w:szCs w:val="21"/>
                    </w:rPr>
                    <w:t>3</w:t>
                  </w:r>
                </w:p>
              </w:tc>
              <w:tc>
                <w:tcPr>
                  <w:tcW w:w="415" w:type="pct"/>
                  <w:shd w:val="clear" w:color="auto" w:fill="auto"/>
                  <w:vAlign w:val="center"/>
                </w:tcPr>
                <w:p w14:paraId="33DE7E88">
                  <w:pPr>
                    <w:adjustRightInd w:val="0"/>
                    <w:spacing w:line="276" w:lineRule="auto"/>
                    <w:jc w:val="center"/>
                    <w:rPr>
                      <w:color w:val="auto"/>
                      <w:kern w:val="0"/>
                      <w:szCs w:val="21"/>
                    </w:rPr>
                  </w:pPr>
                  <w:r>
                    <w:rPr>
                      <w:rFonts w:hint="eastAsia"/>
                      <w:color w:val="auto"/>
                      <w:kern w:val="0"/>
                      <w:szCs w:val="21"/>
                    </w:rPr>
                    <w:t>/</w:t>
                  </w:r>
                </w:p>
              </w:tc>
              <w:tc>
                <w:tcPr>
                  <w:tcW w:w="499" w:type="pct"/>
                  <w:vAlign w:val="center"/>
                </w:tcPr>
                <w:p w14:paraId="2EB480AC">
                  <w:pPr>
                    <w:adjustRightInd w:val="0"/>
                    <w:spacing w:line="276" w:lineRule="auto"/>
                    <w:jc w:val="center"/>
                    <w:rPr>
                      <w:color w:val="auto"/>
                      <w:kern w:val="0"/>
                      <w:szCs w:val="21"/>
                    </w:rPr>
                  </w:pPr>
                  <w:r>
                    <w:rPr>
                      <w:rFonts w:hint="eastAsia"/>
                      <w:color w:val="auto"/>
                      <w:kern w:val="0"/>
                      <w:szCs w:val="21"/>
                    </w:rPr>
                    <w:t>/</w:t>
                  </w:r>
                </w:p>
              </w:tc>
              <w:tc>
                <w:tcPr>
                  <w:tcW w:w="448" w:type="pct"/>
                  <w:vMerge w:val="continue"/>
                  <w:shd w:val="clear" w:color="auto" w:fill="auto"/>
                  <w:vAlign w:val="center"/>
                </w:tcPr>
                <w:p w14:paraId="0BF44369">
                  <w:pPr>
                    <w:adjustRightInd w:val="0"/>
                    <w:spacing w:line="276" w:lineRule="auto"/>
                    <w:jc w:val="center"/>
                    <w:rPr>
                      <w:color w:val="auto"/>
                      <w:kern w:val="0"/>
                      <w:szCs w:val="21"/>
                    </w:rPr>
                  </w:pPr>
                </w:p>
              </w:tc>
            </w:tr>
            <w:tr w14:paraId="2CBF837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9" w:type="pct"/>
                  <w:vMerge w:val="continue"/>
                  <w:vAlign w:val="center"/>
                </w:tcPr>
                <w:p w14:paraId="7123D689">
                  <w:pPr>
                    <w:adjustRightInd w:val="0"/>
                    <w:spacing w:line="276" w:lineRule="auto"/>
                    <w:jc w:val="center"/>
                    <w:rPr>
                      <w:color w:val="auto"/>
                      <w:kern w:val="0"/>
                      <w:szCs w:val="21"/>
                    </w:rPr>
                  </w:pPr>
                </w:p>
              </w:tc>
              <w:tc>
                <w:tcPr>
                  <w:tcW w:w="416" w:type="pct"/>
                  <w:vMerge w:val="continue"/>
                  <w:vAlign w:val="center"/>
                </w:tcPr>
                <w:p w14:paraId="6969FA49">
                  <w:pPr>
                    <w:widowControl/>
                    <w:adjustRightInd w:val="0"/>
                    <w:spacing w:line="276" w:lineRule="auto"/>
                    <w:jc w:val="center"/>
                    <w:rPr>
                      <w:color w:val="auto"/>
                      <w:szCs w:val="21"/>
                    </w:rPr>
                  </w:pPr>
                </w:p>
              </w:tc>
              <w:tc>
                <w:tcPr>
                  <w:tcW w:w="531" w:type="pct"/>
                  <w:vMerge w:val="continue"/>
                  <w:vAlign w:val="center"/>
                </w:tcPr>
                <w:p w14:paraId="4E208F26">
                  <w:pPr>
                    <w:adjustRightInd w:val="0"/>
                    <w:spacing w:line="276" w:lineRule="auto"/>
                    <w:jc w:val="center"/>
                    <w:rPr>
                      <w:color w:val="auto"/>
                      <w:kern w:val="0"/>
                      <w:szCs w:val="21"/>
                    </w:rPr>
                  </w:pPr>
                </w:p>
              </w:tc>
              <w:tc>
                <w:tcPr>
                  <w:tcW w:w="715" w:type="pct"/>
                  <w:shd w:val="clear" w:color="auto" w:fill="auto"/>
                  <w:vAlign w:val="center"/>
                </w:tcPr>
                <w:p w14:paraId="684F7D47">
                  <w:pPr>
                    <w:adjustRightInd w:val="0"/>
                    <w:spacing w:line="276" w:lineRule="auto"/>
                    <w:jc w:val="center"/>
                    <w:rPr>
                      <w:color w:val="auto"/>
                      <w:kern w:val="0"/>
                      <w:szCs w:val="21"/>
                    </w:rPr>
                  </w:pPr>
                  <w:r>
                    <w:rPr>
                      <w:color w:val="auto"/>
                      <w:kern w:val="0"/>
                      <w:szCs w:val="21"/>
                    </w:rPr>
                    <w:t>第三次</w:t>
                  </w:r>
                </w:p>
              </w:tc>
              <w:tc>
                <w:tcPr>
                  <w:tcW w:w="582" w:type="pct"/>
                  <w:vAlign w:val="center"/>
                </w:tcPr>
                <w:p w14:paraId="6F6C44E8">
                  <w:pPr>
                    <w:adjustRightInd w:val="0"/>
                    <w:spacing w:line="276" w:lineRule="auto"/>
                    <w:jc w:val="center"/>
                    <w:rPr>
                      <w:color w:val="auto"/>
                      <w:kern w:val="0"/>
                      <w:szCs w:val="21"/>
                    </w:rPr>
                  </w:pPr>
                  <w:r>
                    <w:rPr>
                      <w:rFonts w:hint="eastAsia"/>
                      <w:color w:val="auto"/>
                      <w:kern w:val="0"/>
                      <w:szCs w:val="21"/>
                    </w:rPr>
                    <w:t>63526</w:t>
                  </w:r>
                </w:p>
              </w:tc>
              <w:tc>
                <w:tcPr>
                  <w:tcW w:w="416" w:type="pct"/>
                  <w:vAlign w:val="center"/>
                </w:tcPr>
                <w:p w14:paraId="40F373E9">
                  <w:pPr>
                    <w:adjustRightInd w:val="0"/>
                    <w:spacing w:line="276" w:lineRule="auto"/>
                    <w:jc w:val="center"/>
                    <w:rPr>
                      <w:color w:val="auto"/>
                      <w:kern w:val="0"/>
                      <w:szCs w:val="21"/>
                    </w:rPr>
                  </w:pPr>
                  <w:r>
                    <w:rPr>
                      <w:rFonts w:hint="eastAsia"/>
                      <w:color w:val="auto"/>
                      <w:kern w:val="0"/>
                      <w:szCs w:val="21"/>
                    </w:rPr>
                    <w:t>14.9</w:t>
                  </w:r>
                </w:p>
              </w:tc>
              <w:tc>
                <w:tcPr>
                  <w:tcW w:w="499" w:type="pct"/>
                  <w:shd w:val="clear" w:color="auto" w:fill="auto"/>
                  <w:vAlign w:val="center"/>
                </w:tcPr>
                <w:p w14:paraId="6978B011">
                  <w:pPr>
                    <w:adjustRightInd w:val="0"/>
                    <w:spacing w:line="276" w:lineRule="auto"/>
                    <w:jc w:val="center"/>
                    <w:rPr>
                      <w:color w:val="auto"/>
                      <w:kern w:val="0"/>
                      <w:szCs w:val="21"/>
                    </w:rPr>
                  </w:pPr>
                  <w:r>
                    <w:rPr>
                      <w:color w:val="auto"/>
                      <w:kern w:val="0"/>
                      <w:szCs w:val="21"/>
                    </w:rPr>
                    <w:t>＜</w:t>
                  </w:r>
                  <w:r>
                    <w:rPr>
                      <w:rFonts w:hint="eastAsia"/>
                      <w:color w:val="auto"/>
                      <w:kern w:val="0"/>
                      <w:szCs w:val="21"/>
                    </w:rPr>
                    <w:t>3</w:t>
                  </w:r>
                </w:p>
              </w:tc>
              <w:tc>
                <w:tcPr>
                  <w:tcW w:w="415" w:type="pct"/>
                  <w:shd w:val="clear" w:color="auto" w:fill="auto"/>
                  <w:vAlign w:val="center"/>
                </w:tcPr>
                <w:p w14:paraId="048A02B8">
                  <w:pPr>
                    <w:adjustRightInd w:val="0"/>
                    <w:spacing w:line="276" w:lineRule="auto"/>
                    <w:jc w:val="center"/>
                    <w:rPr>
                      <w:color w:val="auto"/>
                      <w:kern w:val="0"/>
                      <w:szCs w:val="21"/>
                    </w:rPr>
                  </w:pPr>
                  <w:r>
                    <w:rPr>
                      <w:rFonts w:hint="eastAsia"/>
                      <w:color w:val="auto"/>
                      <w:kern w:val="0"/>
                      <w:szCs w:val="21"/>
                    </w:rPr>
                    <w:t>/</w:t>
                  </w:r>
                </w:p>
              </w:tc>
              <w:tc>
                <w:tcPr>
                  <w:tcW w:w="499" w:type="pct"/>
                  <w:vAlign w:val="center"/>
                </w:tcPr>
                <w:p w14:paraId="04185218">
                  <w:pPr>
                    <w:adjustRightInd w:val="0"/>
                    <w:spacing w:line="276" w:lineRule="auto"/>
                    <w:jc w:val="center"/>
                    <w:rPr>
                      <w:color w:val="auto"/>
                      <w:kern w:val="0"/>
                      <w:szCs w:val="21"/>
                    </w:rPr>
                  </w:pPr>
                  <w:r>
                    <w:rPr>
                      <w:rFonts w:hint="eastAsia"/>
                      <w:color w:val="auto"/>
                      <w:kern w:val="0"/>
                      <w:szCs w:val="21"/>
                    </w:rPr>
                    <w:t>/</w:t>
                  </w:r>
                </w:p>
              </w:tc>
              <w:tc>
                <w:tcPr>
                  <w:tcW w:w="448" w:type="pct"/>
                  <w:vMerge w:val="continue"/>
                  <w:shd w:val="clear" w:color="auto" w:fill="auto"/>
                  <w:vAlign w:val="center"/>
                </w:tcPr>
                <w:p w14:paraId="1B6345B4">
                  <w:pPr>
                    <w:adjustRightInd w:val="0"/>
                    <w:spacing w:line="276" w:lineRule="auto"/>
                    <w:jc w:val="center"/>
                    <w:rPr>
                      <w:color w:val="auto"/>
                      <w:kern w:val="0"/>
                      <w:szCs w:val="21"/>
                    </w:rPr>
                  </w:pPr>
                </w:p>
              </w:tc>
            </w:tr>
            <w:tr w14:paraId="65A0A19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9" w:type="pct"/>
                  <w:vMerge w:val="continue"/>
                  <w:vAlign w:val="center"/>
                </w:tcPr>
                <w:p w14:paraId="44E755BE">
                  <w:pPr>
                    <w:adjustRightInd w:val="0"/>
                    <w:spacing w:line="276" w:lineRule="auto"/>
                    <w:jc w:val="center"/>
                    <w:rPr>
                      <w:color w:val="auto"/>
                      <w:kern w:val="0"/>
                      <w:szCs w:val="21"/>
                    </w:rPr>
                  </w:pPr>
                </w:p>
              </w:tc>
              <w:tc>
                <w:tcPr>
                  <w:tcW w:w="416" w:type="pct"/>
                  <w:vMerge w:val="continue"/>
                  <w:vAlign w:val="center"/>
                </w:tcPr>
                <w:p w14:paraId="7A8CE3AC">
                  <w:pPr>
                    <w:widowControl/>
                    <w:adjustRightInd w:val="0"/>
                    <w:spacing w:line="276" w:lineRule="auto"/>
                    <w:jc w:val="center"/>
                    <w:rPr>
                      <w:color w:val="auto"/>
                      <w:szCs w:val="21"/>
                    </w:rPr>
                  </w:pPr>
                </w:p>
              </w:tc>
              <w:tc>
                <w:tcPr>
                  <w:tcW w:w="531" w:type="pct"/>
                  <w:vMerge w:val="continue"/>
                  <w:vAlign w:val="center"/>
                </w:tcPr>
                <w:p w14:paraId="42EB0F23">
                  <w:pPr>
                    <w:adjustRightInd w:val="0"/>
                    <w:spacing w:line="276" w:lineRule="auto"/>
                    <w:jc w:val="center"/>
                    <w:rPr>
                      <w:color w:val="auto"/>
                      <w:kern w:val="0"/>
                      <w:szCs w:val="21"/>
                    </w:rPr>
                  </w:pPr>
                </w:p>
              </w:tc>
              <w:tc>
                <w:tcPr>
                  <w:tcW w:w="715" w:type="pct"/>
                  <w:shd w:val="clear" w:color="auto" w:fill="auto"/>
                  <w:vAlign w:val="center"/>
                </w:tcPr>
                <w:p w14:paraId="55157E8A">
                  <w:pPr>
                    <w:adjustRightInd w:val="0"/>
                    <w:spacing w:line="276" w:lineRule="auto"/>
                    <w:jc w:val="center"/>
                    <w:rPr>
                      <w:color w:val="auto"/>
                      <w:kern w:val="0"/>
                      <w:szCs w:val="21"/>
                    </w:rPr>
                  </w:pPr>
                  <w:r>
                    <w:rPr>
                      <w:color w:val="auto"/>
                      <w:kern w:val="0"/>
                      <w:szCs w:val="21"/>
                    </w:rPr>
                    <w:t>第四次</w:t>
                  </w:r>
                </w:p>
              </w:tc>
              <w:tc>
                <w:tcPr>
                  <w:tcW w:w="582" w:type="pct"/>
                  <w:vAlign w:val="center"/>
                </w:tcPr>
                <w:p w14:paraId="629C3055">
                  <w:pPr>
                    <w:adjustRightInd w:val="0"/>
                    <w:spacing w:line="276" w:lineRule="auto"/>
                    <w:jc w:val="center"/>
                    <w:rPr>
                      <w:color w:val="auto"/>
                      <w:kern w:val="0"/>
                      <w:szCs w:val="21"/>
                    </w:rPr>
                  </w:pPr>
                  <w:r>
                    <w:rPr>
                      <w:rFonts w:hint="eastAsia"/>
                      <w:color w:val="auto"/>
                      <w:kern w:val="0"/>
                      <w:szCs w:val="21"/>
                    </w:rPr>
                    <w:t>61710</w:t>
                  </w:r>
                </w:p>
              </w:tc>
              <w:tc>
                <w:tcPr>
                  <w:tcW w:w="416" w:type="pct"/>
                  <w:vAlign w:val="center"/>
                </w:tcPr>
                <w:p w14:paraId="01231B09">
                  <w:pPr>
                    <w:adjustRightInd w:val="0"/>
                    <w:spacing w:line="276" w:lineRule="auto"/>
                    <w:jc w:val="center"/>
                    <w:rPr>
                      <w:color w:val="auto"/>
                      <w:kern w:val="0"/>
                      <w:szCs w:val="21"/>
                    </w:rPr>
                  </w:pPr>
                  <w:r>
                    <w:rPr>
                      <w:rFonts w:hint="eastAsia"/>
                      <w:color w:val="auto"/>
                      <w:kern w:val="0"/>
                      <w:szCs w:val="21"/>
                    </w:rPr>
                    <w:t>14.6</w:t>
                  </w:r>
                </w:p>
              </w:tc>
              <w:tc>
                <w:tcPr>
                  <w:tcW w:w="499" w:type="pct"/>
                  <w:shd w:val="clear" w:color="auto" w:fill="auto"/>
                  <w:vAlign w:val="center"/>
                </w:tcPr>
                <w:p w14:paraId="1B7DF987">
                  <w:pPr>
                    <w:adjustRightInd w:val="0"/>
                    <w:spacing w:line="276" w:lineRule="auto"/>
                    <w:jc w:val="center"/>
                    <w:rPr>
                      <w:color w:val="auto"/>
                      <w:kern w:val="0"/>
                      <w:szCs w:val="21"/>
                    </w:rPr>
                  </w:pPr>
                  <w:r>
                    <w:rPr>
                      <w:color w:val="auto"/>
                      <w:kern w:val="0"/>
                      <w:szCs w:val="21"/>
                    </w:rPr>
                    <w:t>＜</w:t>
                  </w:r>
                  <w:r>
                    <w:rPr>
                      <w:rFonts w:hint="eastAsia"/>
                      <w:color w:val="auto"/>
                      <w:kern w:val="0"/>
                      <w:szCs w:val="21"/>
                    </w:rPr>
                    <w:t>3</w:t>
                  </w:r>
                </w:p>
              </w:tc>
              <w:tc>
                <w:tcPr>
                  <w:tcW w:w="415" w:type="pct"/>
                  <w:shd w:val="clear" w:color="auto" w:fill="auto"/>
                  <w:vAlign w:val="center"/>
                </w:tcPr>
                <w:p w14:paraId="04B82B77">
                  <w:pPr>
                    <w:adjustRightInd w:val="0"/>
                    <w:spacing w:line="276" w:lineRule="auto"/>
                    <w:jc w:val="center"/>
                    <w:rPr>
                      <w:color w:val="auto"/>
                      <w:kern w:val="0"/>
                      <w:szCs w:val="21"/>
                    </w:rPr>
                  </w:pPr>
                  <w:r>
                    <w:rPr>
                      <w:rFonts w:hint="eastAsia"/>
                      <w:color w:val="auto"/>
                      <w:kern w:val="0"/>
                      <w:szCs w:val="21"/>
                    </w:rPr>
                    <w:t>/</w:t>
                  </w:r>
                </w:p>
              </w:tc>
              <w:tc>
                <w:tcPr>
                  <w:tcW w:w="499" w:type="pct"/>
                  <w:vAlign w:val="center"/>
                </w:tcPr>
                <w:p w14:paraId="47149647">
                  <w:pPr>
                    <w:adjustRightInd w:val="0"/>
                    <w:spacing w:line="276" w:lineRule="auto"/>
                    <w:jc w:val="center"/>
                    <w:rPr>
                      <w:color w:val="auto"/>
                      <w:kern w:val="0"/>
                      <w:szCs w:val="21"/>
                    </w:rPr>
                  </w:pPr>
                  <w:r>
                    <w:rPr>
                      <w:rFonts w:hint="eastAsia"/>
                      <w:color w:val="auto"/>
                      <w:kern w:val="0"/>
                      <w:szCs w:val="21"/>
                    </w:rPr>
                    <w:t>/</w:t>
                  </w:r>
                </w:p>
              </w:tc>
              <w:tc>
                <w:tcPr>
                  <w:tcW w:w="448" w:type="pct"/>
                  <w:vMerge w:val="continue"/>
                  <w:shd w:val="clear" w:color="auto" w:fill="auto"/>
                  <w:vAlign w:val="center"/>
                </w:tcPr>
                <w:p w14:paraId="2D53C1DA">
                  <w:pPr>
                    <w:adjustRightInd w:val="0"/>
                    <w:spacing w:line="276" w:lineRule="auto"/>
                    <w:jc w:val="center"/>
                    <w:rPr>
                      <w:color w:val="auto"/>
                      <w:kern w:val="0"/>
                      <w:szCs w:val="21"/>
                    </w:rPr>
                  </w:pPr>
                </w:p>
              </w:tc>
            </w:tr>
            <w:tr w14:paraId="75AA81D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9" w:type="pct"/>
                  <w:vMerge w:val="continue"/>
                  <w:vAlign w:val="center"/>
                </w:tcPr>
                <w:p w14:paraId="14D6DCDB">
                  <w:pPr>
                    <w:adjustRightInd w:val="0"/>
                    <w:spacing w:line="276" w:lineRule="auto"/>
                    <w:jc w:val="center"/>
                    <w:rPr>
                      <w:color w:val="auto"/>
                      <w:kern w:val="0"/>
                      <w:szCs w:val="21"/>
                    </w:rPr>
                  </w:pPr>
                </w:p>
              </w:tc>
              <w:tc>
                <w:tcPr>
                  <w:tcW w:w="416" w:type="pct"/>
                  <w:vMerge w:val="restart"/>
                  <w:vAlign w:val="center"/>
                </w:tcPr>
                <w:p w14:paraId="7A5C5293">
                  <w:pPr>
                    <w:widowControl/>
                    <w:adjustRightInd w:val="0"/>
                    <w:spacing w:line="276" w:lineRule="auto"/>
                    <w:jc w:val="center"/>
                    <w:rPr>
                      <w:color w:val="auto"/>
                      <w:szCs w:val="21"/>
                    </w:rPr>
                  </w:pPr>
                  <w:r>
                    <w:rPr>
                      <w:color w:val="auto"/>
                      <w:szCs w:val="21"/>
                    </w:rPr>
                    <w:t>氮氧化物</w:t>
                  </w:r>
                </w:p>
              </w:tc>
              <w:tc>
                <w:tcPr>
                  <w:tcW w:w="531" w:type="pct"/>
                  <w:vMerge w:val="restart"/>
                  <w:vAlign w:val="center"/>
                </w:tcPr>
                <w:p w14:paraId="57E4B669">
                  <w:pPr>
                    <w:adjustRightInd w:val="0"/>
                    <w:spacing w:line="276" w:lineRule="auto"/>
                    <w:jc w:val="center"/>
                    <w:rPr>
                      <w:color w:val="auto"/>
                      <w:kern w:val="0"/>
                      <w:szCs w:val="21"/>
                    </w:rPr>
                  </w:pPr>
                  <w:r>
                    <w:rPr>
                      <w:rFonts w:hint="eastAsia"/>
                      <w:color w:val="auto"/>
                      <w:kern w:val="0"/>
                      <w:szCs w:val="21"/>
                    </w:rPr>
                    <w:t>2020.09.14</w:t>
                  </w:r>
                </w:p>
              </w:tc>
              <w:tc>
                <w:tcPr>
                  <w:tcW w:w="715" w:type="pct"/>
                  <w:shd w:val="clear" w:color="auto" w:fill="auto"/>
                  <w:vAlign w:val="center"/>
                </w:tcPr>
                <w:p w14:paraId="3A64D230">
                  <w:pPr>
                    <w:adjustRightInd w:val="0"/>
                    <w:spacing w:line="276" w:lineRule="auto"/>
                    <w:jc w:val="center"/>
                    <w:rPr>
                      <w:color w:val="auto"/>
                      <w:kern w:val="0"/>
                      <w:szCs w:val="21"/>
                    </w:rPr>
                  </w:pPr>
                  <w:r>
                    <w:rPr>
                      <w:color w:val="auto"/>
                      <w:kern w:val="0"/>
                      <w:szCs w:val="21"/>
                    </w:rPr>
                    <w:t>第一次</w:t>
                  </w:r>
                </w:p>
              </w:tc>
              <w:tc>
                <w:tcPr>
                  <w:tcW w:w="582" w:type="pct"/>
                  <w:vAlign w:val="center"/>
                </w:tcPr>
                <w:p w14:paraId="3C5ACEDF">
                  <w:pPr>
                    <w:adjustRightInd w:val="0"/>
                    <w:spacing w:line="276" w:lineRule="auto"/>
                    <w:jc w:val="center"/>
                    <w:rPr>
                      <w:color w:val="auto"/>
                      <w:kern w:val="0"/>
                      <w:szCs w:val="21"/>
                    </w:rPr>
                  </w:pPr>
                  <w:r>
                    <w:rPr>
                      <w:rFonts w:hint="eastAsia"/>
                      <w:color w:val="auto"/>
                      <w:kern w:val="0"/>
                      <w:szCs w:val="21"/>
                    </w:rPr>
                    <w:t>64624</w:t>
                  </w:r>
                </w:p>
              </w:tc>
              <w:tc>
                <w:tcPr>
                  <w:tcW w:w="416" w:type="pct"/>
                  <w:vAlign w:val="center"/>
                </w:tcPr>
                <w:p w14:paraId="1676DFF5">
                  <w:pPr>
                    <w:adjustRightInd w:val="0"/>
                    <w:spacing w:line="276" w:lineRule="auto"/>
                    <w:jc w:val="center"/>
                    <w:rPr>
                      <w:color w:val="auto"/>
                      <w:kern w:val="0"/>
                      <w:szCs w:val="21"/>
                    </w:rPr>
                  </w:pPr>
                  <w:r>
                    <w:rPr>
                      <w:rFonts w:hint="eastAsia"/>
                      <w:color w:val="auto"/>
                      <w:kern w:val="0"/>
                      <w:szCs w:val="21"/>
                    </w:rPr>
                    <w:t>15.1</w:t>
                  </w:r>
                </w:p>
              </w:tc>
              <w:tc>
                <w:tcPr>
                  <w:tcW w:w="499" w:type="pct"/>
                  <w:shd w:val="clear" w:color="auto" w:fill="auto"/>
                  <w:vAlign w:val="center"/>
                </w:tcPr>
                <w:p w14:paraId="1863FAE3">
                  <w:pPr>
                    <w:adjustRightInd w:val="0"/>
                    <w:spacing w:line="276" w:lineRule="auto"/>
                    <w:jc w:val="center"/>
                    <w:rPr>
                      <w:color w:val="auto"/>
                      <w:kern w:val="0"/>
                      <w:szCs w:val="21"/>
                    </w:rPr>
                  </w:pPr>
                  <w:r>
                    <w:rPr>
                      <w:rFonts w:hint="eastAsia"/>
                      <w:color w:val="auto"/>
                      <w:kern w:val="0"/>
                      <w:szCs w:val="21"/>
                    </w:rPr>
                    <w:t>4</w:t>
                  </w:r>
                </w:p>
              </w:tc>
              <w:tc>
                <w:tcPr>
                  <w:tcW w:w="415" w:type="pct"/>
                  <w:shd w:val="clear" w:color="auto" w:fill="auto"/>
                  <w:vAlign w:val="center"/>
                </w:tcPr>
                <w:p w14:paraId="6821679B">
                  <w:pPr>
                    <w:adjustRightInd w:val="0"/>
                    <w:spacing w:line="276" w:lineRule="auto"/>
                    <w:jc w:val="center"/>
                    <w:rPr>
                      <w:color w:val="auto"/>
                      <w:kern w:val="0"/>
                      <w:szCs w:val="21"/>
                    </w:rPr>
                  </w:pPr>
                  <w:r>
                    <w:rPr>
                      <w:rFonts w:hint="eastAsia"/>
                      <w:color w:val="auto"/>
                      <w:kern w:val="0"/>
                      <w:szCs w:val="21"/>
                    </w:rPr>
                    <w:t>8.4</w:t>
                  </w:r>
                </w:p>
              </w:tc>
              <w:tc>
                <w:tcPr>
                  <w:tcW w:w="499" w:type="pct"/>
                  <w:vAlign w:val="center"/>
                </w:tcPr>
                <w:p w14:paraId="229D2FBF">
                  <w:pPr>
                    <w:adjustRightInd w:val="0"/>
                    <w:spacing w:line="276" w:lineRule="auto"/>
                    <w:jc w:val="center"/>
                    <w:rPr>
                      <w:color w:val="auto"/>
                      <w:kern w:val="0"/>
                      <w:szCs w:val="21"/>
                    </w:rPr>
                  </w:pPr>
                  <w:r>
                    <w:rPr>
                      <w:rFonts w:hint="eastAsia"/>
                      <w:color w:val="auto"/>
                      <w:kern w:val="0"/>
                      <w:szCs w:val="21"/>
                    </w:rPr>
                    <w:t>0.54</w:t>
                  </w:r>
                </w:p>
              </w:tc>
              <w:tc>
                <w:tcPr>
                  <w:tcW w:w="448" w:type="pct"/>
                  <w:vMerge w:val="continue"/>
                  <w:shd w:val="clear" w:color="auto" w:fill="auto"/>
                  <w:vAlign w:val="center"/>
                </w:tcPr>
                <w:p w14:paraId="31872CD9">
                  <w:pPr>
                    <w:adjustRightInd w:val="0"/>
                    <w:spacing w:line="276" w:lineRule="auto"/>
                    <w:jc w:val="center"/>
                    <w:rPr>
                      <w:color w:val="auto"/>
                      <w:kern w:val="0"/>
                      <w:szCs w:val="21"/>
                    </w:rPr>
                  </w:pPr>
                </w:p>
              </w:tc>
            </w:tr>
            <w:tr w14:paraId="5ED40EB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9" w:type="pct"/>
                  <w:vMerge w:val="continue"/>
                  <w:vAlign w:val="center"/>
                </w:tcPr>
                <w:p w14:paraId="426F605D">
                  <w:pPr>
                    <w:adjustRightInd w:val="0"/>
                    <w:spacing w:line="276" w:lineRule="auto"/>
                    <w:jc w:val="center"/>
                    <w:rPr>
                      <w:color w:val="auto"/>
                      <w:kern w:val="0"/>
                      <w:szCs w:val="21"/>
                    </w:rPr>
                  </w:pPr>
                </w:p>
              </w:tc>
              <w:tc>
                <w:tcPr>
                  <w:tcW w:w="416" w:type="pct"/>
                  <w:vMerge w:val="continue"/>
                  <w:vAlign w:val="center"/>
                </w:tcPr>
                <w:p w14:paraId="3F21893C">
                  <w:pPr>
                    <w:widowControl/>
                    <w:adjustRightInd w:val="0"/>
                    <w:spacing w:line="276" w:lineRule="auto"/>
                    <w:jc w:val="center"/>
                    <w:rPr>
                      <w:color w:val="auto"/>
                      <w:szCs w:val="21"/>
                    </w:rPr>
                  </w:pPr>
                </w:p>
              </w:tc>
              <w:tc>
                <w:tcPr>
                  <w:tcW w:w="531" w:type="pct"/>
                  <w:vMerge w:val="continue"/>
                  <w:vAlign w:val="center"/>
                </w:tcPr>
                <w:p w14:paraId="25A9ACCC">
                  <w:pPr>
                    <w:adjustRightInd w:val="0"/>
                    <w:spacing w:line="276" w:lineRule="auto"/>
                    <w:jc w:val="center"/>
                    <w:rPr>
                      <w:color w:val="auto"/>
                      <w:kern w:val="0"/>
                      <w:szCs w:val="21"/>
                    </w:rPr>
                  </w:pPr>
                </w:p>
              </w:tc>
              <w:tc>
                <w:tcPr>
                  <w:tcW w:w="715" w:type="pct"/>
                  <w:shd w:val="clear" w:color="auto" w:fill="auto"/>
                  <w:vAlign w:val="center"/>
                </w:tcPr>
                <w:p w14:paraId="0CE99819">
                  <w:pPr>
                    <w:adjustRightInd w:val="0"/>
                    <w:spacing w:line="276" w:lineRule="auto"/>
                    <w:jc w:val="center"/>
                    <w:rPr>
                      <w:color w:val="auto"/>
                      <w:kern w:val="0"/>
                      <w:szCs w:val="21"/>
                    </w:rPr>
                  </w:pPr>
                  <w:r>
                    <w:rPr>
                      <w:color w:val="auto"/>
                      <w:kern w:val="0"/>
                      <w:szCs w:val="21"/>
                    </w:rPr>
                    <w:t>第二次</w:t>
                  </w:r>
                </w:p>
              </w:tc>
              <w:tc>
                <w:tcPr>
                  <w:tcW w:w="582" w:type="pct"/>
                  <w:vAlign w:val="center"/>
                </w:tcPr>
                <w:p w14:paraId="74EB96FC">
                  <w:pPr>
                    <w:adjustRightInd w:val="0"/>
                    <w:spacing w:line="276" w:lineRule="auto"/>
                    <w:jc w:val="center"/>
                    <w:rPr>
                      <w:color w:val="auto"/>
                      <w:kern w:val="0"/>
                      <w:szCs w:val="21"/>
                    </w:rPr>
                  </w:pPr>
                  <w:r>
                    <w:rPr>
                      <w:rFonts w:hint="eastAsia"/>
                      <w:color w:val="auto"/>
                      <w:kern w:val="0"/>
                      <w:szCs w:val="21"/>
                    </w:rPr>
                    <w:t>61001</w:t>
                  </w:r>
                </w:p>
              </w:tc>
              <w:tc>
                <w:tcPr>
                  <w:tcW w:w="416" w:type="pct"/>
                  <w:vAlign w:val="center"/>
                </w:tcPr>
                <w:p w14:paraId="5FF337E1">
                  <w:pPr>
                    <w:adjustRightInd w:val="0"/>
                    <w:spacing w:line="276" w:lineRule="auto"/>
                    <w:jc w:val="center"/>
                    <w:rPr>
                      <w:color w:val="auto"/>
                      <w:kern w:val="0"/>
                      <w:szCs w:val="21"/>
                    </w:rPr>
                  </w:pPr>
                  <w:r>
                    <w:rPr>
                      <w:rFonts w:hint="eastAsia"/>
                      <w:color w:val="auto"/>
                      <w:kern w:val="0"/>
                      <w:szCs w:val="21"/>
                    </w:rPr>
                    <w:t>14.9</w:t>
                  </w:r>
                </w:p>
              </w:tc>
              <w:tc>
                <w:tcPr>
                  <w:tcW w:w="499" w:type="pct"/>
                  <w:shd w:val="clear" w:color="auto" w:fill="auto"/>
                  <w:vAlign w:val="center"/>
                </w:tcPr>
                <w:p w14:paraId="08583C62">
                  <w:pPr>
                    <w:adjustRightInd w:val="0"/>
                    <w:spacing w:line="276" w:lineRule="auto"/>
                    <w:jc w:val="center"/>
                    <w:rPr>
                      <w:color w:val="auto"/>
                      <w:kern w:val="0"/>
                      <w:szCs w:val="21"/>
                    </w:rPr>
                  </w:pPr>
                  <w:r>
                    <w:rPr>
                      <w:rFonts w:hint="eastAsia"/>
                      <w:color w:val="auto"/>
                      <w:kern w:val="0"/>
                      <w:szCs w:val="21"/>
                    </w:rPr>
                    <w:t>4</w:t>
                  </w:r>
                </w:p>
              </w:tc>
              <w:tc>
                <w:tcPr>
                  <w:tcW w:w="415" w:type="pct"/>
                  <w:shd w:val="clear" w:color="auto" w:fill="auto"/>
                  <w:vAlign w:val="center"/>
                </w:tcPr>
                <w:p w14:paraId="1DAC6FD2">
                  <w:pPr>
                    <w:adjustRightInd w:val="0"/>
                    <w:spacing w:line="276" w:lineRule="auto"/>
                    <w:jc w:val="center"/>
                    <w:rPr>
                      <w:color w:val="auto"/>
                      <w:kern w:val="0"/>
                      <w:szCs w:val="21"/>
                    </w:rPr>
                  </w:pPr>
                  <w:r>
                    <w:rPr>
                      <w:rFonts w:hint="eastAsia"/>
                      <w:color w:val="auto"/>
                      <w:kern w:val="0"/>
                      <w:szCs w:val="21"/>
                    </w:rPr>
                    <w:t>8.1</w:t>
                  </w:r>
                </w:p>
              </w:tc>
              <w:tc>
                <w:tcPr>
                  <w:tcW w:w="499" w:type="pct"/>
                  <w:vAlign w:val="center"/>
                </w:tcPr>
                <w:p w14:paraId="65491D21">
                  <w:pPr>
                    <w:adjustRightInd w:val="0"/>
                    <w:spacing w:line="276" w:lineRule="auto"/>
                    <w:jc w:val="center"/>
                    <w:rPr>
                      <w:color w:val="auto"/>
                      <w:kern w:val="0"/>
                      <w:szCs w:val="21"/>
                    </w:rPr>
                  </w:pPr>
                  <w:r>
                    <w:rPr>
                      <w:rFonts w:hint="eastAsia"/>
                      <w:color w:val="auto"/>
                      <w:kern w:val="0"/>
                      <w:szCs w:val="21"/>
                    </w:rPr>
                    <w:t>0.50</w:t>
                  </w:r>
                </w:p>
              </w:tc>
              <w:tc>
                <w:tcPr>
                  <w:tcW w:w="448" w:type="pct"/>
                  <w:vMerge w:val="continue"/>
                  <w:shd w:val="clear" w:color="auto" w:fill="auto"/>
                  <w:vAlign w:val="center"/>
                </w:tcPr>
                <w:p w14:paraId="195FE76B">
                  <w:pPr>
                    <w:adjustRightInd w:val="0"/>
                    <w:spacing w:line="276" w:lineRule="auto"/>
                    <w:jc w:val="center"/>
                    <w:rPr>
                      <w:color w:val="auto"/>
                      <w:kern w:val="0"/>
                      <w:szCs w:val="21"/>
                    </w:rPr>
                  </w:pPr>
                </w:p>
              </w:tc>
            </w:tr>
            <w:tr w14:paraId="7880458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9" w:type="pct"/>
                  <w:vMerge w:val="continue"/>
                  <w:vAlign w:val="center"/>
                </w:tcPr>
                <w:p w14:paraId="7E9A035E">
                  <w:pPr>
                    <w:adjustRightInd w:val="0"/>
                    <w:spacing w:line="276" w:lineRule="auto"/>
                    <w:jc w:val="center"/>
                    <w:rPr>
                      <w:color w:val="auto"/>
                      <w:kern w:val="0"/>
                      <w:szCs w:val="21"/>
                    </w:rPr>
                  </w:pPr>
                </w:p>
              </w:tc>
              <w:tc>
                <w:tcPr>
                  <w:tcW w:w="416" w:type="pct"/>
                  <w:vMerge w:val="continue"/>
                  <w:vAlign w:val="center"/>
                </w:tcPr>
                <w:p w14:paraId="1FC7170B">
                  <w:pPr>
                    <w:widowControl/>
                    <w:adjustRightInd w:val="0"/>
                    <w:spacing w:line="276" w:lineRule="auto"/>
                    <w:jc w:val="center"/>
                    <w:rPr>
                      <w:color w:val="auto"/>
                      <w:szCs w:val="21"/>
                    </w:rPr>
                  </w:pPr>
                </w:p>
              </w:tc>
              <w:tc>
                <w:tcPr>
                  <w:tcW w:w="531" w:type="pct"/>
                  <w:vMerge w:val="continue"/>
                  <w:vAlign w:val="center"/>
                </w:tcPr>
                <w:p w14:paraId="4605494E">
                  <w:pPr>
                    <w:adjustRightInd w:val="0"/>
                    <w:spacing w:line="276" w:lineRule="auto"/>
                    <w:jc w:val="center"/>
                    <w:rPr>
                      <w:color w:val="auto"/>
                      <w:kern w:val="0"/>
                      <w:szCs w:val="21"/>
                    </w:rPr>
                  </w:pPr>
                </w:p>
              </w:tc>
              <w:tc>
                <w:tcPr>
                  <w:tcW w:w="715" w:type="pct"/>
                  <w:shd w:val="clear" w:color="auto" w:fill="auto"/>
                  <w:vAlign w:val="center"/>
                </w:tcPr>
                <w:p w14:paraId="14623663">
                  <w:pPr>
                    <w:adjustRightInd w:val="0"/>
                    <w:spacing w:line="276" w:lineRule="auto"/>
                    <w:jc w:val="center"/>
                    <w:rPr>
                      <w:color w:val="auto"/>
                      <w:kern w:val="0"/>
                      <w:szCs w:val="21"/>
                    </w:rPr>
                  </w:pPr>
                  <w:r>
                    <w:rPr>
                      <w:color w:val="auto"/>
                      <w:kern w:val="0"/>
                      <w:szCs w:val="21"/>
                    </w:rPr>
                    <w:t>第三次</w:t>
                  </w:r>
                </w:p>
              </w:tc>
              <w:tc>
                <w:tcPr>
                  <w:tcW w:w="582" w:type="pct"/>
                  <w:vAlign w:val="center"/>
                </w:tcPr>
                <w:p w14:paraId="32946429">
                  <w:pPr>
                    <w:adjustRightInd w:val="0"/>
                    <w:spacing w:line="276" w:lineRule="auto"/>
                    <w:jc w:val="center"/>
                    <w:rPr>
                      <w:color w:val="auto"/>
                      <w:kern w:val="0"/>
                      <w:szCs w:val="21"/>
                    </w:rPr>
                  </w:pPr>
                  <w:r>
                    <w:rPr>
                      <w:rFonts w:hint="eastAsia"/>
                      <w:color w:val="auto"/>
                      <w:kern w:val="0"/>
                      <w:szCs w:val="21"/>
                    </w:rPr>
                    <w:t>69048</w:t>
                  </w:r>
                </w:p>
              </w:tc>
              <w:tc>
                <w:tcPr>
                  <w:tcW w:w="416" w:type="pct"/>
                  <w:vAlign w:val="center"/>
                </w:tcPr>
                <w:p w14:paraId="683E7E08">
                  <w:pPr>
                    <w:adjustRightInd w:val="0"/>
                    <w:spacing w:line="276" w:lineRule="auto"/>
                    <w:jc w:val="center"/>
                    <w:rPr>
                      <w:color w:val="auto"/>
                      <w:kern w:val="0"/>
                      <w:szCs w:val="21"/>
                    </w:rPr>
                  </w:pPr>
                  <w:r>
                    <w:rPr>
                      <w:rFonts w:hint="eastAsia"/>
                      <w:color w:val="auto"/>
                      <w:kern w:val="0"/>
                      <w:szCs w:val="21"/>
                    </w:rPr>
                    <w:t>14.8</w:t>
                  </w:r>
                </w:p>
              </w:tc>
              <w:tc>
                <w:tcPr>
                  <w:tcW w:w="499" w:type="pct"/>
                  <w:shd w:val="clear" w:color="auto" w:fill="auto"/>
                  <w:vAlign w:val="center"/>
                </w:tcPr>
                <w:p w14:paraId="5873DDFD">
                  <w:pPr>
                    <w:adjustRightInd w:val="0"/>
                    <w:spacing w:line="276" w:lineRule="auto"/>
                    <w:jc w:val="center"/>
                    <w:rPr>
                      <w:color w:val="auto"/>
                      <w:kern w:val="0"/>
                      <w:szCs w:val="21"/>
                    </w:rPr>
                  </w:pPr>
                  <w:r>
                    <w:rPr>
                      <w:rFonts w:hint="eastAsia"/>
                      <w:color w:val="auto"/>
                      <w:kern w:val="0"/>
                      <w:szCs w:val="21"/>
                    </w:rPr>
                    <w:t>3</w:t>
                  </w:r>
                </w:p>
              </w:tc>
              <w:tc>
                <w:tcPr>
                  <w:tcW w:w="415" w:type="pct"/>
                  <w:shd w:val="clear" w:color="auto" w:fill="auto"/>
                  <w:vAlign w:val="center"/>
                </w:tcPr>
                <w:p w14:paraId="02376066">
                  <w:pPr>
                    <w:adjustRightInd w:val="0"/>
                    <w:spacing w:line="276" w:lineRule="auto"/>
                    <w:jc w:val="center"/>
                    <w:rPr>
                      <w:color w:val="auto"/>
                      <w:kern w:val="0"/>
                      <w:szCs w:val="21"/>
                    </w:rPr>
                  </w:pPr>
                  <w:r>
                    <w:rPr>
                      <w:rFonts w:hint="eastAsia"/>
                      <w:color w:val="auto"/>
                      <w:kern w:val="0"/>
                      <w:szCs w:val="21"/>
                    </w:rPr>
                    <w:t>6.0</w:t>
                  </w:r>
                </w:p>
              </w:tc>
              <w:tc>
                <w:tcPr>
                  <w:tcW w:w="499" w:type="pct"/>
                  <w:vAlign w:val="center"/>
                </w:tcPr>
                <w:p w14:paraId="6AD401F8">
                  <w:pPr>
                    <w:adjustRightInd w:val="0"/>
                    <w:spacing w:line="276" w:lineRule="auto"/>
                    <w:jc w:val="center"/>
                    <w:rPr>
                      <w:color w:val="auto"/>
                      <w:kern w:val="0"/>
                      <w:szCs w:val="21"/>
                    </w:rPr>
                  </w:pPr>
                  <w:r>
                    <w:rPr>
                      <w:rFonts w:hint="eastAsia"/>
                      <w:color w:val="auto"/>
                      <w:kern w:val="0"/>
                      <w:szCs w:val="21"/>
                    </w:rPr>
                    <w:t>0.41</w:t>
                  </w:r>
                </w:p>
              </w:tc>
              <w:tc>
                <w:tcPr>
                  <w:tcW w:w="448" w:type="pct"/>
                  <w:vMerge w:val="continue"/>
                  <w:shd w:val="clear" w:color="auto" w:fill="auto"/>
                  <w:vAlign w:val="center"/>
                </w:tcPr>
                <w:p w14:paraId="25521FD9">
                  <w:pPr>
                    <w:adjustRightInd w:val="0"/>
                    <w:spacing w:line="276" w:lineRule="auto"/>
                    <w:jc w:val="center"/>
                    <w:rPr>
                      <w:color w:val="auto"/>
                      <w:kern w:val="0"/>
                      <w:szCs w:val="21"/>
                    </w:rPr>
                  </w:pPr>
                </w:p>
              </w:tc>
            </w:tr>
            <w:tr w14:paraId="0BAB638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9" w:type="pct"/>
                  <w:vMerge w:val="continue"/>
                  <w:vAlign w:val="center"/>
                </w:tcPr>
                <w:p w14:paraId="4A329847">
                  <w:pPr>
                    <w:adjustRightInd w:val="0"/>
                    <w:spacing w:line="276" w:lineRule="auto"/>
                    <w:jc w:val="center"/>
                    <w:rPr>
                      <w:color w:val="auto"/>
                      <w:kern w:val="0"/>
                      <w:szCs w:val="21"/>
                    </w:rPr>
                  </w:pPr>
                </w:p>
              </w:tc>
              <w:tc>
                <w:tcPr>
                  <w:tcW w:w="416" w:type="pct"/>
                  <w:vMerge w:val="continue"/>
                  <w:vAlign w:val="center"/>
                </w:tcPr>
                <w:p w14:paraId="373F8A93">
                  <w:pPr>
                    <w:widowControl/>
                    <w:adjustRightInd w:val="0"/>
                    <w:spacing w:line="276" w:lineRule="auto"/>
                    <w:jc w:val="center"/>
                    <w:rPr>
                      <w:color w:val="auto"/>
                      <w:szCs w:val="21"/>
                    </w:rPr>
                  </w:pPr>
                </w:p>
              </w:tc>
              <w:tc>
                <w:tcPr>
                  <w:tcW w:w="531" w:type="pct"/>
                  <w:vMerge w:val="continue"/>
                  <w:vAlign w:val="center"/>
                </w:tcPr>
                <w:p w14:paraId="7F9B3B77">
                  <w:pPr>
                    <w:adjustRightInd w:val="0"/>
                    <w:spacing w:line="276" w:lineRule="auto"/>
                    <w:jc w:val="center"/>
                    <w:rPr>
                      <w:color w:val="auto"/>
                      <w:kern w:val="0"/>
                      <w:szCs w:val="21"/>
                    </w:rPr>
                  </w:pPr>
                </w:p>
              </w:tc>
              <w:tc>
                <w:tcPr>
                  <w:tcW w:w="715" w:type="pct"/>
                  <w:shd w:val="clear" w:color="auto" w:fill="auto"/>
                  <w:vAlign w:val="center"/>
                </w:tcPr>
                <w:p w14:paraId="6CBBF520">
                  <w:pPr>
                    <w:adjustRightInd w:val="0"/>
                    <w:spacing w:line="276" w:lineRule="auto"/>
                    <w:jc w:val="center"/>
                    <w:rPr>
                      <w:color w:val="auto"/>
                      <w:kern w:val="0"/>
                      <w:szCs w:val="21"/>
                    </w:rPr>
                  </w:pPr>
                  <w:r>
                    <w:rPr>
                      <w:color w:val="auto"/>
                      <w:kern w:val="0"/>
                      <w:szCs w:val="21"/>
                    </w:rPr>
                    <w:t>第四次</w:t>
                  </w:r>
                </w:p>
              </w:tc>
              <w:tc>
                <w:tcPr>
                  <w:tcW w:w="582" w:type="pct"/>
                  <w:vAlign w:val="center"/>
                </w:tcPr>
                <w:p w14:paraId="4355BFF3">
                  <w:pPr>
                    <w:adjustRightInd w:val="0"/>
                    <w:spacing w:line="276" w:lineRule="auto"/>
                    <w:jc w:val="center"/>
                    <w:rPr>
                      <w:color w:val="auto"/>
                      <w:kern w:val="0"/>
                      <w:szCs w:val="21"/>
                    </w:rPr>
                  </w:pPr>
                  <w:r>
                    <w:rPr>
                      <w:rFonts w:hint="eastAsia"/>
                      <w:color w:val="auto"/>
                      <w:kern w:val="0"/>
                      <w:szCs w:val="21"/>
                    </w:rPr>
                    <w:t>61873</w:t>
                  </w:r>
                </w:p>
              </w:tc>
              <w:tc>
                <w:tcPr>
                  <w:tcW w:w="416" w:type="pct"/>
                  <w:vAlign w:val="center"/>
                </w:tcPr>
                <w:p w14:paraId="44E867D4">
                  <w:pPr>
                    <w:adjustRightInd w:val="0"/>
                    <w:spacing w:line="276" w:lineRule="auto"/>
                    <w:jc w:val="center"/>
                    <w:rPr>
                      <w:color w:val="auto"/>
                      <w:kern w:val="0"/>
                      <w:szCs w:val="21"/>
                    </w:rPr>
                  </w:pPr>
                  <w:r>
                    <w:rPr>
                      <w:rFonts w:hint="eastAsia"/>
                      <w:color w:val="auto"/>
                      <w:kern w:val="0"/>
                      <w:szCs w:val="21"/>
                    </w:rPr>
                    <w:t>14.8</w:t>
                  </w:r>
                </w:p>
              </w:tc>
              <w:tc>
                <w:tcPr>
                  <w:tcW w:w="499" w:type="pct"/>
                  <w:shd w:val="clear" w:color="auto" w:fill="auto"/>
                  <w:vAlign w:val="center"/>
                </w:tcPr>
                <w:p w14:paraId="0BB8F7B4">
                  <w:pPr>
                    <w:adjustRightInd w:val="0"/>
                    <w:spacing w:line="276" w:lineRule="auto"/>
                    <w:jc w:val="center"/>
                    <w:rPr>
                      <w:color w:val="auto"/>
                      <w:kern w:val="0"/>
                      <w:szCs w:val="21"/>
                    </w:rPr>
                  </w:pPr>
                  <w:r>
                    <w:rPr>
                      <w:rFonts w:hint="eastAsia"/>
                      <w:color w:val="auto"/>
                      <w:kern w:val="0"/>
                      <w:szCs w:val="21"/>
                    </w:rPr>
                    <w:t>4</w:t>
                  </w:r>
                </w:p>
              </w:tc>
              <w:tc>
                <w:tcPr>
                  <w:tcW w:w="415" w:type="pct"/>
                  <w:shd w:val="clear" w:color="auto" w:fill="auto"/>
                  <w:vAlign w:val="center"/>
                </w:tcPr>
                <w:p w14:paraId="7C741952">
                  <w:pPr>
                    <w:adjustRightInd w:val="0"/>
                    <w:spacing w:line="276" w:lineRule="auto"/>
                    <w:jc w:val="center"/>
                    <w:rPr>
                      <w:color w:val="auto"/>
                      <w:kern w:val="0"/>
                      <w:szCs w:val="21"/>
                    </w:rPr>
                  </w:pPr>
                  <w:r>
                    <w:rPr>
                      <w:rFonts w:hint="eastAsia"/>
                      <w:color w:val="auto"/>
                      <w:kern w:val="0"/>
                      <w:szCs w:val="21"/>
                    </w:rPr>
                    <w:t>8.0</w:t>
                  </w:r>
                </w:p>
              </w:tc>
              <w:tc>
                <w:tcPr>
                  <w:tcW w:w="499" w:type="pct"/>
                  <w:vAlign w:val="center"/>
                </w:tcPr>
                <w:p w14:paraId="68B173CF">
                  <w:pPr>
                    <w:adjustRightInd w:val="0"/>
                    <w:spacing w:line="276" w:lineRule="auto"/>
                    <w:jc w:val="center"/>
                    <w:rPr>
                      <w:color w:val="auto"/>
                      <w:kern w:val="0"/>
                      <w:szCs w:val="21"/>
                    </w:rPr>
                  </w:pPr>
                  <w:r>
                    <w:rPr>
                      <w:rFonts w:hint="eastAsia"/>
                      <w:color w:val="auto"/>
                      <w:kern w:val="0"/>
                      <w:szCs w:val="21"/>
                    </w:rPr>
                    <w:t>0.49</w:t>
                  </w:r>
                </w:p>
              </w:tc>
              <w:tc>
                <w:tcPr>
                  <w:tcW w:w="448" w:type="pct"/>
                  <w:vMerge w:val="continue"/>
                  <w:shd w:val="clear" w:color="auto" w:fill="auto"/>
                  <w:vAlign w:val="center"/>
                </w:tcPr>
                <w:p w14:paraId="220B9EAA">
                  <w:pPr>
                    <w:adjustRightInd w:val="0"/>
                    <w:spacing w:line="276" w:lineRule="auto"/>
                    <w:jc w:val="center"/>
                    <w:rPr>
                      <w:color w:val="auto"/>
                      <w:kern w:val="0"/>
                      <w:szCs w:val="21"/>
                    </w:rPr>
                  </w:pPr>
                </w:p>
              </w:tc>
            </w:tr>
            <w:tr w14:paraId="1D3AF49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9" w:type="pct"/>
                  <w:vMerge w:val="continue"/>
                  <w:vAlign w:val="center"/>
                </w:tcPr>
                <w:p w14:paraId="4118032C">
                  <w:pPr>
                    <w:adjustRightInd w:val="0"/>
                    <w:spacing w:line="276" w:lineRule="auto"/>
                    <w:jc w:val="center"/>
                    <w:rPr>
                      <w:color w:val="auto"/>
                      <w:kern w:val="0"/>
                      <w:szCs w:val="21"/>
                    </w:rPr>
                  </w:pPr>
                </w:p>
              </w:tc>
              <w:tc>
                <w:tcPr>
                  <w:tcW w:w="416" w:type="pct"/>
                  <w:vMerge w:val="continue"/>
                  <w:vAlign w:val="center"/>
                </w:tcPr>
                <w:p w14:paraId="6E13D084">
                  <w:pPr>
                    <w:widowControl/>
                    <w:adjustRightInd w:val="0"/>
                    <w:spacing w:line="276" w:lineRule="auto"/>
                    <w:jc w:val="center"/>
                    <w:rPr>
                      <w:color w:val="auto"/>
                      <w:szCs w:val="21"/>
                    </w:rPr>
                  </w:pPr>
                </w:p>
              </w:tc>
              <w:tc>
                <w:tcPr>
                  <w:tcW w:w="531" w:type="pct"/>
                  <w:vMerge w:val="restart"/>
                  <w:vAlign w:val="center"/>
                </w:tcPr>
                <w:p w14:paraId="2E2770F3">
                  <w:pPr>
                    <w:adjustRightInd w:val="0"/>
                    <w:spacing w:line="276" w:lineRule="auto"/>
                    <w:jc w:val="center"/>
                    <w:rPr>
                      <w:color w:val="auto"/>
                      <w:kern w:val="0"/>
                      <w:szCs w:val="21"/>
                    </w:rPr>
                  </w:pPr>
                  <w:r>
                    <w:rPr>
                      <w:rFonts w:hint="eastAsia"/>
                      <w:color w:val="auto"/>
                      <w:kern w:val="0"/>
                      <w:szCs w:val="21"/>
                    </w:rPr>
                    <w:t>2020.09.15</w:t>
                  </w:r>
                </w:p>
              </w:tc>
              <w:tc>
                <w:tcPr>
                  <w:tcW w:w="715" w:type="pct"/>
                  <w:shd w:val="clear" w:color="auto" w:fill="auto"/>
                  <w:vAlign w:val="center"/>
                </w:tcPr>
                <w:p w14:paraId="63B296AF">
                  <w:pPr>
                    <w:adjustRightInd w:val="0"/>
                    <w:spacing w:line="276" w:lineRule="auto"/>
                    <w:jc w:val="center"/>
                    <w:rPr>
                      <w:color w:val="auto"/>
                      <w:kern w:val="0"/>
                      <w:szCs w:val="21"/>
                    </w:rPr>
                  </w:pPr>
                  <w:r>
                    <w:rPr>
                      <w:color w:val="auto"/>
                      <w:kern w:val="0"/>
                      <w:szCs w:val="21"/>
                    </w:rPr>
                    <w:t>第一次</w:t>
                  </w:r>
                </w:p>
              </w:tc>
              <w:tc>
                <w:tcPr>
                  <w:tcW w:w="582" w:type="pct"/>
                  <w:vAlign w:val="center"/>
                </w:tcPr>
                <w:p w14:paraId="234C2988">
                  <w:pPr>
                    <w:adjustRightInd w:val="0"/>
                    <w:spacing w:line="276" w:lineRule="auto"/>
                    <w:jc w:val="center"/>
                    <w:rPr>
                      <w:color w:val="auto"/>
                      <w:kern w:val="0"/>
                      <w:szCs w:val="21"/>
                    </w:rPr>
                  </w:pPr>
                  <w:r>
                    <w:rPr>
                      <w:rFonts w:hint="eastAsia"/>
                      <w:color w:val="auto"/>
                      <w:kern w:val="0"/>
                      <w:szCs w:val="21"/>
                    </w:rPr>
                    <w:t>59211</w:t>
                  </w:r>
                </w:p>
              </w:tc>
              <w:tc>
                <w:tcPr>
                  <w:tcW w:w="416" w:type="pct"/>
                  <w:vAlign w:val="center"/>
                </w:tcPr>
                <w:p w14:paraId="35CD0DE8">
                  <w:pPr>
                    <w:adjustRightInd w:val="0"/>
                    <w:spacing w:line="276" w:lineRule="auto"/>
                    <w:jc w:val="center"/>
                    <w:rPr>
                      <w:color w:val="auto"/>
                      <w:kern w:val="0"/>
                      <w:szCs w:val="21"/>
                    </w:rPr>
                  </w:pPr>
                  <w:r>
                    <w:rPr>
                      <w:rFonts w:hint="eastAsia"/>
                      <w:color w:val="auto"/>
                      <w:kern w:val="0"/>
                      <w:szCs w:val="21"/>
                    </w:rPr>
                    <w:t>14.7</w:t>
                  </w:r>
                </w:p>
              </w:tc>
              <w:tc>
                <w:tcPr>
                  <w:tcW w:w="499" w:type="pct"/>
                  <w:shd w:val="clear" w:color="auto" w:fill="auto"/>
                  <w:vAlign w:val="center"/>
                </w:tcPr>
                <w:p w14:paraId="58116A40">
                  <w:pPr>
                    <w:adjustRightInd w:val="0"/>
                    <w:spacing w:line="276" w:lineRule="auto"/>
                    <w:jc w:val="center"/>
                    <w:rPr>
                      <w:color w:val="auto"/>
                      <w:kern w:val="0"/>
                      <w:szCs w:val="21"/>
                    </w:rPr>
                  </w:pPr>
                  <w:r>
                    <w:rPr>
                      <w:rFonts w:hint="eastAsia"/>
                      <w:color w:val="auto"/>
                      <w:kern w:val="0"/>
                      <w:szCs w:val="21"/>
                    </w:rPr>
                    <w:t>5</w:t>
                  </w:r>
                </w:p>
              </w:tc>
              <w:tc>
                <w:tcPr>
                  <w:tcW w:w="415" w:type="pct"/>
                  <w:shd w:val="clear" w:color="auto" w:fill="auto"/>
                  <w:vAlign w:val="center"/>
                </w:tcPr>
                <w:p w14:paraId="27BAE5BC">
                  <w:pPr>
                    <w:adjustRightInd w:val="0"/>
                    <w:spacing w:line="276" w:lineRule="auto"/>
                    <w:jc w:val="center"/>
                    <w:rPr>
                      <w:color w:val="auto"/>
                      <w:kern w:val="0"/>
                      <w:szCs w:val="21"/>
                    </w:rPr>
                  </w:pPr>
                  <w:r>
                    <w:rPr>
                      <w:rFonts w:hint="eastAsia"/>
                      <w:color w:val="auto"/>
                      <w:kern w:val="0"/>
                      <w:szCs w:val="21"/>
                    </w:rPr>
                    <w:t>9.8</w:t>
                  </w:r>
                </w:p>
              </w:tc>
              <w:tc>
                <w:tcPr>
                  <w:tcW w:w="499" w:type="pct"/>
                  <w:vAlign w:val="center"/>
                </w:tcPr>
                <w:p w14:paraId="5C25B442">
                  <w:pPr>
                    <w:adjustRightInd w:val="0"/>
                    <w:spacing w:line="276" w:lineRule="auto"/>
                    <w:jc w:val="center"/>
                    <w:rPr>
                      <w:color w:val="auto"/>
                      <w:kern w:val="0"/>
                      <w:szCs w:val="21"/>
                    </w:rPr>
                  </w:pPr>
                  <w:r>
                    <w:rPr>
                      <w:rFonts w:hint="eastAsia"/>
                      <w:color w:val="auto"/>
                      <w:kern w:val="0"/>
                      <w:szCs w:val="21"/>
                    </w:rPr>
                    <w:t>0.58</w:t>
                  </w:r>
                </w:p>
              </w:tc>
              <w:tc>
                <w:tcPr>
                  <w:tcW w:w="448" w:type="pct"/>
                  <w:vMerge w:val="continue"/>
                  <w:shd w:val="clear" w:color="auto" w:fill="auto"/>
                  <w:vAlign w:val="center"/>
                </w:tcPr>
                <w:p w14:paraId="5F50C03D">
                  <w:pPr>
                    <w:adjustRightInd w:val="0"/>
                    <w:spacing w:line="276" w:lineRule="auto"/>
                    <w:jc w:val="center"/>
                    <w:rPr>
                      <w:color w:val="auto"/>
                      <w:kern w:val="0"/>
                      <w:szCs w:val="21"/>
                    </w:rPr>
                  </w:pPr>
                </w:p>
              </w:tc>
            </w:tr>
            <w:tr w14:paraId="68CFDE5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9" w:type="pct"/>
                  <w:vMerge w:val="continue"/>
                  <w:vAlign w:val="center"/>
                </w:tcPr>
                <w:p w14:paraId="099B2FAD">
                  <w:pPr>
                    <w:adjustRightInd w:val="0"/>
                    <w:spacing w:line="276" w:lineRule="auto"/>
                    <w:jc w:val="center"/>
                    <w:rPr>
                      <w:color w:val="auto"/>
                      <w:kern w:val="0"/>
                      <w:szCs w:val="21"/>
                    </w:rPr>
                  </w:pPr>
                </w:p>
              </w:tc>
              <w:tc>
                <w:tcPr>
                  <w:tcW w:w="416" w:type="pct"/>
                  <w:vMerge w:val="continue"/>
                  <w:vAlign w:val="center"/>
                </w:tcPr>
                <w:p w14:paraId="0EE77951">
                  <w:pPr>
                    <w:widowControl/>
                    <w:adjustRightInd w:val="0"/>
                    <w:spacing w:line="276" w:lineRule="auto"/>
                    <w:jc w:val="center"/>
                    <w:rPr>
                      <w:color w:val="auto"/>
                      <w:szCs w:val="21"/>
                    </w:rPr>
                  </w:pPr>
                </w:p>
              </w:tc>
              <w:tc>
                <w:tcPr>
                  <w:tcW w:w="531" w:type="pct"/>
                  <w:vMerge w:val="continue"/>
                  <w:vAlign w:val="center"/>
                </w:tcPr>
                <w:p w14:paraId="4A72C402">
                  <w:pPr>
                    <w:adjustRightInd w:val="0"/>
                    <w:spacing w:line="276" w:lineRule="auto"/>
                    <w:jc w:val="center"/>
                    <w:rPr>
                      <w:color w:val="auto"/>
                      <w:kern w:val="0"/>
                      <w:szCs w:val="21"/>
                    </w:rPr>
                  </w:pPr>
                </w:p>
              </w:tc>
              <w:tc>
                <w:tcPr>
                  <w:tcW w:w="715" w:type="pct"/>
                  <w:shd w:val="clear" w:color="auto" w:fill="auto"/>
                  <w:vAlign w:val="center"/>
                </w:tcPr>
                <w:p w14:paraId="27B298F7">
                  <w:pPr>
                    <w:adjustRightInd w:val="0"/>
                    <w:spacing w:line="276" w:lineRule="auto"/>
                    <w:jc w:val="center"/>
                    <w:rPr>
                      <w:color w:val="auto"/>
                      <w:kern w:val="0"/>
                      <w:szCs w:val="21"/>
                    </w:rPr>
                  </w:pPr>
                  <w:r>
                    <w:rPr>
                      <w:color w:val="auto"/>
                      <w:kern w:val="0"/>
                      <w:szCs w:val="21"/>
                    </w:rPr>
                    <w:t>第二次</w:t>
                  </w:r>
                </w:p>
              </w:tc>
              <w:tc>
                <w:tcPr>
                  <w:tcW w:w="582" w:type="pct"/>
                  <w:vAlign w:val="center"/>
                </w:tcPr>
                <w:p w14:paraId="2DF29FCC">
                  <w:pPr>
                    <w:adjustRightInd w:val="0"/>
                    <w:spacing w:line="276" w:lineRule="auto"/>
                    <w:jc w:val="center"/>
                    <w:rPr>
                      <w:color w:val="auto"/>
                      <w:kern w:val="0"/>
                      <w:szCs w:val="21"/>
                    </w:rPr>
                  </w:pPr>
                  <w:r>
                    <w:rPr>
                      <w:rFonts w:hint="eastAsia"/>
                      <w:color w:val="auto"/>
                      <w:kern w:val="0"/>
                      <w:szCs w:val="21"/>
                    </w:rPr>
                    <w:t>68655</w:t>
                  </w:r>
                </w:p>
              </w:tc>
              <w:tc>
                <w:tcPr>
                  <w:tcW w:w="416" w:type="pct"/>
                  <w:vAlign w:val="center"/>
                </w:tcPr>
                <w:p w14:paraId="54A823A1">
                  <w:pPr>
                    <w:adjustRightInd w:val="0"/>
                    <w:spacing w:line="276" w:lineRule="auto"/>
                    <w:jc w:val="center"/>
                    <w:rPr>
                      <w:color w:val="auto"/>
                      <w:kern w:val="0"/>
                      <w:szCs w:val="21"/>
                    </w:rPr>
                  </w:pPr>
                  <w:r>
                    <w:rPr>
                      <w:rFonts w:hint="eastAsia"/>
                      <w:color w:val="auto"/>
                      <w:kern w:val="0"/>
                      <w:szCs w:val="21"/>
                    </w:rPr>
                    <w:t>14.6</w:t>
                  </w:r>
                </w:p>
              </w:tc>
              <w:tc>
                <w:tcPr>
                  <w:tcW w:w="499" w:type="pct"/>
                  <w:shd w:val="clear" w:color="auto" w:fill="auto"/>
                  <w:vAlign w:val="center"/>
                </w:tcPr>
                <w:p w14:paraId="4FC9FC0B">
                  <w:pPr>
                    <w:adjustRightInd w:val="0"/>
                    <w:spacing w:line="276" w:lineRule="auto"/>
                    <w:jc w:val="center"/>
                    <w:rPr>
                      <w:color w:val="auto"/>
                      <w:kern w:val="0"/>
                      <w:szCs w:val="21"/>
                    </w:rPr>
                  </w:pPr>
                  <w:r>
                    <w:rPr>
                      <w:rFonts w:hint="eastAsia"/>
                      <w:color w:val="auto"/>
                      <w:kern w:val="0"/>
                      <w:szCs w:val="21"/>
                    </w:rPr>
                    <w:t>5</w:t>
                  </w:r>
                </w:p>
              </w:tc>
              <w:tc>
                <w:tcPr>
                  <w:tcW w:w="415" w:type="pct"/>
                  <w:shd w:val="clear" w:color="auto" w:fill="auto"/>
                  <w:vAlign w:val="center"/>
                </w:tcPr>
                <w:p w14:paraId="1934BDE1">
                  <w:pPr>
                    <w:adjustRightInd w:val="0"/>
                    <w:spacing w:line="276" w:lineRule="auto"/>
                    <w:jc w:val="center"/>
                    <w:rPr>
                      <w:color w:val="auto"/>
                      <w:kern w:val="0"/>
                      <w:szCs w:val="21"/>
                    </w:rPr>
                  </w:pPr>
                  <w:r>
                    <w:rPr>
                      <w:rFonts w:hint="eastAsia"/>
                      <w:color w:val="auto"/>
                      <w:kern w:val="0"/>
                      <w:szCs w:val="21"/>
                    </w:rPr>
                    <w:t>9.7</w:t>
                  </w:r>
                </w:p>
              </w:tc>
              <w:tc>
                <w:tcPr>
                  <w:tcW w:w="499" w:type="pct"/>
                  <w:vAlign w:val="center"/>
                </w:tcPr>
                <w:p w14:paraId="3F4041AE">
                  <w:pPr>
                    <w:adjustRightInd w:val="0"/>
                    <w:spacing w:line="276" w:lineRule="auto"/>
                    <w:jc w:val="center"/>
                    <w:rPr>
                      <w:color w:val="auto"/>
                      <w:kern w:val="0"/>
                      <w:szCs w:val="21"/>
                    </w:rPr>
                  </w:pPr>
                  <w:r>
                    <w:rPr>
                      <w:rFonts w:hint="eastAsia"/>
                      <w:color w:val="auto"/>
                      <w:kern w:val="0"/>
                      <w:szCs w:val="21"/>
                    </w:rPr>
                    <w:t>0.67</w:t>
                  </w:r>
                </w:p>
              </w:tc>
              <w:tc>
                <w:tcPr>
                  <w:tcW w:w="448" w:type="pct"/>
                  <w:vMerge w:val="continue"/>
                  <w:shd w:val="clear" w:color="auto" w:fill="auto"/>
                  <w:vAlign w:val="center"/>
                </w:tcPr>
                <w:p w14:paraId="73F1FEA7">
                  <w:pPr>
                    <w:adjustRightInd w:val="0"/>
                    <w:spacing w:line="276" w:lineRule="auto"/>
                    <w:jc w:val="center"/>
                    <w:rPr>
                      <w:color w:val="auto"/>
                      <w:kern w:val="0"/>
                      <w:szCs w:val="21"/>
                    </w:rPr>
                  </w:pPr>
                </w:p>
              </w:tc>
            </w:tr>
            <w:tr w14:paraId="7DE3D08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9" w:type="pct"/>
                  <w:vMerge w:val="continue"/>
                  <w:vAlign w:val="center"/>
                </w:tcPr>
                <w:p w14:paraId="47B10428">
                  <w:pPr>
                    <w:adjustRightInd w:val="0"/>
                    <w:spacing w:line="276" w:lineRule="auto"/>
                    <w:jc w:val="center"/>
                    <w:rPr>
                      <w:color w:val="auto"/>
                      <w:kern w:val="0"/>
                      <w:szCs w:val="21"/>
                    </w:rPr>
                  </w:pPr>
                </w:p>
              </w:tc>
              <w:tc>
                <w:tcPr>
                  <w:tcW w:w="416" w:type="pct"/>
                  <w:vMerge w:val="continue"/>
                  <w:vAlign w:val="center"/>
                </w:tcPr>
                <w:p w14:paraId="048D5F92">
                  <w:pPr>
                    <w:widowControl/>
                    <w:adjustRightInd w:val="0"/>
                    <w:spacing w:line="276" w:lineRule="auto"/>
                    <w:jc w:val="center"/>
                    <w:rPr>
                      <w:color w:val="auto"/>
                      <w:szCs w:val="21"/>
                    </w:rPr>
                  </w:pPr>
                </w:p>
              </w:tc>
              <w:tc>
                <w:tcPr>
                  <w:tcW w:w="531" w:type="pct"/>
                  <w:vMerge w:val="continue"/>
                  <w:vAlign w:val="center"/>
                </w:tcPr>
                <w:p w14:paraId="1D00EDD1">
                  <w:pPr>
                    <w:adjustRightInd w:val="0"/>
                    <w:spacing w:line="276" w:lineRule="auto"/>
                    <w:jc w:val="center"/>
                    <w:rPr>
                      <w:color w:val="auto"/>
                      <w:kern w:val="0"/>
                      <w:szCs w:val="21"/>
                    </w:rPr>
                  </w:pPr>
                </w:p>
              </w:tc>
              <w:tc>
                <w:tcPr>
                  <w:tcW w:w="715" w:type="pct"/>
                  <w:shd w:val="clear" w:color="auto" w:fill="auto"/>
                  <w:vAlign w:val="center"/>
                </w:tcPr>
                <w:p w14:paraId="5D609D76">
                  <w:pPr>
                    <w:adjustRightInd w:val="0"/>
                    <w:spacing w:line="276" w:lineRule="auto"/>
                    <w:jc w:val="center"/>
                    <w:rPr>
                      <w:color w:val="auto"/>
                      <w:kern w:val="0"/>
                      <w:szCs w:val="21"/>
                    </w:rPr>
                  </w:pPr>
                  <w:r>
                    <w:rPr>
                      <w:color w:val="auto"/>
                      <w:kern w:val="0"/>
                      <w:szCs w:val="21"/>
                    </w:rPr>
                    <w:t>第三次</w:t>
                  </w:r>
                </w:p>
              </w:tc>
              <w:tc>
                <w:tcPr>
                  <w:tcW w:w="582" w:type="pct"/>
                  <w:vAlign w:val="center"/>
                </w:tcPr>
                <w:p w14:paraId="25E12F6F">
                  <w:pPr>
                    <w:adjustRightInd w:val="0"/>
                    <w:spacing w:line="276" w:lineRule="auto"/>
                    <w:jc w:val="center"/>
                    <w:rPr>
                      <w:color w:val="auto"/>
                      <w:kern w:val="0"/>
                      <w:szCs w:val="21"/>
                    </w:rPr>
                  </w:pPr>
                  <w:r>
                    <w:rPr>
                      <w:rFonts w:hint="eastAsia"/>
                      <w:color w:val="auto"/>
                      <w:kern w:val="0"/>
                      <w:szCs w:val="21"/>
                    </w:rPr>
                    <w:t>63526</w:t>
                  </w:r>
                </w:p>
              </w:tc>
              <w:tc>
                <w:tcPr>
                  <w:tcW w:w="416" w:type="pct"/>
                  <w:vAlign w:val="center"/>
                </w:tcPr>
                <w:p w14:paraId="36E6A19F">
                  <w:pPr>
                    <w:adjustRightInd w:val="0"/>
                    <w:spacing w:line="276" w:lineRule="auto"/>
                    <w:jc w:val="center"/>
                    <w:rPr>
                      <w:color w:val="auto"/>
                      <w:kern w:val="0"/>
                      <w:szCs w:val="21"/>
                    </w:rPr>
                  </w:pPr>
                  <w:r>
                    <w:rPr>
                      <w:rFonts w:hint="eastAsia"/>
                      <w:color w:val="auto"/>
                      <w:kern w:val="0"/>
                      <w:szCs w:val="21"/>
                    </w:rPr>
                    <w:t>14.9</w:t>
                  </w:r>
                </w:p>
              </w:tc>
              <w:tc>
                <w:tcPr>
                  <w:tcW w:w="499" w:type="pct"/>
                  <w:shd w:val="clear" w:color="auto" w:fill="auto"/>
                  <w:vAlign w:val="center"/>
                </w:tcPr>
                <w:p w14:paraId="48732CB3">
                  <w:pPr>
                    <w:adjustRightInd w:val="0"/>
                    <w:spacing w:line="276" w:lineRule="auto"/>
                    <w:jc w:val="center"/>
                    <w:rPr>
                      <w:color w:val="auto"/>
                      <w:kern w:val="0"/>
                      <w:szCs w:val="21"/>
                    </w:rPr>
                  </w:pPr>
                  <w:r>
                    <w:rPr>
                      <w:rFonts w:hint="eastAsia"/>
                      <w:color w:val="auto"/>
                      <w:kern w:val="0"/>
                      <w:szCs w:val="21"/>
                    </w:rPr>
                    <w:t>5</w:t>
                  </w:r>
                </w:p>
              </w:tc>
              <w:tc>
                <w:tcPr>
                  <w:tcW w:w="415" w:type="pct"/>
                  <w:shd w:val="clear" w:color="auto" w:fill="auto"/>
                  <w:vAlign w:val="center"/>
                </w:tcPr>
                <w:p w14:paraId="2DE32E30">
                  <w:pPr>
                    <w:adjustRightInd w:val="0"/>
                    <w:spacing w:line="276" w:lineRule="auto"/>
                    <w:jc w:val="center"/>
                    <w:rPr>
                      <w:color w:val="auto"/>
                      <w:kern w:val="0"/>
                      <w:szCs w:val="21"/>
                    </w:rPr>
                  </w:pPr>
                  <w:r>
                    <w:rPr>
                      <w:rFonts w:hint="eastAsia"/>
                      <w:color w:val="auto"/>
                      <w:kern w:val="0"/>
                      <w:szCs w:val="21"/>
                    </w:rPr>
                    <w:t>10.2</w:t>
                  </w:r>
                </w:p>
              </w:tc>
              <w:tc>
                <w:tcPr>
                  <w:tcW w:w="499" w:type="pct"/>
                  <w:vAlign w:val="center"/>
                </w:tcPr>
                <w:p w14:paraId="4901F697">
                  <w:pPr>
                    <w:adjustRightInd w:val="0"/>
                    <w:spacing w:line="276" w:lineRule="auto"/>
                    <w:jc w:val="center"/>
                    <w:rPr>
                      <w:color w:val="auto"/>
                      <w:kern w:val="0"/>
                      <w:szCs w:val="21"/>
                    </w:rPr>
                  </w:pPr>
                  <w:r>
                    <w:rPr>
                      <w:rFonts w:hint="eastAsia"/>
                      <w:color w:val="auto"/>
                      <w:kern w:val="0"/>
                      <w:szCs w:val="21"/>
                    </w:rPr>
                    <w:t>0.65</w:t>
                  </w:r>
                </w:p>
              </w:tc>
              <w:tc>
                <w:tcPr>
                  <w:tcW w:w="448" w:type="pct"/>
                  <w:vMerge w:val="continue"/>
                  <w:shd w:val="clear" w:color="auto" w:fill="auto"/>
                  <w:vAlign w:val="center"/>
                </w:tcPr>
                <w:p w14:paraId="48723FB4">
                  <w:pPr>
                    <w:adjustRightInd w:val="0"/>
                    <w:spacing w:line="276" w:lineRule="auto"/>
                    <w:jc w:val="center"/>
                    <w:rPr>
                      <w:color w:val="auto"/>
                      <w:kern w:val="0"/>
                      <w:szCs w:val="21"/>
                    </w:rPr>
                  </w:pPr>
                </w:p>
              </w:tc>
            </w:tr>
            <w:tr w14:paraId="506FF7E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9" w:type="pct"/>
                  <w:vMerge w:val="continue"/>
                  <w:vAlign w:val="center"/>
                </w:tcPr>
                <w:p w14:paraId="7538D643">
                  <w:pPr>
                    <w:adjustRightInd w:val="0"/>
                    <w:spacing w:line="276" w:lineRule="auto"/>
                    <w:jc w:val="center"/>
                    <w:rPr>
                      <w:color w:val="auto"/>
                      <w:kern w:val="0"/>
                      <w:szCs w:val="21"/>
                    </w:rPr>
                  </w:pPr>
                </w:p>
              </w:tc>
              <w:tc>
                <w:tcPr>
                  <w:tcW w:w="416" w:type="pct"/>
                  <w:vMerge w:val="continue"/>
                  <w:vAlign w:val="center"/>
                </w:tcPr>
                <w:p w14:paraId="29E319F0">
                  <w:pPr>
                    <w:widowControl/>
                    <w:adjustRightInd w:val="0"/>
                    <w:spacing w:line="276" w:lineRule="auto"/>
                    <w:jc w:val="center"/>
                    <w:rPr>
                      <w:color w:val="auto"/>
                      <w:szCs w:val="21"/>
                    </w:rPr>
                  </w:pPr>
                </w:p>
              </w:tc>
              <w:tc>
                <w:tcPr>
                  <w:tcW w:w="531" w:type="pct"/>
                  <w:vMerge w:val="continue"/>
                  <w:vAlign w:val="center"/>
                </w:tcPr>
                <w:p w14:paraId="1C2767A1">
                  <w:pPr>
                    <w:adjustRightInd w:val="0"/>
                    <w:spacing w:line="276" w:lineRule="auto"/>
                    <w:jc w:val="center"/>
                    <w:rPr>
                      <w:color w:val="auto"/>
                      <w:kern w:val="0"/>
                      <w:szCs w:val="21"/>
                    </w:rPr>
                  </w:pPr>
                </w:p>
              </w:tc>
              <w:tc>
                <w:tcPr>
                  <w:tcW w:w="715" w:type="pct"/>
                  <w:shd w:val="clear" w:color="auto" w:fill="auto"/>
                  <w:vAlign w:val="center"/>
                </w:tcPr>
                <w:p w14:paraId="0113CDE4">
                  <w:pPr>
                    <w:adjustRightInd w:val="0"/>
                    <w:spacing w:line="276" w:lineRule="auto"/>
                    <w:jc w:val="center"/>
                    <w:rPr>
                      <w:color w:val="auto"/>
                      <w:kern w:val="0"/>
                      <w:szCs w:val="21"/>
                    </w:rPr>
                  </w:pPr>
                  <w:r>
                    <w:rPr>
                      <w:color w:val="auto"/>
                      <w:kern w:val="0"/>
                      <w:szCs w:val="21"/>
                    </w:rPr>
                    <w:t>第四次</w:t>
                  </w:r>
                </w:p>
              </w:tc>
              <w:tc>
                <w:tcPr>
                  <w:tcW w:w="582" w:type="pct"/>
                  <w:vAlign w:val="center"/>
                </w:tcPr>
                <w:p w14:paraId="4E5E5B63">
                  <w:pPr>
                    <w:adjustRightInd w:val="0"/>
                    <w:spacing w:line="276" w:lineRule="auto"/>
                    <w:jc w:val="center"/>
                    <w:rPr>
                      <w:color w:val="auto"/>
                      <w:kern w:val="0"/>
                      <w:szCs w:val="21"/>
                    </w:rPr>
                  </w:pPr>
                  <w:r>
                    <w:rPr>
                      <w:rFonts w:hint="eastAsia"/>
                      <w:color w:val="auto"/>
                      <w:kern w:val="0"/>
                      <w:szCs w:val="21"/>
                    </w:rPr>
                    <w:t>61710</w:t>
                  </w:r>
                </w:p>
              </w:tc>
              <w:tc>
                <w:tcPr>
                  <w:tcW w:w="416" w:type="pct"/>
                  <w:vAlign w:val="center"/>
                </w:tcPr>
                <w:p w14:paraId="46B5535D">
                  <w:pPr>
                    <w:adjustRightInd w:val="0"/>
                    <w:spacing w:line="276" w:lineRule="auto"/>
                    <w:jc w:val="center"/>
                    <w:rPr>
                      <w:color w:val="auto"/>
                      <w:kern w:val="0"/>
                      <w:szCs w:val="21"/>
                    </w:rPr>
                  </w:pPr>
                  <w:r>
                    <w:rPr>
                      <w:rFonts w:hint="eastAsia"/>
                      <w:color w:val="auto"/>
                      <w:kern w:val="0"/>
                      <w:szCs w:val="21"/>
                    </w:rPr>
                    <w:t>14.6</w:t>
                  </w:r>
                </w:p>
              </w:tc>
              <w:tc>
                <w:tcPr>
                  <w:tcW w:w="499" w:type="pct"/>
                  <w:shd w:val="clear" w:color="auto" w:fill="auto"/>
                  <w:vAlign w:val="center"/>
                </w:tcPr>
                <w:p w14:paraId="51E94D02">
                  <w:pPr>
                    <w:adjustRightInd w:val="0"/>
                    <w:spacing w:line="276" w:lineRule="auto"/>
                    <w:jc w:val="center"/>
                    <w:rPr>
                      <w:color w:val="auto"/>
                      <w:kern w:val="0"/>
                      <w:szCs w:val="21"/>
                    </w:rPr>
                  </w:pPr>
                  <w:r>
                    <w:rPr>
                      <w:rFonts w:hint="eastAsia"/>
                      <w:color w:val="auto"/>
                      <w:kern w:val="0"/>
                      <w:szCs w:val="21"/>
                    </w:rPr>
                    <w:t>4</w:t>
                  </w:r>
                </w:p>
              </w:tc>
              <w:tc>
                <w:tcPr>
                  <w:tcW w:w="415" w:type="pct"/>
                  <w:shd w:val="clear" w:color="auto" w:fill="auto"/>
                  <w:vAlign w:val="center"/>
                </w:tcPr>
                <w:p w14:paraId="66DA10BF">
                  <w:pPr>
                    <w:adjustRightInd w:val="0"/>
                    <w:spacing w:line="276" w:lineRule="auto"/>
                    <w:jc w:val="center"/>
                    <w:rPr>
                      <w:color w:val="auto"/>
                      <w:kern w:val="0"/>
                      <w:szCs w:val="21"/>
                    </w:rPr>
                  </w:pPr>
                  <w:r>
                    <w:rPr>
                      <w:rFonts w:hint="eastAsia"/>
                      <w:color w:val="auto"/>
                      <w:kern w:val="0"/>
                      <w:szCs w:val="21"/>
                    </w:rPr>
                    <w:t>7.8</w:t>
                  </w:r>
                </w:p>
              </w:tc>
              <w:tc>
                <w:tcPr>
                  <w:tcW w:w="499" w:type="pct"/>
                  <w:vAlign w:val="center"/>
                </w:tcPr>
                <w:p w14:paraId="5CC20E25">
                  <w:pPr>
                    <w:adjustRightInd w:val="0"/>
                    <w:spacing w:line="276" w:lineRule="auto"/>
                    <w:jc w:val="center"/>
                    <w:rPr>
                      <w:color w:val="auto"/>
                      <w:kern w:val="0"/>
                      <w:szCs w:val="21"/>
                    </w:rPr>
                  </w:pPr>
                  <w:r>
                    <w:rPr>
                      <w:rFonts w:hint="eastAsia"/>
                      <w:color w:val="auto"/>
                      <w:kern w:val="0"/>
                      <w:szCs w:val="21"/>
                    </w:rPr>
                    <w:t>0.48</w:t>
                  </w:r>
                </w:p>
              </w:tc>
              <w:tc>
                <w:tcPr>
                  <w:tcW w:w="448" w:type="pct"/>
                  <w:vMerge w:val="continue"/>
                  <w:shd w:val="clear" w:color="auto" w:fill="auto"/>
                  <w:vAlign w:val="center"/>
                </w:tcPr>
                <w:p w14:paraId="4CA1949B">
                  <w:pPr>
                    <w:adjustRightInd w:val="0"/>
                    <w:spacing w:line="276" w:lineRule="auto"/>
                    <w:jc w:val="center"/>
                    <w:rPr>
                      <w:color w:val="auto"/>
                      <w:kern w:val="0"/>
                      <w:szCs w:val="21"/>
                    </w:rPr>
                  </w:pPr>
                </w:p>
              </w:tc>
            </w:tr>
            <w:tr w14:paraId="4CDF78C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10"/>
                  <w:vAlign w:val="center"/>
                </w:tcPr>
                <w:p w14:paraId="42ABEBBB">
                  <w:pPr>
                    <w:widowControl/>
                    <w:spacing w:line="276" w:lineRule="auto"/>
                    <w:jc w:val="left"/>
                    <w:rPr>
                      <w:color w:val="auto"/>
                      <w:kern w:val="0"/>
                      <w:szCs w:val="21"/>
                    </w:rPr>
                  </w:pPr>
                  <w:r>
                    <w:rPr>
                      <w:color w:val="auto"/>
                      <w:szCs w:val="21"/>
                    </w:rPr>
                    <w:t>备注：</w:t>
                  </w:r>
                  <w:r>
                    <w:rPr>
                      <w:color w:val="auto"/>
                      <w:kern w:val="0"/>
                      <w:szCs w:val="21"/>
                    </w:rPr>
                    <w:t>折算浓度按《工业炉窑大气污染物排放标准》（</w:t>
                  </w:r>
                  <w:r>
                    <w:rPr>
                      <w:rFonts w:hint="eastAsia"/>
                      <w:color w:val="auto"/>
                      <w:kern w:val="0"/>
                      <w:szCs w:val="21"/>
                    </w:rPr>
                    <w:t>GB9078-1996</w:t>
                  </w:r>
                  <w:r>
                    <w:rPr>
                      <w:color w:val="auto"/>
                      <w:kern w:val="0"/>
                      <w:szCs w:val="21"/>
                    </w:rPr>
                    <w:t>）过量空气系数</w:t>
                  </w:r>
                  <w:r>
                    <w:rPr>
                      <w:rFonts w:hint="eastAsia"/>
                      <w:color w:val="auto"/>
                      <w:kern w:val="0"/>
                      <w:szCs w:val="21"/>
                    </w:rPr>
                    <w:t>1.7计算。</w:t>
                  </w:r>
                </w:p>
              </w:tc>
            </w:tr>
          </w:tbl>
          <w:p w14:paraId="7167FBCC">
            <w:pPr>
              <w:pStyle w:val="16"/>
              <w:spacing w:after="0" w:line="360" w:lineRule="auto"/>
              <w:ind w:left="0" w:leftChars="0" w:firstLine="480" w:firstLineChars="200"/>
              <w:rPr>
                <w:color w:val="auto"/>
                <w:kern w:val="0"/>
                <w:sz w:val="24"/>
              </w:rPr>
            </w:pPr>
            <w:r>
              <w:rPr>
                <w:rFonts w:hint="eastAsia" w:ascii="宋体" w:hAnsi="宋体"/>
                <w:color w:val="auto"/>
                <w:sz w:val="24"/>
              </w:rPr>
              <w:t>验收期间未监测颗粒物。根据验收监测结果，</w:t>
            </w:r>
            <w:r>
              <w:rPr>
                <w:rFonts w:hint="eastAsia"/>
                <w:color w:val="auto"/>
                <w:sz w:val="24"/>
              </w:rPr>
              <w:t>2#</w:t>
            </w:r>
            <w:r>
              <w:rPr>
                <w:rFonts w:hint="eastAsia" w:ascii="宋体" w:hAnsi="宋体"/>
                <w:color w:val="auto"/>
                <w:sz w:val="24"/>
              </w:rPr>
              <w:t>废气排放口二氧化硫排放浓度满足《工业炉窑大气污染物排放标准》（</w:t>
            </w:r>
            <w:r>
              <w:rPr>
                <w:rFonts w:hint="eastAsia"/>
                <w:color w:val="auto"/>
                <w:sz w:val="24"/>
              </w:rPr>
              <w:t>GB9078-1996</w:t>
            </w:r>
            <w:r>
              <w:rPr>
                <w:rFonts w:hint="eastAsia" w:ascii="宋体" w:hAnsi="宋体"/>
                <w:color w:val="auto"/>
                <w:sz w:val="24"/>
              </w:rPr>
              <w:t>）中表</w:t>
            </w:r>
            <w:r>
              <w:rPr>
                <w:rFonts w:hint="eastAsia"/>
                <w:color w:val="auto"/>
                <w:sz w:val="24"/>
              </w:rPr>
              <w:t>4</w:t>
            </w:r>
            <w:r>
              <w:rPr>
                <w:rFonts w:hint="eastAsia" w:ascii="宋体" w:hAnsi="宋体"/>
                <w:color w:val="auto"/>
                <w:sz w:val="24"/>
              </w:rPr>
              <w:t>二级标准要求及《关于印发</w:t>
            </w:r>
            <w:r>
              <w:rPr>
                <w:color w:val="auto"/>
                <w:sz w:val="24"/>
              </w:rPr>
              <w:t>&lt;</w:t>
            </w:r>
            <w:r>
              <w:rPr>
                <w:rFonts w:hint="eastAsia" w:ascii="宋体" w:hAnsi="宋体"/>
                <w:color w:val="auto"/>
                <w:sz w:val="24"/>
              </w:rPr>
              <w:t>淮南市工业窑炉污染综合整治专项行动方案</w:t>
            </w:r>
            <w:r>
              <w:rPr>
                <w:color w:val="auto"/>
                <w:sz w:val="24"/>
              </w:rPr>
              <w:t>&gt;</w:t>
            </w:r>
            <w:r>
              <w:rPr>
                <w:rFonts w:hint="eastAsia" w:ascii="宋体" w:hAnsi="宋体"/>
                <w:color w:val="auto"/>
                <w:sz w:val="24"/>
              </w:rPr>
              <w:t>的通知》（淮环通〔</w:t>
            </w:r>
            <w:r>
              <w:rPr>
                <w:rFonts w:hint="eastAsia"/>
                <w:color w:val="auto"/>
                <w:sz w:val="24"/>
              </w:rPr>
              <w:t>2019</w:t>
            </w:r>
            <w:r>
              <w:rPr>
                <w:rFonts w:hint="eastAsia" w:ascii="宋体" w:hAnsi="宋体"/>
                <w:color w:val="auto"/>
                <w:sz w:val="24"/>
              </w:rPr>
              <w:t>〕</w:t>
            </w:r>
            <w:r>
              <w:rPr>
                <w:rFonts w:hint="eastAsia"/>
                <w:color w:val="auto"/>
                <w:sz w:val="24"/>
              </w:rPr>
              <w:t>143</w:t>
            </w:r>
            <w:r>
              <w:rPr>
                <w:rFonts w:hint="eastAsia" w:ascii="宋体" w:hAnsi="宋体"/>
                <w:color w:val="auto"/>
                <w:sz w:val="24"/>
              </w:rPr>
              <w:t>号文）相关限值要求（二氧化硫：</w:t>
            </w:r>
            <w:r>
              <w:rPr>
                <w:rFonts w:hint="eastAsia"/>
                <w:color w:val="auto"/>
                <w:sz w:val="24"/>
              </w:rPr>
              <w:t>200mg/m</w:t>
            </w:r>
            <w:r>
              <w:rPr>
                <w:color w:val="auto"/>
                <w:sz w:val="24"/>
                <w:vertAlign w:val="superscript"/>
              </w:rPr>
              <w:t>3</w:t>
            </w:r>
            <w:r>
              <w:rPr>
                <w:rFonts w:hint="eastAsia" w:ascii="宋体" w:hAnsi="宋体"/>
                <w:color w:val="auto"/>
                <w:sz w:val="24"/>
              </w:rPr>
              <w:t>），也可满足安徽省《玻璃工业大气污染物排放标准》（</w:t>
            </w:r>
            <w:r>
              <w:rPr>
                <w:rFonts w:hint="eastAsia"/>
                <w:color w:val="auto"/>
                <w:sz w:val="24"/>
              </w:rPr>
              <w:t>DB34/4295-2022</w:t>
            </w:r>
            <w:r>
              <w:rPr>
                <w:rFonts w:hint="eastAsia" w:ascii="宋体" w:hAnsi="宋体"/>
                <w:color w:val="auto"/>
                <w:sz w:val="24"/>
              </w:rPr>
              <w:t>）相关限值要求（二氧化硫：</w:t>
            </w:r>
            <w:r>
              <w:rPr>
                <w:rFonts w:hint="eastAsia"/>
                <w:color w:val="auto"/>
                <w:sz w:val="24"/>
              </w:rPr>
              <w:t>100mg/m</w:t>
            </w:r>
            <w:r>
              <w:rPr>
                <w:rFonts w:hint="eastAsia"/>
                <w:color w:val="auto"/>
                <w:sz w:val="24"/>
                <w:vertAlign w:val="superscript"/>
              </w:rPr>
              <w:t>3</w:t>
            </w:r>
            <w:r>
              <w:rPr>
                <w:rFonts w:hint="eastAsia" w:ascii="宋体" w:hAnsi="宋体"/>
                <w:color w:val="auto"/>
                <w:sz w:val="24"/>
              </w:rPr>
              <w:t>）；氮氧化物排放浓度满足《关于印发</w:t>
            </w:r>
            <w:r>
              <w:rPr>
                <w:color w:val="auto"/>
                <w:sz w:val="24"/>
              </w:rPr>
              <w:t>&lt;</w:t>
            </w:r>
            <w:r>
              <w:rPr>
                <w:rFonts w:hint="eastAsia" w:ascii="宋体" w:hAnsi="宋体"/>
                <w:color w:val="auto"/>
                <w:sz w:val="24"/>
              </w:rPr>
              <w:t>淮南市工业窑炉污染综合整治专项行动方案</w:t>
            </w:r>
            <w:r>
              <w:rPr>
                <w:color w:val="auto"/>
                <w:sz w:val="24"/>
              </w:rPr>
              <w:t>&gt;</w:t>
            </w:r>
            <w:r>
              <w:rPr>
                <w:rFonts w:hint="eastAsia" w:ascii="宋体" w:hAnsi="宋体"/>
                <w:color w:val="auto"/>
                <w:sz w:val="24"/>
              </w:rPr>
              <w:t>的通知》（淮环通〔</w:t>
            </w:r>
            <w:r>
              <w:rPr>
                <w:rFonts w:hint="eastAsia"/>
                <w:color w:val="auto"/>
                <w:sz w:val="24"/>
              </w:rPr>
              <w:t>2019</w:t>
            </w:r>
            <w:r>
              <w:rPr>
                <w:rFonts w:hint="eastAsia" w:ascii="宋体" w:hAnsi="宋体"/>
                <w:color w:val="auto"/>
                <w:sz w:val="24"/>
              </w:rPr>
              <w:t>〕</w:t>
            </w:r>
            <w:r>
              <w:rPr>
                <w:rFonts w:hint="eastAsia"/>
                <w:color w:val="auto"/>
                <w:sz w:val="24"/>
              </w:rPr>
              <w:t>143</w:t>
            </w:r>
            <w:r>
              <w:rPr>
                <w:rFonts w:hint="eastAsia" w:ascii="宋体" w:hAnsi="宋体"/>
                <w:color w:val="auto"/>
                <w:sz w:val="24"/>
              </w:rPr>
              <w:t>号文）相关限值要求（氮氧化物：</w:t>
            </w:r>
            <w:r>
              <w:rPr>
                <w:rFonts w:hint="eastAsia"/>
                <w:color w:val="auto"/>
                <w:sz w:val="24"/>
              </w:rPr>
              <w:t>400mg/m</w:t>
            </w:r>
            <w:r>
              <w:rPr>
                <w:color w:val="auto"/>
                <w:sz w:val="24"/>
                <w:vertAlign w:val="superscript"/>
              </w:rPr>
              <w:t>3</w:t>
            </w:r>
            <w:r>
              <w:rPr>
                <w:rFonts w:hint="eastAsia" w:ascii="宋体" w:hAnsi="宋体"/>
                <w:color w:val="auto"/>
                <w:sz w:val="24"/>
              </w:rPr>
              <w:t>），也可满足安徽省《玻璃工业大气污染物排放标准》（</w:t>
            </w:r>
            <w:r>
              <w:rPr>
                <w:rFonts w:hint="eastAsia"/>
                <w:color w:val="auto"/>
                <w:sz w:val="24"/>
              </w:rPr>
              <w:t>DB34/4295-2022</w:t>
            </w:r>
            <w:r>
              <w:rPr>
                <w:rFonts w:hint="eastAsia" w:ascii="宋体" w:hAnsi="宋体"/>
                <w:color w:val="auto"/>
                <w:sz w:val="24"/>
              </w:rPr>
              <w:t>）相关限值要求（氮氧化物：</w:t>
            </w:r>
            <w:r>
              <w:rPr>
                <w:rFonts w:hint="eastAsia"/>
                <w:color w:val="auto"/>
                <w:sz w:val="24"/>
              </w:rPr>
              <w:t>200mg/m</w:t>
            </w:r>
            <w:r>
              <w:rPr>
                <w:rFonts w:hint="eastAsia"/>
                <w:color w:val="auto"/>
                <w:sz w:val="24"/>
                <w:vertAlign w:val="superscript"/>
              </w:rPr>
              <w:t>3</w:t>
            </w:r>
            <w:r>
              <w:rPr>
                <w:rFonts w:hint="eastAsia" w:ascii="宋体" w:hAnsi="宋体"/>
                <w:color w:val="auto"/>
                <w:sz w:val="24"/>
              </w:rPr>
              <w:t>）</w:t>
            </w:r>
            <w:r>
              <w:rPr>
                <w:rFonts w:hint="eastAsia"/>
                <w:color w:val="auto"/>
                <w:sz w:val="24"/>
                <w:szCs w:val="32"/>
              </w:rPr>
              <w:t>。</w:t>
            </w:r>
          </w:p>
          <w:p w14:paraId="30205B21">
            <w:pPr>
              <w:pStyle w:val="16"/>
              <w:spacing w:after="0" w:line="360" w:lineRule="auto"/>
              <w:ind w:left="0" w:leftChars="0" w:firstLine="480" w:firstLineChars="200"/>
              <w:rPr>
                <w:color w:val="auto"/>
                <w:kern w:val="0"/>
                <w:sz w:val="24"/>
              </w:rPr>
            </w:pPr>
            <w:r>
              <w:rPr>
                <w:rFonts w:hint="eastAsia"/>
                <w:color w:val="auto"/>
                <w:kern w:val="0"/>
                <w:sz w:val="24"/>
              </w:rPr>
              <w:t>②2021年自行监测</w:t>
            </w:r>
          </w:p>
          <w:p w14:paraId="34D8511F">
            <w:pPr>
              <w:pStyle w:val="16"/>
              <w:spacing w:after="0" w:line="360" w:lineRule="auto"/>
              <w:ind w:left="0" w:leftChars="0" w:firstLine="480" w:firstLineChars="200"/>
              <w:rPr>
                <w:color w:val="auto"/>
                <w:sz w:val="24"/>
                <w:szCs w:val="32"/>
              </w:rPr>
            </w:pPr>
            <w:r>
              <w:rPr>
                <w:rFonts w:hint="eastAsia"/>
                <w:color w:val="auto"/>
                <w:sz w:val="24"/>
                <w:szCs w:val="32"/>
              </w:rPr>
              <w:t>根据安徽世环检测技术有限公司于2021年3月5日对2#废气排放口（DA007）监测（报告编号：SHJC20210305001-2），该有组织排放口自行监测结果详见下表。</w:t>
            </w:r>
          </w:p>
          <w:p w14:paraId="51668D39">
            <w:pPr>
              <w:pStyle w:val="16"/>
              <w:spacing w:after="0" w:line="360" w:lineRule="auto"/>
              <w:ind w:left="0" w:leftChars="0" w:firstLine="480" w:firstLineChars="200"/>
              <w:rPr>
                <w:color w:val="auto"/>
                <w:sz w:val="24"/>
                <w:szCs w:val="32"/>
              </w:rPr>
            </w:pPr>
          </w:p>
          <w:p w14:paraId="0A65B854">
            <w:pPr>
              <w:pStyle w:val="16"/>
              <w:spacing w:after="0" w:line="360" w:lineRule="auto"/>
              <w:ind w:left="0" w:leftChars="0" w:firstLine="480" w:firstLineChars="200"/>
              <w:rPr>
                <w:color w:val="auto"/>
                <w:sz w:val="24"/>
                <w:szCs w:val="32"/>
              </w:rPr>
            </w:pPr>
          </w:p>
          <w:p w14:paraId="61A25B77">
            <w:pPr>
              <w:pStyle w:val="16"/>
              <w:spacing w:after="0" w:line="360" w:lineRule="auto"/>
              <w:ind w:left="0" w:leftChars="0" w:firstLine="480" w:firstLineChars="200"/>
              <w:rPr>
                <w:color w:val="auto"/>
                <w:sz w:val="24"/>
                <w:szCs w:val="32"/>
              </w:rPr>
            </w:pPr>
          </w:p>
          <w:p w14:paraId="0C89843A">
            <w:pPr>
              <w:pStyle w:val="16"/>
              <w:spacing w:after="0" w:line="360" w:lineRule="auto"/>
              <w:ind w:left="0" w:leftChars="0" w:firstLine="480" w:firstLineChars="200"/>
              <w:rPr>
                <w:color w:val="auto"/>
                <w:sz w:val="24"/>
                <w:szCs w:val="32"/>
              </w:rPr>
            </w:pPr>
          </w:p>
          <w:p w14:paraId="1B5CC247">
            <w:pPr>
              <w:pStyle w:val="16"/>
              <w:spacing w:after="0" w:line="360" w:lineRule="auto"/>
              <w:ind w:left="0" w:leftChars="0" w:firstLine="480" w:firstLineChars="200"/>
              <w:rPr>
                <w:color w:val="auto"/>
                <w:sz w:val="24"/>
                <w:szCs w:val="32"/>
              </w:rPr>
            </w:pPr>
          </w:p>
          <w:p w14:paraId="542B1E41">
            <w:pPr>
              <w:pStyle w:val="16"/>
              <w:spacing w:after="0" w:line="360" w:lineRule="auto"/>
              <w:ind w:left="0" w:leftChars="0" w:firstLine="480" w:firstLineChars="200"/>
              <w:rPr>
                <w:color w:val="auto"/>
                <w:sz w:val="24"/>
                <w:szCs w:val="32"/>
              </w:rPr>
            </w:pPr>
          </w:p>
          <w:p w14:paraId="2B46C6C6">
            <w:pPr>
              <w:pStyle w:val="16"/>
              <w:spacing w:after="0" w:line="360" w:lineRule="auto"/>
              <w:ind w:left="0" w:leftChars="0" w:firstLine="480" w:firstLineChars="200"/>
              <w:jc w:val="center"/>
              <w:rPr>
                <w:rFonts w:eastAsia="黑体"/>
                <w:color w:val="auto"/>
                <w:kern w:val="0"/>
                <w:sz w:val="24"/>
              </w:rPr>
            </w:pPr>
            <w:r>
              <w:rPr>
                <w:rFonts w:hAnsi="黑体" w:eastAsia="黑体"/>
                <w:color w:val="auto"/>
                <w:sz w:val="24"/>
              </w:rPr>
              <w:t>表</w:t>
            </w:r>
            <w:r>
              <w:rPr>
                <w:rFonts w:hint="eastAsia" w:eastAsia="黑体"/>
                <w:color w:val="auto"/>
                <w:sz w:val="24"/>
              </w:rPr>
              <w:t>24</w:t>
            </w:r>
            <w:r>
              <w:rPr>
                <w:rFonts w:eastAsia="黑体"/>
                <w:color w:val="auto"/>
                <w:sz w:val="24"/>
              </w:rPr>
              <w:t xml:space="preserve">  </w:t>
            </w:r>
            <w:r>
              <w:rPr>
                <w:rFonts w:eastAsia="黑体"/>
                <w:color w:val="auto"/>
                <w:kern w:val="0"/>
                <w:sz w:val="24"/>
              </w:rPr>
              <w:t>2#</w:t>
            </w:r>
            <w:r>
              <w:rPr>
                <w:rFonts w:hAnsi="黑体" w:eastAsia="黑体"/>
                <w:color w:val="auto"/>
                <w:kern w:val="0"/>
                <w:sz w:val="24"/>
              </w:rPr>
              <w:t>废气排放口有组织废气检测结果统计</w:t>
            </w:r>
          </w:p>
          <w:tbl>
            <w:tblPr>
              <w:tblStyle w:val="3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71"/>
              <w:gridCol w:w="962"/>
              <w:gridCol w:w="713"/>
              <w:gridCol w:w="991"/>
              <w:gridCol w:w="850"/>
              <w:gridCol w:w="991"/>
              <w:gridCol w:w="992"/>
              <w:gridCol w:w="1139"/>
              <w:gridCol w:w="658"/>
            </w:tblGrid>
            <w:tr w14:paraId="03CADB2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478" w:type="pct"/>
                  <w:vMerge w:val="restart"/>
                  <w:shd w:val="clear" w:color="auto" w:fill="auto"/>
                  <w:vAlign w:val="center"/>
                </w:tcPr>
                <w:p w14:paraId="1360F04C">
                  <w:pPr>
                    <w:adjustRightInd w:val="0"/>
                    <w:spacing w:line="276" w:lineRule="auto"/>
                    <w:jc w:val="center"/>
                    <w:rPr>
                      <w:b/>
                      <w:color w:val="auto"/>
                      <w:kern w:val="0"/>
                      <w:szCs w:val="21"/>
                    </w:rPr>
                  </w:pPr>
                  <w:r>
                    <w:rPr>
                      <w:b/>
                      <w:color w:val="auto"/>
                      <w:kern w:val="0"/>
                      <w:szCs w:val="21"/>
                    </w:rPr>
                    <w:t>监测点位</w:t>
                  </w:r>
                </w:p>
              </w:tc>
              <w:tc>
                <w:tcPr>
                  <w:tcW w:w="1038" w:type="pct"/>
                  <w:gridSpan w:val="2"/>
                  <w:vMerge w:val="restart"/>
                  <w:vAlign w:val="center"/>
                </w:tcPr>
                <w:p w14:paraId="63044A34">
                  <w:pPr>
                    <w:adjustRightInd w:val="0"/>
                    <w:spacing w:line="276" w:lineRule="auto"/>
                    <w:jc w:val="center"/>
                    <w:rPr>
                      <w:b/>
                      <w:color w:val="auto"/>
                      <w:kern w:val="0"/>
                      <w:szCs w:val="21"/>
                    </w:rPr>
                  </w:pPr>
                  <w:r>
                    <w:rPr>
                      <w:b/>
                      <w:color w:val="auto"/>
                      <w:kern w:val="0"/>
                      <w:szCs w:val="21"/>
                    </w:rPr>
                    <w:t>监测内容</w:t>
                  </w:r>
                </w:p>
              </w:tc>
              <w:tc>
                <w:tcPr>
                  <w:tcW w:w="3076" w:type="pct"/>
                  <w:gridSpan w:val="5"/>
                  <w:vAlign w:val="center"/>
                </w:tcPr>
                <w:p w14:paraId="0097C83D">
                  <w:pPr>
                    <w:adjustRightInd w:val="0"/>
                    <w:spacing w:line="276" w:lineRule="auto"/>
                    <w:jc w:val="center"/>
                    <w:rPr>
                      <w:b/>
                      <w:color w:val="auto"/>
                      <w:kern w:val="0"/>
                      <w:szCs w:val="21"/>
                    </w:rPr>
                  </w:pPr>
                  <w:r>
                    <w:rPr>
                      <w:b/>
                      <w:color w:val="auto"/>
                      <w:kern w:val="0"/>
                      <w:szCs w:val="21"/>
                    </w:rPr>
                    <w:t>监测数据</w:t>
                  </w:r>
                </w:p>
              </w:tc>
              <w:tc>
                <w:tcPr>
                  <w:tcW w:w="408" w:type="pct"/>
                  <w:vMerge w:val="restart"/>
                  <w:shd w:val="clear" w:color="auto" w:fill="auto"/>
                  <w:vAlign w:val="center"/>
                </w:tcPr>
                <w:p w14:paraId="672650D4">
                  <w:pPr>
                    <w:adjustRightInd w:val="0"/>
                    <w:spacing w:line="276" w:lineRule="auto"/>
                    <w:jc w:val="center"/>
                    <w:rPr>
                      <w:b/>
                      <w:color w:val="auto"/>
                      <w:kern w:val="0"/>
                      <w:szCs w:val="21"/>
                    </w:rPr>
                  </w:pPr>
                  <w:r>
                    <w:rPr>
                      <w:b/>
                      <w:color w:val="auto"/>
                      <w:kern w:val="0"/>
                      <w:szCs w:val="21"/>
                    </w:rPr>
                    <w:t>排气筒高度（m）</w:t>
                  </w:r>
                </w:p>
              </w:tc>
            </w:tr>
            <w:tr w14:paraId="2EC6390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478" w:type="pct"/>
                  <w:vMerge w:val="continue"/>
                  <w:shd w:val="clear" w:color="auto" w:fill="auto"/>
                  <w:vAlign w:val="center"/>
                </w:tcPr>
                <w:p w14:paraId="61261994">
                  <w:pPr>
                    <w:adjustRightInd w:val="0"/>
                    <w:spacing w:line="276" w:lineRule="auto"/>
                    <w:jc w:val="center"/>
                    <w:rPr>
                      <w:color w:val="auto"/>
                      <w:kern w:val="0"/>
                      <w:szCs w:val="21"/>
                    </w:rPr>
                  </w:pPr>
                </w:p>
              </w:tc>
              <w:tc>
                <w:tcPr>
                  <w:tcW w:w="1038" w:type="pct"/>
                  <w:gridSpan w:val="2"/>
                  <w:vMerge w:val="continue"/>
                  <w:vAlign w:val="center"/>
                </w:tcPr>
                <w:p w14:paraId="678C0C0C">
                  <w:pPr>
                    <w:adjustRightInd w:val="0"/>
                    <w:spacing w:line="276" w:lineRule="auto"/>
                    <w:jc w:val="center"/>
                    <w:rPr>
                      <w:b/>
                      <w:color w:val="auto"/>
                      <w:kern w:val="0"/>
                      <w:szCs w:val="21"/>
                    </w:rPr>
                  </w:pPr>
                </w:p>
              </w:tc>
              <w:tc>
                <w:tcPr>
                  <w:tcW w:w="614" w:type="pct"/>
                  <w:vMerge w:val="restart"/>
                  <w:vAlign w:val="center"/>
                </w:tcPr>
                <w:p w14:paraId="257B712F">
                  <w:pPr>
                    <w:adjustRightInd w:val="0"/>
                    <w:spacing w:line="276" w:lineRule="auto"/>
                    <w:jc w:val="center"/>
                    <w:rPr>
                      <w:b/>
                      <w:color w:val="auto"/>
                      <w:kern w:val="0"/>
                      <w:szCs w:val="21"/>
                    </w:rPr>
                  </w:pPr>
                  <w:r>
                    <w:rPr>
                      <w:b/>
                      <w:color w:val="auto"/>
                      <w:kern w:val="0"/>
                      <w:szCs w:val="21"/>
                    </w:rPr>
                    <w:t>标干流量（m</w:t>
                  </w:r>
                  <w:r>
                    <w:rPr>
                      <w:rFonts w:hint="eastAsia"/>
                      <w:b/>
                      <w:color w:val="auto"/>
                      <w:kern w:val="0"/>
                      <w:szCs w:val="21"/>
                      <w:vertAlign w:val="superscript"/>
                    </w:rPr>
                    <w:t>3</w:t>
                  </w:r>
                  <w:r>
                    <w:rPr>
                      <w:rFonts w:hint="eastAsia"/>
                      <w:b/>
                      <w:color w:val="auto"/>
                      <w:kern w:val="0"/>
                      <w:szCs w:val="21"/>
                    </w:rPr>
                    <w:t>/h</w:t>
                  </w:r>
                  <w:r>
                    <w:rPr>
                      <w:b/>
                      <w:color w:val="auto"/>
                      <w:kern w:val="0"/>
                      <w:szCs w:val="21"/>
                    </w:rPr>
                    <w:t>）</w:t>
                  </w:r>
                </w:p>
              </w:tc>
              <w:tc>
                <w:tcPr>
                  <w:tcW w:w="527" w:type="pct"/>
                  <w:vMerge w:val="restart"/>
                  <w:vAlign w:val="center"/>
                </w:tcPr>
                <w:p w14:paraId="038E6193">
                  <w:pPr>
                    <w:adjustRightInd w:val="0"/>
                    <w:spacing w:line="276" w:lineRule="auto"/>
                    <w:jc w:val="center"/>
                    <w:rPr>
                      <w:b/>
                      <w:color w:val="auto"/>
                      <w:kern w:val="0"/>
                      <w:szCs w:val="21"/>
                    </w:rPr>
                  </w:pPr>
                  <w:r>
                    <w:rPr>
                      <w:b/>
                      <w:color w:val="auto"/>
                      <w:kern w:val="0"/>
                      <w:szCs w:val="21"/>
                    </w:rPr>
                    <w:t>含氧量（</w:t>
                  </w:r>
                  <w:r>
                    <w:rPr>
                      <w:rFonts w:hint="eastAsia"/>
                      <w:b/>
                      <w:color w:val="auto"/>
                      <w:kern w:val="0"/>
                      <w:szCs w:val="21"/>
                    </w:rPr>
                    <w:t>%</w:t>
                  </w:r>
                  <w:r>
                    <w:rPr>
                      <w:b/>
                      <w:color w:val="auto"/>
                      <w:kern w:val="0"/>
                      <w:szCs w:val="21"/>
                    </w:rPr>
                    <w:t>）</w:t>
                  </w:r>
                </w:p>
              </w:tc>
              <w:tc>
                <w:tcPr>
                  <w:tcW w:w="614" w:type="pct"/>
                  <w:vMerge w:val="restart"/>
                  <w:shd w:val="clear" w:color="auto" w:fill="auto"/>
                  <w:vAlign w:val="center"/>
                </w:tcPr>
                <w:p w14:paraId="58248088">
                  <w:pPr>
                    <w:adjustRightInd w:val="0"/>
                    <w:spacing w:line="276" w:lineRule="auto"/>
                    <w:jc w:val="center"/>
                    <w:rPr>
                      <w:b/>
                      <w:color w:val="auto"/>
                      <w:kern w:val="0"/>
                      <w:szCs w:val="21"/>
                    </w:rPr>
                  </w:pPr>
                  <w:r>
                    <w:rPr>
                      <w:b/>
                      <w:color w:val="auto"/>
                      <w:kern w:val="0"/>
                      <w:szCs w:val="21"/>
                    </w:rPr>
                    <w:t>实测浓度（mg/m</w:t>
                  </w:r>
                  <w:r>
                    <w:rPr>
                      <w:b/>
                      <w:color w:val="auto"/>
                      <w:kern w:val="0"/>
                      <w:szCs w:val="21"/>
                      <w:vertAlign w:val="superscript"/>
                    </w:rPr>
                    <w:t>3</w:t>
                  </w:r>
                  <w:r>
                    <w:rPr>
                      <w:b/>
                      <w:color w:val="auto"/>
                      <w:kern w:val="0"/>
                      <w:szCs w:val="21"/>
                    </w:rPr>
                    <w:t>）</w:t>
                  </w:r>
                </w:p>
              </w:tc>
              <w:tc>
                <w:tcPr>
                  <w:tcW w:w="615" w:type="pct"/>
                  <w:vMerge w:val="restart"/>
                  <w:shd w:val="clear" w:color="auto" w:fill="auto"/>
                  <w:vAlign w:val="center"/>
                </w:tcPr>
                <w:p w14:paraId="23E8BA3C">
                  <w:pPr>
                    <w:adjustRightInd w:val="0"/>
                    <w:spacing w:line="276" w:lineRule="auto"/>
                    <w:jc w:val="center"/>
                    <w:rPr>
                      <w:b/>
                      <w:color w:val="auto"/>
                      <w:kern w:val="0"/>
                      <w:szCs w:val="21"/>
                    </w:rPr>
                  </w:pPr>
                  <w:r>
                    <w:rPr>
                      <w:b/>
                      <w:color w:val="auto"/>
                      <w:kern w:val="0"/>
                      <w:szCs w:val="21"/>
                    </w:rPr>
                    <w:t>排放浓度（mg/m</w:t>
                  </w:r>
                  <w:r>
                    <w:rPr>
                      <w:b/>
                      <w:color w:val="auto"/>
                      <w:kern w:val="0"/>
                      <w:szCs w:val="21"/>
                      <w:vertAlign w:val="superscript"/>
                    </w:rPr>
                    <w:t>3</w:t>
                  </w:r>
                  <w:r>
                    <w:rPr>
                      <w:b/>
                      <w:color w:val="auto"/>
                      <w:kern w:val="0"/>
                      <w:szCs w:val="21"/>
                    </w:rPr>
                    <w:t>）</w:t>
                  </w:r>
                </w:p>
              </w:tc>
              <w:tc>
                <w:tcPr>
                  <w:tcW w:w="706" w:type="pct"/>
                  <w:vMerge w:val="restart"/>
                  <w:vAlign w:val="center"/>
                </w:tcPr>
                <w:p w14:paraId="7B5DD2F6">
                  <w:pPr>
                    <w:adjustRightInd w:val="0"/>
                    <w:spacing w:line="276" w:lineRule="auto"/>
                    <w:jc w:val="center"/>
                    <w:rPr>
                      <w:b/>
                      <w:color w:val="auto"/>
                      <w:kern w:val="0"/>
                      <w:szCs w:val="21"/>
                    </w:rPr>
                  </w:pPr>
                  <w:r>
                    <w:rPr>
                      <w:b/>
                      <w:color w:val="auto"/>
                      <w:kern w:val="0"/>
                      <w:szCs w:val="21"/>
                    </w:rPr>
                    <w:t>排放速率（kg</w:t>
                  </w:r>
                  <w:r>
                    <w:rPr>
                      <w:rFonts w:hint="eastAsia"/>
                      <w:b/>
                      <w:color w:val="auto"/>
                      <w:kern w:val="0"/>
                      <w:szCs w:val="21"/>
                    </w:rPr>
                    <w:t>/h</w:t>
                  </w:r>
                  <w:r>
                    <w:rPr>
                      <w:b/>
                      <w:color w:val="auto"/>
                      <w:kern w:val="0"/>
                      <w:szCs w:val="21"/>
                    </w:rPr>
                    <w:t>）</w:t>
                  </w:r>
                </w:p>
              </w:tc>
              <w:tc>
                <w:tcPr>
                  <w:tcW w:w="408" w:type="pct"/>
                  <w:vMerge w:val="continue"/>
                  <w:shd w:val="clear" w:color="auto" w:fill="auto"/>
                  <w:vAlign w:val="center"/>
                </w:tcPr>
                <w:p w14:paraId="6AFCC408">
                  <w:pPr>
                    <w:adjustRightInd w:val="0"/>
                    <w:spacing w:line="276" w:lineRule="auto"/>
                    <w:jc w:val="center"/>
                    <w:rPr>
                      <w:b/>
                      <w:color w:val="auto"/>
                      <w:kern w:val="0"/>
                      <w:szCs w:val="21"/>
                    </w:rPr>
                  </w:pPr>
                </w:p>
              </w:tc>
            </w:tr>
            <w:tr w14:paraId="5A4D96D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8" w:type="pct"/>
                  <w:vMerge w:val="continue"/>
                  <w:vAlign w:val="center"/>
                </w:tcPr>
                <w:p w14:paraId="164BA3FC">
                  <w:pPr>
                    <w:adjustRightInd w:val="0"/>
                    <w:spacing w:line="276" w:lineRule="auto"/>
                    <w:jc w:val="center"/>
                    <w:rPr>
                      <w:color w:val="auto"/>
                      <w:kern w:val="0"/>
                      <w:szCs w:val="21"/>
                    </w:rPr>
                  </w:pPr>
                </w:p>
              </w:tc>
              <w:tc>
                <w:tcPr>
                  <w:tcW w:w="596" w:type="pct"/>
                  <w:vAlign w:val="center"/>
                </w:tcPr>
                <w:p w14:paraId="1D32CD33">
                  <w:pPr>
                    <w:adjustRightInd w:val="0"/>
                    <w:spacing w:line="276" w:lineRule="auto"/>
                    <w:jc w:val="center"/>
                    <w:rPr>
                      <w:b/>
                      <w:color w:val="auto"/>
                      <w:kern w:val="0"/>
                      <w:szCs w:val="21"/>
                    </w:rPr>
                  </w:pPr>
                  <w:r>
                    <w:rPr>
                      <w:b/>
                      <w:color w:val="auto"/>
                      <w:kern w:val="0"/>
                      <w:szCs w:val="21"/>
                    </w:rPr>
                    <w:t>采样日期</w:t>
                  </w:r>
                </w:p>
              </w:tc>
              <w:tc>
                <w:tcPr>
                  <w:tcW w:w="441" w:type="pct"/>
                  <w:shd w:val="clear" w:color="auto" w:fill="auto"/>
                  <w:vAlign w:val="center"/>
                </w:tcPr>
                <w:p w14:paraId="38D152B7">
                  <w:pPr>
                    <w:adjustRightInd w:val="0"/>
                    <w:spacing w:line="276" w:lineRule="auto"/>
                    <w:jc w:val="center"/>
                    <w:rPr>
                      <w:b/>
                      <w:color w:val="auto"/>
                      <w:kern w:val="0"/>
                      <w:szCs w:val="21"/>
                    </w:rPr>
                  </w:pPr>
                  <w:r>
                    <w:rPr>
                      <w:b/>
                      <w:color w:val="auto"/>
                      <w:szCs w:val="21"/>
                    </w:rPr>
                    <w:t>检测项目</w:t>
                  </w:r>
                </w:p>
              </w:tc>
              <w:tc>
                <w:tcPr>
                  <w:tcW w:w="614" w:type="pct"/>
                  <w:vMerge w:val="continue"/>
                  <w:vAlign w:val="center"/>
                </w:tcPr>
                <w:p w14:paraId="71798D33">
                  <w:pPr>
                    <w:adjustRightInd w:val="0"/>
                    <w:spacing w:line="276" w:lineRule="auto"/>
                    <w:jc w:val="center"/>
                    <w:rPr>
                      <w:b/>
                      <w:color w:val="auto"/>
                      <w:kern w:val="0"/>
                      <w:szCs w:val="21"/>
                    </w:rPr>
                  </w:pPr>
                </w:p>
              </w:tc>
              <w:tc>
                <w:tcPr>
                  <w:tcW w:w="527" w:type="pct"/>
                  <w:vMerge w:val="continue"/>
                  <w:vAlign w:val="center"/>
                </w:tcPr>
                <w:p w14:paraId="1E55E5A5">
                  <w:pPr>
                    <w:adjustRightInd w:val="0"/>
                    <w:spacing w:line="276" w:lineRule="auto"/>
                    <w:jc w:val="center"/>
                    <w:rPr>
                      <w:b/>
                      <w:color w:val="auto"/>
                      <w:kern w:val="0"/>
                      <w:szCs w:val="21"/>
                    </w:rPr>
                  </w:pPr>
                </w:p>
              </w:tc>
              <w:tc>
                <w:tcPr>
                  <w:tcW w:w="614" w:type="pct"/>
                  <w:vMerge w:val="continue"/>
                  <w:shd w:val="clear" w:color="auto" w:fill="auto"/>
                  <w:vAlign w:val="center"/>
                </w:tcPr>
                <w:p w14:paraId="564B13AE">
                  <w:pPr>
                    <w:adjustRightInd w:val="0"/>
                    <w:spacing w:line="276" w:lineRule="auto"/>
                    <w:jc w:val="center"/>
                    <w:rPr>
                      <w:b/>
                      <w:color w:val="auto"/>
                      <w:kern w:val="0"/>
                      <w:szCs w:val="21"/>
                    </w:rPr>
                  </w:pPr>
                </w:p>
              </w:tc>
              <w:tc>
                <w:tcPr>
                  <w:tcW w:w="615" w:type="pct"/>
                  <w:vMerge w:val="continue"/>
                  <w:shd w:val="clear" w:color="auto" w:fill="auto"/>
                  <w:vAlign w:val="center"/>
                </w:tcPr>
                <w:p w14:paraId="01F84965">
                  <w:pPr>
                    <w:adjustRightInd w:val="0"/>
                    <w:spacing w:line="276" w:lineRule="auto"/>
                    <w:jc w:val="center"/>
                    <w:rPr>
                      <w:b/>
                      <w:color w:val="auto"/>
                      <w:kern w:val="0"/>
                      <w:szCs w:val="21"/>
                      <w:vertAlign w:val="superscript"/>
                    </w:rPr>
                  </w:pPr>
                </w:p>
              </w:tc>
              <w:tc>
                <w:tcPr>
                  <w:tcW w:w="706" w:type="pct"/>
                  <w:vMerge w:val="continue"/>
                  <w:vAlign w:val="center"/>
                </w:tcPr>
                <w:p w14:paraId="6F621520">
                  <w:pPr>
                    <w:adjustRightInd w:val="0"/>
                    <w:spacing w:line="276" w:lineRule="auto"/>
                    <w:jc w:val="center"/>
                    <w:rPr>
                      <w:b/>
                      <w:color w:val="auto"/>
                      <w:kern w:val="0"/>
                      <w:szCs w:val="21"/>
                    </w:rPr>
                  </w:pPr>
                </w:p>
              </w:tc>
              <w:tc>
                <w:tcPr>
                  <w:tcW w:w="408" w:type="pct"/>
                  <w:vMerge w:val="continue"/>
                  <w:shd w:val="clear" w:color="auto" w:fill="auto"/>
                  <w:vAlign w:val="center"/>
                </w:tcPr>
                <w:p w14:paraId="62E33805">
                  <w:pPr>
                    <w:adjustRightInd w:val="0"/>
                    <w:spacing w:line="276" w:lineRule="auto"/>
                    <w:jc w:val="center"/>
                    <w:rPr>
                      <w:b/>
                      <w:color w:val="auto"/>
                      <w:kern w:val="0"/>
                      <w:szCs w:val="21"/>
                    </w:rPr>
                  </w:pPr>
                </w:p>
              </w:tc>
            </w:tr>
            <w:tr w14:paraId="27BC891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78" w:type="pct"/>
                  <w:vMerge w:val="restart"/>
                  <w:vAlign w:val="center"/>
                </w:tcPr>
                <w:p w14:paraId="5CEDA93D">
                  <w:pPr>
                    <w:adjustRightInd w:val="0"/>
                    <w:spacing w:line="276" w:lineRule="auto"/>
                    <w:jc w:val="center"/>
                    <w:rPr>
                      <w:strike/>
                      <w:color w:val="auto"/>
                      <w:kern w:val="0"/>
                      <w:szCs w:val="21"/>
                    </w:rPr>
                  </w:pPr>
                  <w:r>
                    <w:rPr>
                      <w:rFonts w:hint="eastAsia"/>
                      <w:color w:val="auto"/>
                      <w:kern w:val="0"/>
                      <w:szCs w:val="21"/>
                    </w:rPr>
                    <w:t>DA007（二车间）</w:t>
                  </w:r>
                </w:p>
              </w:tc>
              <w:tc>
                <w:tcPr>
                  <w:tcW w:w="596" w:type="pct"/>
                  <w:vMerge w:val="restart"/>
                  <w:vAlign w:val="center"/>
                </w:tcPr>
                <w:p w14:paraId="51D09AD4">
                  <w:pPr>
                    <w:adjustRightInd w:val="0"/>
                    <w:spacing w:line="276" w:lineRule="auto"/>
                    <w:jc w:val="center"/>
                    <w:rPr>
                      <w:color w:val="auto"/>
                      <w:kern w:val="0"/>
                      <w:szCs w:val="21"/>
                    </w:rPr>
                  </w:pPr>
                  <w:r>
                    <w:rPr>
                      <w:rFonts w:hint="eastAsia"/>
                      <w:color w:val="auto"/>
                      <w:kern w:val="0"/>
                      <w:szCs w:val="21"/>
                    </w:rPr>
                    <w:t>2021.03.05</w:t>
                  </w:r>
                </w:p>
              </w:tc>
              <w:tc>
                <w:tcPr>
                  <w:tcW w:w="441" w:type="pct"/>
                  <w:shd w:val="clear" w:color="auto" w:fill="auto"/>
                  <w:vAlign w:val="center"/>
                </w:tcPr>
                <w:p w14:paraId="3AB62991">
                  <w:pPr>
                    <w:adjustRightInd w:val="0"/>
                    <w:spacing w:line="276" w:lineRule="auto"/>
                    <w:jc w:val="center"/>
                    <w:rPr>
                      <w:color w:val="auto"/>
                      <w:kern w:val="0"/>
                      <w:szCs w:val="21"/>
                    </w:rPr>
                  </w:pPr>
                  <w:r>
                    <w:rPr>
                      <w:color w:val="auto"/>
                      <w:kern w:val="0"/>
                      <w:szCs w:val="21"/>
                    </w:rPr>
                    <w:t>氟化物</w:t>
                  </w:r>
                </w:p>
              </w:tc>
              <w:tc>
                <w:tcPr>
                  <w:tcW w:w="614" w:type="pct"/>
                  <w:vAlign w:val="center"/>
                </w:tcPr>
                <w:p w14:paraId="06981140">
                  <w:pPr>
                    <w:adjustRightInd w:val="0"/>
                    <w:spacing w:line="276" w:lineRule="auto"/>
                    <w:jc w:val="center"/>
                    <w:rPr>
                      <w:color w:val="auto"/>
                      <w:kern w:val="0"/>
                      <w:szCs w:val="21"/>
                    </w:rPr>
                  </w:pPr>
                  <w:r>
                    <w:rPr>
                      <w:rFonts w:hint="eastAsia"/>
                      <w:color w:val="auto"/>
                      <w:kern w:val="0"/>
                      <w:szCs w:val="21"/>
                    </w:rPr>
                    <w:t>30542</w:t>
                  </w:r>
                </w:p>
              </w:tc>
              <w:tc>
                <w:tcPr>
                  <w:tcW w:w="527" w:type="pct"/>
                  <w:vAlign w:val="center"/>
                </w:tcPr>
                <w:p w14:paraId="7A8036B6">
                  <w:pPr>
                    <w:adjustRightInd w:val="0"/>
                    <w:spacing w:line="276" w:lineRule="auto"/>
                    <w:jc w:val="center"/>
                    <w:rPr>
                      <w:color w:val="auto"/>
                      <w:kern w:val="0"/>
                      <w:szCs w:val="21"/>
                    </w:rPr>
                  </w:pPr>
                  <w:r>
                    <w:rPr>
                      <w:rFonts w:hint="eastAsia"/>
                      <w:color w:val="auto"/>
                      <w:kern w:val="0"/>
                      <w:szCs w:val="21"/>
                    </w:rPr>
                    <w:t>12.7</w:t>
                  </w:r>
                </w:p>
              </w:tc>
              <w:tc>
                <w:tcPr>
                  <w:tcW w:w="614" w:type="pct"/>
                  <w:shd w:val="clear" w:color="auto" w:fill="auto"/>
                  <w:vAlign w:val="center"/>
                </w:tcPr>
                <w:p w14:paraId="5EFD0AA3">
                  <w:pPr>
                    <w:adjustRightInd w:val="0"/>
                    <w:spacing w:line="276" w:lineRule="auto"/>
                    <w:jc w:val="center"/>
                    <w:rPr>
                      <w:color w:val="auto"/>
                      <w:kern w:val="0"/>
                      <w:szCs w:val="21"/>
                    </w:rPr>
                  </w:pPr>
                  <w:r>
                    <w:rPr>
                      <w:rFonts w:hint="eastAsia"/>
                      <w:color w:val="auto"/>
                      <w:kern w:val="0"/>
                      <w:szCs w:val="21"/>
                    </w:rPr>
                    <w:t>2.3</w:t>
                  </w:r>
                </w:p>
              </w:tc>
              <w:tc>
                <w:tcPr>
                  <w:tcW w:w="615" w:type="pct"/>
                  <w:shd w:val="clear" w:color="auto" w:fill="auto"/>
                  <w:vAlign w:val="center"/>
                </w:tcPr>
                <w:p w14:paraId="2A6B6742">
                  <w:pPr>
                    <w:adjustRightInd w:val="0"/>
                    <w:spacing w:line="276" w:lineRule="auto"/>
                    <w:jc w:val="center"/>
                    <w:rPr>
                      <w:color w:val="auto"/>
                      <w:kern w:val="0"/>
                      <w:szCs w:val="21"/>
                    </w:rPr>
                  </w:pPr>
                  <w:r>
                    <w:rPr>
                      <w:rFonts w:hint="eastAsia"/>
                      <w:color w:val="auto"/>
                      <w:kern w:val="0"/>
                      <w:szCs w:val="21"/>
                    </w:rPr>
                    <w:t>4.85</w:t>
                  </w:r>
                </w:p>
              </w:tc>
              <w:tc>
                <w:tcPr>
                  <w:tcW w:w="706" w:type="pct"/>
                  <w:vAlign w:val="center"/>
                </w:tcPr>
                <w:p w14:paraId="242FAB0D">
                  <w:pPr>
                    <w:adjustRightInd w:val="0"/>
                    <w:spacing w:line="276" w:lineRule="auto"/>
                    <w:jc w:val="center"/>
                    <w:rPr>
                      <w:color w:val="auto"/>
                      <w:kern w:val="0"/>
                      <w:szCs w:val="21"/>
                    </w:rPr>
                  </w:pPr>
                  <w:r>
                    <w:rPr>
                      <w:rFonts w:hint="eastAsia"/>
                      <w:color w:val="auto"/>
                      <w:kern w:val="0"/>
                      <w:szCs w:val="21"/>
                    </w:rPr>
                    <w:t>0.070</w:t>
                  </w:r>
                </w:p>
              </w:tc>
              <w:tc>
                <w:tcPr>
                  <w:tcW w:w="408" w:type="pct"/>
                  <w:vMerge w:val="restart"/>
                  <w:shd w:val="clear" w:color="auto" w:fill="auto"/>
                  <w:vAlign w:val="center"/>
                </w:tcPr>
                <w:p w14:paraId="1A28E827">
                  <w:pPr>
                    <w:adjustRightInd w:val="0"/>
                    <w:spacing w:line="276" w:lineRule="auto"/>
                    <w:jc w:val="center"/>
                    <w:rPr>
                      <w:color w:val="auto"/>
                      <w:kern w:val="0"/>
                      <w:szCs w:val="21"/>
                    </w:rPr>
                  </w:pPr>
                  <w:r>
                    <w:rPr>
                      <w:rFonts w:hint="eastAsia"/>
                      <w:color w:val="auto"/>
                      <w:kern w:val="0"/>
                      <w:szCs w:val="21"/>
                    </w:rPr>
                    <w:t>60</w:t>
                  </w:r>
                </w:p>
              </w:tc>
            </w:tr>
            <w:tr w14:paraId="6552518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17" w:hRule="atLeast"/>
                <w:jc w:val="center"/>
              </w:trPr>
              <w:tc>
                <w:tcPr>
                  <w:tcW w:w="478" w:type="pct"/>
                  <w:vMerge w:val="continue"/>
                  <w:vAlign w:val="center"/>
                </w:tcPr>
                <w:p w14:paraId="6D88FA23">
                  <w:pPr>
                    <w:adjustRightInd w:val="0"/>
                    <w:spacing w:line="276" w:lineRule="auto"/>
                    <w:jc w:val="center"/>
                    <w:rPr>
                      <w:color w:val="auto"/>
                      <w:kern w:val="0"/>
                      <w:szCs w:val="21"/>
                    </w:rPr>
                  </w:pPr>
                </w:p>
              </w:tc>
              <w:tc>
                <w:tcPr>
                  <w:tcW w:w="596" w:type="pct"/>
                  <w:vMerge w:val="continue"/>
                  <w:vAlign w:val="center"/>
                </w:tcPr>
                <w:p w14:paraId="0C85A2CB">
                  <w:pPr>
                    <w:adjustRightInd w:val="0"/>
                    <w:spacing w:line="276" w:lineRule="auto"/>
                    <w:jc w:val="center"/>
                    <w:rPr>
                      <w:color w:val="auto"/>
                      <w:kern w:val="0"/>
                      <w:szCs w:val="21"/>
                    </w:rPr>
                  </w:pPr>
                </w:p>
              </w:tc>
              <w:tc>
                <w:tcPr>
                  <w:tcW w:w="441" w:type="pct"/>
                  <w:shd w:val="clear" w:color="auto" w:fill="auto"/>
                  <w:vAlign w:val="center"/>
                </w:tcPr>
                <w:p w14:paraId="0E659F2A">
                  <w:pPr>
                    <w:adjustRightInd w:val="0"/>
                    <w:spacing w:line="276" w:lineRule="auto"/>
                    <w:jc w:val="center"/>
                    <w:rPr>
                      <w:color w:val="auto"/>
                      <w:kern w:val="0"/>
                      <w:szCs w:val="21"/>
                    </w:rPr>
                  </w:pPr>
                  <w:r>
                    <w:rPr>
                      <w:color w:val="auto"/>
                      <w:kern w:val="0"/>
                      <w:szCs w:val="21"/>
                    </w:rPr>
                    <w:t>烟气黑度</w:t>
                  </w:r>
                </w:p>
              </w:tc>
              <w:tc>
                <w:tcPr>
                  <w:tcW w:w="614" w:type="pct"/>
                  <w:vAlign w:val="center"/>
                </w:tcPr>
                <w:p w14:paraId="63DEADCB">
                  <w:pPr>
                    <w:adjustRightInd w:val="0"/>
                    <w:spacing w:line="276" w:lineRule="auto"/>
                    <w:jc w:val="center"/>
                    <w:rPr>
                      <w:color w:val="auto"/>
                      <w:kern w:val="0"/>
                      <w:szCs w:val="21"/>
                    </w:rPr>
                  </w:pPr>
                  <w:r>
                    <w:rPr>
                      <w:rFonts w:hint="eastAsia"/>
                      <w:color w:val="auto"/>
                      <w:kern w:val="0"/>
                      <w:szCs w:val="21"/>
                    </w:rPr>
                    <w:t>/</w:t>
                  </w:r>
                </w:p>
              </w:tc>
              <w:tc>
                <w:tcPr>
                  <w:tcW w:w="527" w:type="pct"/>
                  <w:vAlign w:val="center"/>
                </w:tcPr>
                <w:p w14:paraId="7813786A">
                  <w:pPr>
                    <w:adjustRightInd w:val="0"/>
                    <w:spacing w:line="276" w:lineRule="auto"/>
                    <w:jc w:val="center"/>
                    <w:rPr>
                      <w:color w:val="auto"/>
                      <w:kern w:val="0"/>
                      <w:szCs w:val="21"/>
                    </w:rPr>
                  </w:pPr>
                  <w:r>
                    <w:rPr>
                      <w:rFonts w:hint="eastAsia"/>
                      <w:color w:val="auto"/>
                      <w:kern w:val="0"/>
                      <w:szCs w:val="21"/>
                    </w:rPr>
                    <w:t>/</w:t>
                  </w:r>
                </w:p>
              </w:tc>
              <w:tc>
                <w:tcPr>
                  <w:tcW w:w="614" w:type="pct"/>
                  <w:shd w:val="clear" w:color="auto" w:fill="auto"/>
                  <w:vAlign w:val="center"/>
                </w:tcPr>
                <w:p w14:paraId="4BBA8415">
                  <w:pPr>
                    <w:adjustRightInd w:val="0"/>
                    <w:spacing w:line="276" w:lineRule="auto"/>
                    <w:jc w:val="center"/>
                    <w:rPr>
                      <w:color w:val="auto"/>
                      <w:kern w:val="0"/>
                      <w:szCs w:val="21"/>
                    </w:rPr>
                  </w:pPr>
                  <w:r>
                    <w:rPr>
                      <w:color w:val="auto"/>
                      <w:kern w:val="0"/>
                      <w:szCs w:val="21"/>
                    </w:rPr>
                    <w:t>＜</w:t>
                  </w:r>
                  <w:r>
                    <w:rPr>
                      <w:rFonts w:hint="eastAsia"/>
                      <w:color w:val="auto"/>
                      <w:kern w:val="0"/>
                      <w:szCs w:val="21"/>
                    </w:rPr>
                    <w:t>1级</w:t>
                  </w:r>
                </w:p>
              </w:tc>
              <w:tc>
                <w:tcPr>
                  <w:tcW w:w="615" w:type="pct"/>
                  <w:shd w:val="clear" w:color="auto" w:fill="auto"/>
                  <w:vAlign w:val="center"/>
                </w:tcPr>
                <w:p w14:paraId="72D1E57E">
                  <w:pPr>
                    <w:adjustRightInd w:val="0"/>
                    <w:spacing w:line="276" w:lineRule="auto"/>
                    <w:jc w:val="center"/>
                    <w:rPr>
                      <w:color w:val="auto"/>
                      <w:kern w:val="0"/>
                      <w:szCs w:val="21"/>
                    </w:rPr>
                  </w:pPr>
                  <w:r>
                    <w:rPr>
                      <w:rFonts w:hint="eastAsia"/>
                      <w:color w:val="auto"/>
                      <w:kern w:val="0"/>
                      <w:szCs w:val="21"/>
                    </w:rPr>
                    <w:t>/</w:t>
                  </w:r>
                </w:p>
              </w:tc>
              <w:tc>
                <w:tcPr>
                  <w:tcW w:w="706" w:type="pct"/>
                  <w:vAlign w:val="center"/>
                </w:tcPr>
                <w:p w14:paraId="7329B1BE">
                  <w:pPr>
                    <w:adjustRightInd w:val="0"/>
                    <w:spacing w:line="276" w:lineRule="auto"/>
                    <w:jc w:val="center"/>
                    <w:rPr>
                      <w:color w:val="auto"/>
                      <w:kern w:val="0"/>
                      <w:szCs w:val="21"/>
                    </w:rPr>
                  </w:pPr>
                  <w:r>
                    <w:rPr>
                      <w:rFonts w:hint="eastAsia"/>
                      <w:color w:val="auto"/>
                      <w:kern w:val="0"/>
                      <w:szCs w:val="21"/>
                    </w:rPr>
                    <w:t>/</w:t>
                  </w:r>
                </w:p>
              </w:tc>
              <w:tc>
                <w:tcPr>
                  <w:tcW w:w="408" w:type="pct"/>
                  <w:vMerge w:val="continue"/>
                  <w:shd w:val="clear" w:color="auto" w:fill="auto"/>
                  <w:vAlign w:val="center"/>
                </w:tcPr>
                <w:p w14:paraId="48EC60C4">
                  <w:pPr>
                    <w:adjustRightInd w:val="0"/>
                    <w:spacing w:line="276" w:lineRule="auto"/>
                    <w:jc w:val="center"/>
                    <w:rPr>
                      <w:color w:val="auto"/>
                      <w:kern w:val="0"/>
                      <w:szCs w:val="21"/>
                    </w:rPr>
                  </w:pPr>
                </w:p>
              </w:tc>
            </w:tr>
            <w:tr w14:paraId="38DD4FF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5000" w:type="pct"/>
                  <w:gridSpan w:val="9"/>
                  <w:vAlign w:val="center"/>
                </w:tcPr>
                <w:p w14:paraId="2A6BB792">
                  <w:pPr>
                    <w:widowControl/>
                    <w:spacing w:line="276" w:lineRule="auto"/>
                    <w:jc w:val="left"/>
                    <w:rPr>
                      <w:color w:val="auto"/>
                      <w:kern w:val="0"/>
                      <w:szCs w:val="21"/>
                    </w:rPr>
                  </w:pPr>
                  <w:r>
                    <w:rPr>
                      <w:color w:val="auto"/>
                      <w:szCs w:val="21"/>
                    </w:rPr>
                    <w:t>备注：</w:t>
                  </w:r>
                  <w:r>
                    <w:rPr>
                      <w:color w:val="auto"/>
                      <w:kern w:val="0"/>
                      <w:szCs w:val="21"/>
                    </w:rPr>
                    <w:t>折算浓度按《锅炉大气污染物排放标准》（</w:t>
                  </w:r>
                  <w:r>
                    <w:rPr>
                      <w:rFonts w:hint="eastAsia"/>
                      <w:color w:val="auto"/>
                      <w:kern w:val="0"/>
                      <w:szCs w:val="21"/>
                    </w:rPr>
                    <w:t>GB13271-2014</w:t>
                  </w:r>
                  <w:r>
                    <w:rPr>
                      <w:color w:val="auto"/>
                      <w:kern w:val="0"/>
                      <w:szCs w:val="21"/>
                    </w:rPr>
                    <w:t>）基准含氧量</w:t>
                  </w:r>
                  <w:r>
                    <w:rPr>
                      <w:rFonts w:hint="eastAsia"/>
                      <w:color w:val="auto"/>
                      <w:kern w:val="0"/>
                      <w:szCs w:val="21"/>
                    </w:rPr>
                    <w:t>3.5%计算。</w:t>
                  </w:r>
                </w:p>
              </w:tc>
            </w:tr>
          </w:tbl>
          <w:p w14:paraId="475099EC">
            <w:pPr>
              <w:pStyle w:val="16"/>
              <w:spacing w:after="0" w:line="360" w:lineRule="auto"/>
              <w:ind w:left="0" w:leftChars="0" w:firstLine="480" w:firstLineChars="200"/>
              <w:rPr>
                <w:color w:val="auto"/>
                <w:sz w:val="24"/>
                <w:szCs w:val="32"/>
              </w:rPr>
            </w:pPr>
            <w:r>
              <w:rPr>
                <w:rFonts w:hint="eastAsia"/>
                <w:color w:val="auto"/>
                <w:sz w:val="24"/>
                <w:szCs w:val="32"/>
              </w:rPr>
              <w:t>根据监测结果，2#废气排放口氟化物、烟气黑度均满足</w:t>
            </w:r>
            <w:r>
              <w:rPr>
                <w:color w:val="auto"/>
                <w:sz w:val="24"/>
                <w:szCs w:val="32"/>
              </w:rPr>
              <w:t>《工业炉窑大气污染物排放标准》（</w:t>
            </w:r>
            <w:r>
              <w:rPr>
                <w:rFonts w:hint="eastAsia"/>
                <w:color w:val="auto"/>
                <w:sz w:val="24"/>
                <w:szCs w:val="32"/>
              </w:rPr>
              <w:t>GB9078-1996</w:t>
            </w:r>
            <w:r>
              <w:rPr>
                <w:color w:val="auto"/>
                <w:sz w:val="24"/>
                <w:szCs w:val="32"/>
              </w:rPr>
              <w:t>）中</w:t>
            </w:r>
            <w:r>
              <w:rPr>
                <w:rFonts w:hint="eastAsia"/>
                <w:color w:val="auto"/>
                <w:sz w:val="24"/>
                <w:szCs w:val="32"/>
              </w:rPr>
              <w:t>排放限值要求（氟化物：6</w:t>
            </w:r>
            <w:r>
              <w:rPr>
                <w:color w:val="auto"/>
                <w:sz w:val="24"/>
                <w:szCs w:val="32"/>
              </w:rPr>
              <w:t>mg/m</w:t>
            </w:r>
            <w:r>
              <w:rPr>
                <w:color w:val="auto"/>
                <w:sz w:val="24"/>
                <w:szCs w:val="32"/>
                <w:vertAlign w:val="superscript"/>
              </w:rPr>
              <w:t>3</w:t>
            </w:r>
            <w:r>
              <w:rPr>
                <w:color w:val="auto"/>
                <w:sz w:val="24"/>
                <w:szCs w:val="32"/>
              </w:rPr>
              <w:t>、</w:t>
            </w:r>
            <w:r>
              <w:rPr>
                <w:rFonts w:hint="eastAsia"/>
                <w:color w:val="auto"/>
                <w:sz w:val="24"/>
                <w:szCs w:val="32"/>
              </w:rPr>
              <w:t>林格曼黑度：1级）。</w:t>
            </w:r>
          </w:p>
          <w:p w14:paraId="55A0F6FC">
            <w:pPr>
              <w:pStyle w:val="16"/>
              <w:spacing w:after="0" w:line="360" w:lineRule="auto"/>
              <w:ind w:left="0" w:leftChars="0" w:firstLine="480" w:firstLineChars="200"/>
              <w:rPr>
                <w:color w:val="auto"/>
                <w:sz w:val="24"/>
                <w:szCs w:val="32"/>
              </w:rPr>
            </w:pPr>
            <w:r>
              <w:rPr>
                <w:rFonts w:hint="eastAsia"/>
                <w:color w:val="auto"/>
                <w:sz w:val="24"/>
                <w:szCs w:val="32"/>
              </w:rPr>
              <w:t>③2021年在线监测监控</w:t>
            </w:r>
          </w:p>
          <w:p w14:paraId="125C41E5">
            <w:pPr>
              <w:pStyle w:val="16"/>
              <w:spacing w:after="0" w:line="360" w:lineRule="auto"/>
              <w:ind w:left="0" w:leftChars="0" w:firstLine="480" w:firstLineChars="200"/>
              <w:rPr>
                <w:color w:val="auto"/>
                <w:sz w:val="24"/>
              </w:rPr>
            </w:pPr>
            <w:r>
              <w:rPr>
                <w:rFonts w:hint="eastAsia"/>
                <w:color w:val="auto"/>
                <w:sz w:val="24"/>
              </w:rPr>
              <w:t>2#</w:t>
            </w:r>
            <w:r>
              <w:rPr>
                <w:rFonts w:hint="eastAsia" w:ascii="宋体" w:hAnsi="宋体"/>
                <w:color w:val="auto"/>
                <w:sz w:val="24"/>
              </w:rPr>
              <w:t>废气排放口已于</w:t>
            </w:r>
            <w:r>
              <w:rPr>
                <w:rFonts w:hint="eastAsia"/>
                <w:color w:val="auto"/>
                <w:sz w:val="24"/>
              </w:rPr>
              <w:t>2021</w:t>
            </w:r>
            <w:r>
              <w:rPr>
                <w:rFonts w:hint="eastAsia" w:ascii="宋体" w:hAnsi="宋体"/>
                <w:color w:val="auto"/>
                <w:sz w:val="24"/>
              </w:rPr>
              <w:t>年安装在线监测设备，自动监测颗粒物、二氧化硫、氮氧化物排放浓度。</w:t>
            </w:r>
          </w:p>
          <w:p w14:paraId="69BD5688">
            <w:pPr>
              <w:pStyle w:val="16"/>
              <w:spacing w:after="0" w:line="360" w:lineRule="auto"/>
              <w:ind w:left="0" w:leftChars="0" w:firstLine="480" w:firstLineChars="200"/>
              <w:rPr>
                <w:color w:val="auto"/>
                <w:sz w:val="24"/>
              </w:rPr>
            </w:pPr>
            <w:r>
              <w:rPr>
                <w:rFonts w:hint="eastAsia" w:ascii="宋体" w:hAnsi="宋体"/>
                <w:color w:val="auto"/>
                <w:kern w:val="0"/>
                <w:sz w:val="24"/>
              </w:rPr>
              <w:t>根据</w:t>
            </w:r>
            <w:r>
              <w:rPr>
                <w:rFonts w:hint="eastAsia"/>
                <w:color w:val="auto"/>
                <w:kern w:val="0"/>
                <w:sz w:val="24"/>
              </w:rPr>
              <w:t>2021</w:t>
            </w:r>
            <w:r>
              <w:rPr>
                <w:rFonts w:hint="eastAsia" w:ascii="宋体" w:hAnsi="宋体"/>
                <w:color w:val="auto"/>
                <w:kern w:val="0"/>
                <w:sz w:val="24"/>
              </w:rPr>
              <w:t>年企业重点排污单位自动监测与基础数据库系统在线监控数据分析，</w:t>
            </w:r>
            <w:r>
              <w:rPr>
                <w:rFonts w:hint="eastAsia"/>
                <w:color w:val="auto"/>
                <w:kern w:val="0"/>
                <w:sz w:val="24"/>
              </w:rPr>
              <w:t>2#</w:t>
            </w:r>
            <w:r>
              <w:rPr>
                <w:rFonts w:hint="eastAsia" w:ascii="宋体" w:hAnsi="宋体"/>
                <w:color w:val="auto"/>
                <w:kern w:val="0"/>
                <w:sz w:val="24"/>
              </w:rPr>
              <w:t>废气排放口废气污染物颗粒物排放浓度可满足</w:t>
            </w:r>
            <w:r>
              <w:rPr>
                <w:rFonts w:hint="eastAsia" w:ascii="宋体" w:hAnsi="宋体"/>
                <w:color w:val="auto"/>
                <w:sz w:val="24"/>
              </w:rPr>
              <w:t>《工业炉窑大气污染综合治理方案》（环大气</w:t>
            </w:r>
            <w:r>
              <w:rPr>
                <w:rFonts w:hint="eastAsia"/>
                <w:color w:val="auto"/>
                <w:sz w:val="24"/>
              </w:rPr>
              <w:t>[2019]56</w:t>
            </w:r>
            <w:r>
              <w:rPr>
                <w:rFonts w:hint="eastAsia" w:ascii="宋体" w:hAnsi="宋体"/>
                <w:color w:val="auto"/>
                <w:sz w:val="24"/>
              </w:rPr>
              <w:t>号）限值要求（</w:t>
            </w:r>
            <w:r>
              <w:rPr>
                <w:rFonts w:hint="eastAsia"/>
                <w:color w:val="auto"/>
                <w:sz w:val="24"/>
              </w:rPr>
              <w:t>30mg/m</w:t>
            </w:r>
            <w:r>
              <w:rPr>
                <w:rFonts w:hint="eastAsia"/>
                <w:color w:val="auto"/>
                <w:sz w:val="24"/>
                <w:vertAlign w:val="superscript"/>
              </w:rPr>
              <w:t>3</w:t>
            </w:r>
            <w:r>
              <w:rPr>
                <w:rFonts w:hint="eastAsia" w:ascii="宋体" w:hAnsi="宋体"/>
                <w:color w:val="auto"/>
                <w:sz w:val="24"/>
              </w:rPr>
              <w:t>），也可满足《安徽省玻璃工业大气污染物排放标准》（</w:t>
            </w:r>
            <w:r>
              <w:rPr>
                <w:rFonts w:hint="eastAsia"/>
                <w:color w:val="auto"/>
                <w:sz w:val="24"/>
              </w:rPr>
              <w:t>DB34/4295-2022</w:t>
            </w:r>
            <w:r>
              <w:rPr>
                <w:rFonts w:hint="eastAsia" w:ascii="宋体" w:hAnsi="宋体"/>
                <w:color w:val="auto"/>
                <w:sz w:val="24"/>
              </w:rPr>
              <w:t>）限值要求（颗粒物：</w:t>
            </w:r>
            <w:r>
              <w:rPr>
                <w:rFonts w:hint="eastAsia"/>
                <w:color w:val="auto"/>
                <w:sz w:val="24"/>
              </w:rPr>
              <w:t>20mg/m</w:t>
            </w:r>
            <w:r>
              <w:rPr>
                <w:rFonts w:hint="eastAsia"/>
                <w:color w:val="auto"/>
                <w:sz w:val="24"/>
                <w:vertAlign w:val="superscript"/>
              </w:rPr>
              <w:t>3</w:t>
            </w:r>
            <w:r>
              <w:rPr>
                <w:rFonts w:hint="eastAsia" w:ascii="宋体" w:hAnsi="宋体"/>
                <w:color w:val="auto"/>
                <w:sz w:val="24"/>
              </w:rPr>
              <w:t>）；</w:t>
            </w:r>
            <w:r>
              <w:rPr>
                <w:rFonts w:hint="eastAsia" w:ascii="宋体" w:hAnsi="宋体"/>
                <w:color w:val="auto"/>
                <w:kern w:val="0"/>
                <w:sz w:val="24"/>
              </w:rPr>
              <w:t>二氧化硫排放浓度可满足</w:t>
            </w:r>
            <w:r>
              <w:rPr>
                <w:rFonts w:hint="eastAsia" w:ascii="宋体" w:hAnsi="宋体"/>
                <w:color w:val="auto"/>
                <w:sz w:val="24"/>
              </w:rPr>
              <w:t>《工业炉窑大气污染物排放标准》（</w:t>
            </w:r>
            <w:r>
              <w:rPr>
                <w:rFonts w:hint="eastAsia"/>
                <w:color w:val="auto"/>
                <w:sz w:val="24"/>
              </w:rPr>
              <w:t>GB9078-1996</w:t>
            </w:r>
            <w:r>
              <w:rPr>
                <w:rFonts w:hint="eastAsia" w:ascii="宋体" w:hAnsi="宋体"/>
                <w:color w:val="auto"/>
                <w:sz w:val="24"/>
              </w:rPr>
              <w:t>）中表</w:t>
            </w:r>
            <w:r>
              <w:rPr>
                <w:rFonts w:hint="eastAsia"/>
                <w:color w:val="auto"/>
                <w:sz w:val="24"/>
              </w:rPr>
              <w:t>4</w:t>
            </w:r>
            <w:r>
              <w:rPr>
                <w:rFonts w:hint="eastAsia" w:ascii="宋体" w:hAnsi="宋体"/>
                <w:color w:val="auto"/>
                <w:sz w:val="24"/>
              </w:rPr>
              <w:t>二级标准要求相关限值要求（二氧化硫：</w:t>
            </w:r>
            <w:r>
              <w:rPr>
                <w:rFonts w:hint="eastAsia"/>
                <w:color w:val="auto"/>
                <w:sz w:val="24"/>
              </w:rPr>
              <w:t>200mg/m</w:t>
            </w:r>
            <w:r>
              <w:rPr>
                <w:rFonts w:hint="eastAsia"/>
                <w:color w:val="auto"/>
                <w:sz w:val="24"/>
                <w:vertAlign w:val="superscript"/>
              </w:rPr>
              <w:t>3</w:t>
            </w:r>
            <w:r>
              <w:rPr>
                <w:rFonts w:hint="eastAsia" w:ascii="宋体" w:hAnsi="宋体"/>
                <w:color w:val="auto"/>
                <w:sz w:val="24"/>
              </w:rPr>
              <w:t>），但未能满足《安徽省玻璃工业大气污染物排放标准》（</w:t>
            </w:r>
            <w:r>
              <w:rPr>
                <w:rFonts w:hint="eastAsia"/>
                <w:color w:val="auto"/>
                <w:sz w:val="24"/>
              </w:rPr>
              <w:t>DB34/4295-2022</w:t>
            </w:r>
            <w:r>
              <w:rPr>
                <w:rFonts w:hint="eastAsia" w:ascii="宋体" w:hAnsi="宋体"/>
                <w:color w:val="auto"/>
                <w:sz w:val="24"/>
              </w:rPr>
              <w:t>）限值要求（二氧化硫：</w:t>
            </w:r>
            <w:r>
              <w:rPr>
                <w:rFonts w:hint="eastAsia"/>
                <w:color w:val="auto"/>
                <w:sz w:val="24"/>
              </w:rPr>
              <w:t>100mg/m</w:t>
            </w:r>
            <w:r>
              <w:rPr>
                <w:rFonts w:hint="eastAsia"/>
                <w:color w:val="auto"/>
                <w:sz w:val="24"/>
                <w:vertAlign w:val="superscript"/>
              </w:rPr>
              <w:t>3</w:t>
            </w:r>
            <w:r>
              <w:rPr>
                <w:rFonts w:hint="eastAsia" w:ascii="宋体" w:hAnsi="宋体"/>
                <w:color w:val="auto"/>
                <w:sz w:val="24"/>
              </w:rPr>
              <w:t>）；</w:t>
            </w:r>
            <w:r>
              <w:rPr>
                <w:rFonts w:hint="eastAsia" w:ascii="宋体" w:hAnsi="宋体"/>
                <w:color w:val="auto"/>
                <w:kern w:val="0"/>
                <w:sz w:val="24"/>
              </w:rPr>
              <w:t>氮氧化物排放浓度</w:t>
            </w:r>
            <w:r>
              <w:rPr>
                <w:rFonts w:hint="eastAsia" w:ascii="宋体" w:hAnsi="宋体"/>
                <w:color w:val="auto"/>
                <w:sz w:val="24"/>
              </w:rPr>
              <w:t>可满足《关于印发</w:t>
            </w:r>
            <w:r>
              <w:rPr>
                <w:rFonts w:hint="eastAsia"/>
                <w:color w:val="auto"/>
                <w:sz w:val="24"/>
              </w:rPr>
              <w:t>&lt;</w:t>
            </w:r>
            <w:r>
              <w:rPr>
                <w:rFonts w:hint="eastAsia" w:ascii="宋体" w:hAnsi="宋体"/>
                <w:color w:val="auto"/>
                <w:sz w:val="24"/>
              </w:rPr>
              <w:t>淮南市工业窑炉污染综合整治专项行动方案</w:t>
            </w:r>
            <w:r>
              <w:rPr>
                <w:rFonts w:hint="eastAsia"/>
                <w:color w:val="auto"/>
                <w:sz w:val="24"/>
              </w:rPr>
              <w:t>&gt;</w:t>
            </w:r>
            <w:r>
              <w:rPr>
                <w:rFonts w:hint="eastAsia" w:ascii="宋体" w:hAnsi="宋体"/>
                <w:color w:val="auto"/>
                <w:sz w:val="24"/>
              </w:rPr>
              <w:t>的通知》（淮环通〔</w:t>
            </w:r>
            <w:r>
              <w:rPr>
                <w:rFonts w:hint="eastAsia"/>
                <w:color w:val="auto"/>
                <w:sz w:val="24"/>
              </w:rPr>
              <w:t>2019</w:t>
            </w:r>
            <w:r>
              <w:rPr>
                <w:rFonts w:hint="eastAsia" w:ascii="宋体" w:hAnsi="宋体"/>
                <w:color w:val="auto"/>
                <w:sz w:val="24"/>
              </w:rPr>
              <w:t>〕</w:t>
            </w:r>
            <w:r>
              <w:rPr>
                <w:rFonts w:hint="eastAsia"/>
                <w:color w:val="auto"/>
                <w:sz w:val="24"/>
              </w:rPr>
              <w:t>143</w:t>
            </w:r>
            <w:r>
              <w:rPr>
                <w:rFonts w:hint="eastAsia" w:ascii="宋体" w:hAnsi="宋体"/>
                <w:color w:val="auto"/>
                <w:sz w:val="24"/>
              </w:rPr>
              <w:t>号文）相关限值要求（氮氧化物：</w:t>
            </w:r>
            <w:r>
              <w:rPr>
                <w:rFonts w:hint="eastAsia"/>
                <w:color w:val="auto"/>
                <w:sz w:val="24"/>
              </w:rPr>
              <w:t>400mg/m</w:t>
            </w:r>
            <w:r>
              <w:rPr>
                <w:rFonts w:hint="eastAsia"/>
                <w:color w:val="auto"/>
                <w:sz w:val="24"/>
                <w:vertAlign w:val="superscript"/>
              </w:rPr>
              <w:t>3</w:t>
            </w:r>
            <w:r>
              <w:rPr>
                <w:rFonts w:hint="eastAsia" w:ascii="宋体" w:hAnsi="宋体"/>
                <w:color w:val="auto"/>
                <w:sz w:val="24"/>
              </w:rPr>
              <w:t>），也可满足《安徽省玻璃工业大气污染物排放标准》（</w:t>
            </w:r>
            <w:r>
              <w:rPr>
                <w:rFonts w:hint="eastAsia"/>
                <w:color w:val="auto"/>
                <w:sz w:val="24"/>
              </w:rPr>
              <w:t>DB34/4295-2022</w:t>
            </w:r>
            <w:r>
              <w:rPr>
                <w:rFonts w:hint="eastAsia" w:ascii="宋体" w:hAnsi="宋体"/>
                <w:color w:val="auto"/>
                <w:sz w:val="24"/>
              </w:rPr>
              <w:t>）限值要求（氮氧化物：</w:t>
            </w:r>
            <w:r>
              <w:rPr>
                <w:rFonts w:hint="eastAsia"/>
                <w:color w:val="auto"/>
                <w:sz w:val="24"/>
              </w:rPr>
              <w:t>20mg/m</w:t>
            </w:r>
            <w:r>
              <w:rPr>
                <w:rFonts w:hint="eastAsia"/>
                <w:color w:val="auto"/>
                <w:sz w:val="24"/>
                <w:vertAlign w:val="superscript"/>
              </w:rPr>
              <w:t>3</w:t>
            </w:r>
            <w:r>
              <w:rPr>
                <w:rFonts w:hint="eastAsia" w:ascii="宋体" w:hAnsi="宋体"/>
                <w:color w:val="auto"/>
                <w:sz w:val="24"/>
              </w:rPr>
              <w:t>）。根据</w:t>
            </w:r>
            <w:r>
              <w:rPr>
                <w:rFonts w:hint="eastAsia"/>
                <w:color w:val="auto"/>
                <w:sz w:val="24"/>
              </w:rPr>
              <w:t>2021</w:t>
            </w:r>
            <w:r>
              <w:rPr>
                <w:rFonts w:hint="eastAsia" w:ascii="宋体" w:hAnsi="宋体"/>
                <w:color w:val="auto"/>
                <w:sz w:val="24"/>
              </w:rPr>
              <w:t>年企业在线监控数据分析，</w:t>
            </w:r>
            <w:r>
              <w:rPr>
                <w:rFonts w:hint="eastAsia"/>
                <w:color w:val="auto"/>
                <w:sz w:val="24"/>
              </w:rPr>
              <w:t>2#</w:t>
            </w:r>
            <w:r>
              <w:rPr>
                <w:rFonts w:hint="eastAsia" w:ascii="宋体" w:hAnsi="宋体"/>
                <w:color w:val="auto"/>
                <w:sz w:val="24"/>
              </w:rPr>
              <w:t>废气排放口部分月份</w:t>
            </w:r>
            <w:r>
              <w:rPr>
                <w:rFonts w:hint="eastAsia" w:ascii="宋体" w:hAnsi="宋体"/>
                <w:color w:val="auto"/>
                <w:kern w:val="0"/>
                <w:sz w:val="24"/>
              </w:rPr>
              <w:t>废气污染物</w:t>
            </w:r>
            <w:r>
              <w:rPr>
                <w:rFonts w:hint="eastAsia" w:ascii="宋体" w:hAnsi="宋体"/>
                <w:color w:val="auto"/>
                <w:sz w:val="24"/>
              </w:rPr>
              <w:t>二氧化硫、排放浓度未能达到</w:t>
            </w:r>
            <w:r>
              <w:rPr>
                <w:rFonts w:hint="eastAsia"/>
                <w:color w:val="auto"/>
                <w:sz w:val="24"/>
              </w:rPr>
              <w:t>2024</w:t>
            </w:r>
            <w:r>
              <w:rPr>
                <w:rFonts w:hint="eastAsia" w:ascii="宋体" w:hAnsi="宋体"/>
                <w:color w:val="auto"/>
                <w:sz w:val="24"/>
              </w:rPr>
              <w:t>年</w:t>
            </w:r>
            <w:r>
              <w:rPr>
                <w:rFonts w:hint="eastAsia"/>
                <w:color w:val="auto"/>
                <w:sz w:val="24"/>
              </w:rPr>
              <w:t>10</w:t>
            </w:r>
            <w:r>
              <w:rPr>
                <w:rFonts w:hint="eastAsia" w:ascii="宋体" w:hAnsi="宋体"/>
                <w:color w:val="auto"/>
                <w:sz w:val="24"/>
              </w:rPr>
              <w:t>月</w:t>
            </w:r>
            <w:r>
              <w:rPr>
                <w:rFonts w:hint="eastAsia"/>
                <w:color w:val="auto"/>
                <w:sz w:val="24"/>
              </w:rPr>
              <w:t>1</w:t>
            </w:r>
            <w:r>
              <w:rPr>
                <w:rFonts w:hint="eastAsia" w:ascii="宋体" w:hAnsi="宋体"/>
                <w:color w:val="auto"/>
                <w:sz w:val="24"/>
              </w:rPr>
              <w:t>日起开始实施的安徽省《玻璃工业大气污染物排放标准》表</w:t>
            </w:r>
            <w:r>
              <w:rPr>
                <w:rFonts w:hint="eastAsia"/>
                <w:color w:val="auto"/>
                <w:sz w:val="24"/>
              </w:rPr>
              <w:t>1</w:t>
            </w:r>
            <w:r>
              <w:rPr>
                <w:rFonts w:hint="eastAsia" w:ascii="宋体" w:hAnsi="宋体"/>
                <w:color w:val="auto"/>
                <w:sz w:val="24"/>
              </w:rPr>
              <w:t>相关限值要求（二氧化硫：</w:t>
            </w:r>
            <w:r>
              <w:rPr>
                <w:rFonts w:hint="eastAsia"/>
                <w:color w:val="auto"/>
                <w:sz w:val="24"/>
              </w:rPr>
              <w:t>100mg/m</w:t>
            </w:r>
            <w:r>
              <w:rPr>
                <w:rFonts w:hint="eastAsia"/>
                <w:color w:val="auto"/>
                <w:sz w:val="24"/>
                <w:vertAlign w:val="superscript"/>
              </w:rPr>
              <w:t>3</w:t>
            </w:r>
            <w:r>
              <w:rPr>
                <w:rFonts w:hint="eastAsia" w:ascii="宋体" w:hAnsi="宋体"/>
                <w:color w:val="auto"/>
                <w:sz w:val="24"/>
              </w:rPr>
              <w:t>），因此，企业于</w:t>
            </w:r>
            <w:r>
              <w:rPr>
                <w:rFonts w:hint="eastAsia"/>
                <w:color w:val="auto"/>
                <w:sz w:val="24"/>
              </w:rPr>
              <w:t>2023</w:t>
            </w:r>
            <w:r>
              <w:rPr>
                <w:rFonts w:hint="eastAsia" w:ascii="宋体" w:hAnsi="宋体"/>
                <w:color w:val="auto"/>
                <w:sz w:val="24"/>
              </w:rPr>
              <w:t>年底对处于窑炉冷修期的</w:t>
            </w:r>
            <w:r>
              <w:rPr>
                <w:rFonts w:hint="eastAsia"/>
                <w:color w:val="auto"/>
                <w:sz w:val="24"/>
              </w:rPr>
              <w:t>2#</w:t>
            </w:r>
            <w:r>
              <w:rPr>
                <w:rFonts w:hint="eastAsia" w:ascii="宋体" w:hAnsi="宋体"/>
                <w:color w:val="auto"/>
                <w:sz w:val="24"/>
              </w:rPr>
              <w:t>玻璃窑炉废气治理设施进行提升改造，现阶段“脱硫脱硝除尘复合陶瓷滤管一体化处理设施”已改造完成。</w:t>
            </w:r>
          </w:p>
          <w:p w14:paraId="50CD675A">
            <w:pPr>
              <w:pStyle w:val="219"/>
              <w:ind w:firstLine="480" w:firstLineChars="200"/>
              <w:rPr>
                <w:color w:val="auto"/>
                <w:sz w:val="21"/>
                <w:szCs w:val="21"/>
              </w:rPr>
            </w:pPr>
            <w:r>
              <w:rPr>
                <w:rFonts w:hint="eastAsia"/>
                <w:color w:val="auto"/>
              </w:rPr>
              <w:t>由于现阶段2#还未生产，2#废气排放口暂无废气监测数据。</w:t>
            </w:r>
          </w:p>
          <w:p w14:paraId="314DAF57">
            <w:pPr>
              <w:pStyle w:val="16"/>
              <w:spacing w:after="0" w:line="360" w:lineRule="auto"/>
              <w:ind w:left="0" w:leftChars="0" w:firstLine="480" w:firstLineChars="200"/>
              <w:rPr>
                <w:color w:val="auto"/>
                <w:kern w:val="0"/>
                <w:sz w:val="24"/>
              </w:rPr>
            </w:pPr>
            <w:r>
              <w:rPr>
                <w:rFonts w:hint="eastAsia"/>
                <w:color w:val="auto"/>
                <w:kern w:val="0"/>
                <w:sz w:val="24"/>
              </w:rPr>
              <w:t>3）3#废气排放口（DA008）</w:t>
            </w:r>
          </w:p>
          <w:p w14:paraId="4A1E75F6">
            <w:pPr>
              <w:pStyle w:val="16"/>
              <w:spacing w:after="0" w:line="360" w:lineRule="auto"/>
              <w:ind w:left="0" w:leftChars="0" w:firstLine="480" w:firstLineChars="200"/>
              <w:rPr>
                <w:color w:val="auto"/>
                <w:kern w:val="0"/>
                <w:sz w:val="24"/>
              </w:rPr>
            </w:pPr>
            <w:r>
              <w:rPr>
                <w:rFonts w:hint="eastAsia"/>
                <w:color w:val="auto"/>
                <w:kern w:val="0"/>
                <w:sz w:val="24"/>
              </w:rPr>
              <w:t>根据安徽澳林检测技术有限公司于2024年3月8日对3#废气排放口（DA008）监测（报告编号：安澳检[2024]（03048）号），监测结果详见下表。</w:t>
            </w:r>
          </w:p>
          <w:p w14:paraId="623DF8EB">
            <w:pPr>
              <w:pStyle w:val="16"/>
              <w:spacing w:after="0" w:line="360" w:lineRule="auto"/>
              <w:ind w:left="0" w:leftChars="0" w:firstLine="480" w:firstLineChars="200"/>
              <w:jc w:val="center"/>
              <w:rPr>
                <w:color w:val="auto"/>
                <w:kern w:val="0"/>
                <w:sz w:val="24"/>
              </w:rPr>
            </w:pPr>
            <w:r>
              <w:rPr>
                <w:rFonts w:hAnsi="黑体" w:eastAsia="黑体"/>
                <w:color w:val="auto"/>
                <w:sz w:val="24"/>
              </w:rPr>
              <w:t>表</w:t>
            </w:r>
            <w:r>
              <w:rPr>
                <w:rFonts w:hint="eastAsia" w:eastAsia="黑体"/>
                <w:color w:val="auto"/>
                <w:sz w:val="24"/>
              </w:rPr>
              <w:t>25</w:t>
            </w:r>
            <w:r>
              <w:rPr>
                <w:rFonts w:eastAsia="黑体"/>
                <w:color w:val="auto"/>
                <w:sz w:val="24"/>
              </w:rPr>
              <w:t xml:space="preserve"> </w:t>
            </w:r>
            <w:r>
              <w:rPr>
                <w:rFonts w:hint="eastAsia" w:eastAsia="黑体"/>
                <w:color w:val="auto"/>
                <w:sz w:val="24"/>
              </w:rPr>
              <w:t xml:space="preserve"> </w:t>
            </w:r>
            <w:r>
              <w:rPr>
                <w:rFonts w:hint="eastAsia" w:eastAsia="黑体"/>
                <w:color w:val="auto"/>
                <w:kern w:val="0"/>
                <w:sz w:val="24"/>
              </w:rPr>
              <w:t>3</w:t>
            </w:r>
            <w:r>
              <w:rPr>
                <w:rFonts w:eastAsia="黑体"/>
                <w:color w:val="auto"/>
                <w:kern w:val="0"/>
                <w:sz w:val="24"/>
              </w:rPr>
              <w:t>#</w:t>
            </w:r>
            <w:r>
              <w:rPr>
                <w:rFonts w:hAnsi="黑体" w:eastAsia="黑体"/>
                <w:color w:val="auto"/>
                <w:kern w:val="0"/>
                <w:sz w:val="24"/>
              </w:rPr>
              <w:t>废气排放口有组织废气检测结果统计</w:t>
            </w:r>
          </w:p>
          <w:tbl>
            <w:tblPr>
              <w:tblStyle w:val="3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19"/>
              <w:gridCol w:w="1054"/>
              <w:gridCol w:w="511"/>
              <w:gridCol w:w="694"/>
              <w:gridCol w:w="1065"/>
              <w:gridCol w:w="852"/>
              <w:gridCol w:w="1275"/>
              <w:gridCol w:w="1134"/>
              <w:gridCol w:w="663"/>
            </w:tblGrid>
            <w:tr w14:paraId="79BEC3B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Merge w:val="restart"/>
                  <w:shd w:val="clear" w:color="auto" w:fill="auto"/>
                  <w:vAlign w:val="center"/>
                </w:tcPr>
                <w:p w14:paraId="16D1D791">
                  <w:pPr>
                    <w:adjustRightInd w:val="0"/>
                    <w:spacing w:line="276" w:lineRule="auto"/>
                    <w:jc w:val="center"/>
                    <w:rPr>
                      <w:b/>
                      <w:color w:val="auto"/>
                      <w:kern w:val="0"/>
                      <w:szCs w:val="21"/>
                    </w:rPr>
                  </w:pPr>
                  <w:r>
                    <w:rPr>
                      <w:b/>
                      <w:color w:val="auto"/>
                      <w:kern w:val="0"/>
                      <w:szCs w:val="21"/>
                    </w:rPr>
                    <w:t>监测点位</w:t>
                  </w:r>
                </w:p>
              </w:tc>
              <w:tc>
                <w:tcPr>
                  <w:tcW w:w="1400" w:type="pct"/>
                  <w:gridSpan w:val="3"/>
                  <w:vMerge w:val="restart"/>
                  <w:vAlign w:val="center"/>
                </w:tcPr>
                <w:p w14:paraId="03CE5D0F">
                  <w:pPr>
                    <w:adjustRightInd w:val="0"/>
                    <w:spacing w:line="276" w:lineRule="auto"/>
                    <w:jc w:val="center"/>
                    <w:rPr>
                      <w:b/>
                      <w:color w:val="auto"/>
                      <w:kern w:val="0"/>
                      <w:szCs w:val="21"/>
                    </w:rPr>
                  </w:pPr>
                  <w:r>
                    <w:rPr>
                      <w:b/>
                      <w:color w:val="auto"/>
                      <w:kern w:val="0"/>
                      <w:szCs w:val="21"/>
                    </w:rPr>
                    <w:t>监测内容</w:t>
                  </w:r>
                </w:p>
              </w:tc>
              <w:tc>
                <w:tcPr>
                  <w:tcW w:w="2681" w:type="pct"/>
                  <w:gridSpan w:val="4"/>
                  <w:vAlign w:val="center"/>
                </w:tcPr>
                <w:p w14:paraId="08599EBB">
                  <w:pPr>
                    <w:adjustRightInd w:val="0"/>
                    <w:spacing w:line="276" w:lineRule="auto"/>
                    <w:jc w:val="center"/>
                    <w:rPr>
                      <w:b/>
                      <w:color w:val="auto"/>
                      <w:kern w:val="0"/>
                      <w:szCs w:val="21"/>
                    </w:rPr>
                  </w:pPr>
                  <w:r>
                    <w:rPr>
                      <w:b/>
                      <w:color w:val="auto"/>
                      <w:kern w:val="0"/>
                      <w:szCs w:val="21"/>
                    </w:rPr>
                    <w:t>监测数据</w:t>
                  </w:r>
                </w:p>
              </w:tc>
              <w:tc>
                <w:tcPr>
                  <w:tcW w:w="411" w:type="pct"/>
                  <w:vMerge w:val="restart"/>
                  <w:shd w:val="clear" w:color="auto" w:fill="auto"/>
                  <w:vAlign w:val="center"/>
                </w:tcPr>
                <w:p w14:paraId="6C166981">
                  <w:pPr>
                    <w:adjustRightInd w:val="0"/>
                    <w:spacing w:line="276" w:lineRule="auto"/>
                    <w:jc w:val="center"/>
                    <w:rPr>
                      <w:b/>
                      <w:color w:val="auto"/>
                      <w:kern w:val="0"/>
                      <w:szCs w:val="21"/>
                    </w:rPr>
                  </w:pPr>
                  <w:r>
                    <w:rPr>
                      <w:b/>
                      <w:color w:val="auto"/>
                      <w:kern w:val="0"/>
                      <w:szCs w:val="21"/>
                    </w:rPr>
                    <w:t>排气筒高度（m）</w:t>
                  </w:r>
                </w:p>
              </w:tc>
            </w:tr>
            <w:tr w14:paraId="0CBCFEC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508" w:type="pct"/>
                  <w:vMerge w:val="continue"/>
                  <w:shd w:val="clear" w:color="auto" w:fill="auto"/>
                  <w:vAlign w:val="center"/>
                </w:tcPr>
                <w:p w14:paraId="629BF2AE">
                  <w:pPr>
                    <w:adjustRightInd w:val="0"/>
                    <w:spacing w:line="276" w:lineRule="auto"/>
                    <w:jc w:val="center"/>
                    <w:rPr>
                      <w:color w:val="auto"/>
                      <w:kern w:val="0"/>
                      <w:szCs w:val="21"/>
                    </w:rPr>
                  </w:pPr>
                </w:p>
              </w:tc>
              <w:tc>
                <w:tcPr>
                  <w:tcW w:w="1400" w:type="pct"/>
                  <w:gridSpan w:val="3"/>
                  <w:vMerge w:val="continue"/>
                  <w:vAlign w:val="center"/>
                </w:tcPr>
                <w:p w14:paraId="7B4ED3E5">
                  <w:pPr>
                    <w:adjustRightInd w:val="0"/>
                    <w:spacing w:line="276" w:lineRule="auto"/>
                    <w:jc w:val="center"/>
                    <w:rPr>
                      <w:b/>
                      <w:color w:val="auto"/>
                      <w:kern w:val="0"/>
                      <w:szCs w:val="21"/>
                    </w:rPr>
                  </w:pPr>
                </w:p>
              </w:tc>
              <w:tc>
                <w:tcPr>
                  <w:tcW w:w="660" w:type="pct"/>
                  <w:vMerge w:val="restart"/>
                  <w:vAlign w:val="center"/>
                </w:tcPr>
                <w:p w14:paraId="58289825">
                  <w:pPr>
                    <w:adjustRightInd w:val="0"/>
                    <w:spacing w:line="276" w:lineRule="auto"/>
                    <w:jc w:val="center"/>
                    <w:rPr>
                      <w:b/>
                      <w:color w:val="auto"/>
                      <w:kern w:val="0"/>
                      <w:szCs w:val="21"/>
                    </w:rPr>
                  </w:pPr>
                  <w:r>
                    <w:rPr>
                      <w:b/>
                      <w:color w:val="auto"/>
                      <w:kern w:val="0"/>
                      <w:szCs w:val="21"/>
                    </w:rPr>
                    <w:t>标干流量（m</w:t>
                  </w:r>
                  <w:r>
                    <w:rPr>
                      <w:rFonts w:hint="eastAsia"/>
                      <w:b/>
                      <w:color w:val="auto"/>
                      <w:kern w:val="0"/>
                      <w:szCs w:val="21"/>
                      <w:vertAlign w:val="superscript"/>
                    </w:rPr>
                    <w:t>3</w:t>
                  </w:r>
                  <w:r>
                    <w:rPr>
                      <w:rFonts w:hint="eastAsia"/>
                      <w:b/>
                      <w:color w:val="auto"/>
                      <w:kern w:val="0"/>
                      <w:szCs w:val="21"/>
                    </w:rPr>
                    <w:t>/h</w:t>
                  </w:r>
                  <w:r>
                    <w:rPr>
                      <w:b/>
                      <w:color w:val="auto"/>
                      <w:kern w:val="0"/>
                      <w:szCs w:val="21"/>
                    </w:rPr>
                    <w:t>）</w:t>
                  </w:r>
                </w:p>
              </w:tc>
              <w:tc>
                <w:tcPr>
                  <w:tcW w:w="528" w:type="pct"/>
                  <w:vMerge w:val="restart"/>
                  <w:vAlign w:val="center"/>
                </w:tcPr>
                <w:p w14:paraId="321171FA">
                  <w:pPr>
                    <w:adjustRightInd w:val="0"/>
                    <w:spacing w:line="276" w:lineRule="auto"/>
                    <w:jc w:val="center"/>
                    <w:rPr>
                      <w:b/>
                      <w:color w:val="auto"/>
                      <w:kern w:val="0"/>
                      <w:szCs w:val="21"/>
                    </w:rPr>
                  </w:pPr>
                  <w:r>
                    <w:rPr>
                      <w:b/>
                      <w:color w:val="auto"/>
                      <w:kern w:val="0"/>
                      <w:szCs w:val="21"/>
                    </w:rPr>
                    <w:t>含氧量（</w:t>
                  </w:r>
                  <w:r>
                    <w:rPr>
                      <w:rFonts w:hint="eastAsia"/>
                      <w:b/>
                      <w:color w:val="auto"/>
                      <w:kern w:val="0"/>
                      <w:szCs w:val="21"/>
                    </w:rPr>
                    <w:t>%</w:t>
                  </w:r>
                  <w:r>
                    <w:rPr>
                      <w:b/>
                      <w:color w:val="auto"/>
                      <w:kern w:val="0"/>
                      <w:szCs w:val="21"/>
                    </w:rPr>
                    <w:t>）</w:t>
                  </w:r>
                </w:p>
              </w:tc>
              <w:tc>
                <w:tcPr>
                  <w:tcW w:w="790" w:type="pct"/>
                  <w:vMerge w:val="restart"/>
                  <w:shd w:val="clear" w:color="auto" w:fill="auto"/>
                  <w:vAlign w:val="center"/>
                </w:tcPr>
                <w:p w14:paraId="61DA2A7C">
                  <w:pPr>
                    <w:adjustRightInd w:val="0"/>
                    <w:spacing w:line="276" w:lineRule="auto"/>
                    <w:jc w:val="center"/>
                    <w:rPr>
                      <w:b/>
                      <w:color w:val="auto"/>
                      <w:kern w:val="0"/>
                      <w:szCs w:val="21"/>
                    </w:rPr>
                  </w:pPr>
                  <w:r>
                    <w:rPr>
                      <w:b/>
                      <w:color w:val="auto"/>
                      <w:kern w:val="0"/>
                      <w:szCs w:val="21"/>
                    </w:rPr>
                    <w:t>实测浓度（mg/m</w:t>
                  </w:r>
                  <w:r>
                    <w:rPr>
                      <w:b/>
                      <w:color w:val="auto"/>
                      <w:kern w:val="0"/>
                      <w:szCs w:val="21"/>
                      <w:vertAlign w:val="superscript"/>
                    </w:rPr>
                    <w:t>3</w:t>
                  </w:r>
                  <w:r>
                    <w:rPr>
                      <w:b/>
                      <w:color w:val="auto"/>
                      <w:kern w:val="0"/>
                      <w:szCs w:val="21"/>
                    </w:rPr>
                    <w:t>）</w:t>
                  </w:r>
                </w:p>
              </w:tc>
              <w:tc>
                <w:tcPr>
                  <w:tcW w:w="703" w:type="pct"/>
                  <w:vMerge w:val="restart"/>
                  <w:shd w:val="clear" w:color="auto" w:fill="auto"/>
                  <w:vAlign w:val="center"/>
                </w:tcPr>
                <w:p w14:paraId="1BAC66EC">
                  <w:pPr>
                    <w:adjustRightInd w:val="0"/>
                    <w:spacing w:line="276" w:lineRule="auto"/>
                    <w:jc w:val="center"/>
                    <w:rPr>
                      <w:b/>
                      <w:color w:val="auto"/>
                      <w:kern w:val="0"/>
                      <w:szCs w:val="21"/>
                    </w:rPr>
                  </w:pPr>
                  <w:r>
                    <w:rPr>
                      <w:rFonts w:hint="eastAsia"/>
                      <w:b/>
                      <w:color w:val="auto"/>
                      <w:kern w:val="0"/>
                      <w:szCs w:val="21"/>
                    </w:rPr>
                    <w:t>折算</w:t>
                  </w:r>
                  <w:r>
                    <w:rPr>
                      <w:b/>
                      <w:color w:val="auto"/>
                      <w:kern w:val="0"/>
                      <w:szCs w:val="21"/>
                    </w:rPr>
                    <w:t>浓度（mg/m</w:t>
                  </w:r>
                  <w:r>
                    <w:rPr>
                      <w:b/>
                      <w:color w:val="auto"/>
                      <w:kern w:val="0"/>
                      <w:szCs w:val="21"/>
                      <w:vertAlign w:val="superscript"/>
                    </w:rPr>
                    <w:t>3</w:t>
                  </w:r>
                  <w:r>
                    <w:rPr>
                      <w:b/>
                      <w:color w:val="auto"/>
                      <w:kern w:val="0"/>
                      <w:szCs w:val="21"/>
                    </w:rPr>
                    <w:t>）</w:t>
                  </w:r>
                </w:p>
              </w:tc>
              <w:tc>
                <w:tcPr>
                  <w:tcW w:w="411" w:type="pct"/>
                  <w:vMerge w:val="continue"/>
                  <w:shd w:val="clear" w:color="auto" w:fill="auto"/>
                  <w:vAlign w:val="center"/>
                </w:tcPr>
                <w:p w14:paraId="6500EE64">
                  <w:pPr>
                    <w:adjustRightInd w:val="0"/>
                    <w:spacing w:line="276" w:lineRule="auto"/>
                    <w:jc w:val="center"/>
                    <w:rPr>
                      <w:b/>
                      <w:color w:val="auto"/>
                      <w:kern w:val="0"/>
                      <w:szCs w:val="21"/>
                    </w:rPr>
                  </w:pPr>
                </w:p>
              </w:tc>
            </w:tr>
            <w:tr w14:paraId="4C132EE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Merge w:val="continue"/>
                  <w:vAlign w:val="center"/>
                </w:tcPr>
                <w:p w14:paraId="4673CE13">
                  <w:pPr>
                    <w:adjustRightInd w:val="0"/>
                    <w:spacing w:line="276" w:lineRule="auto"/>
                    <w:jc w:val="center"/>
                    <w:rPr>
                      <w:color w:val="auto"/>
                      <w:kern w:val="0"/>
                      <w:szCs w:val="21"/>
                    </w:rPr>
                  </w:pPr>
                </w:p>
              </w:tc>
              <w:tc>
                <w:tcPr>
                  <w:tcW w:w="653" w:type="pct"/>
                  <w:vAlign w:val="center"/>
                </w:tcPr>
                <w:p w14:paraId="20AFD436">
                  <w:pPr>
                    <w:adjustRightInd w:val="0"/>
                    <w:spacing w:line="276" w:lineRule="auto"/>
                    <w:jc w:val="center"/>
                    <w:rPr>
                      <w:b/>
                      <w:color w:val="auto"/>
                      <w:kern w:val="0"/>
                      <w:szCs w:val="21"/>
                    </w:rPr>
                  </w:pPr>
                  <w:r>
                    <w:rPr>
                      <w:b/>
                      <w:color w:val="auto"/>
                      <w:kern w:val="0"/>
                      <w:szCs w:val="21"/>
                    </w:rPr>
                    <w:t>采样日期</w:t>
                  </w:r>
                </w:p>
              </w:tc>
              <w:tc>
                <w:tcPr>
                  <w:tcW w:w="317" w:type="pct"/>
                  <w:shd w:val="clear" w:color="auto" w:fill="auto"/>
                  <w:vAlign w:val="center"/>
                </w:tcPr>
                <w:p w14:paraId="7634A08D">
                  <w:pPr>
                    <w:adjustRightInd w:val="0"/>
                    <w:spacing w:line="276" w:lineRule="auto"/>
                    <w:jc w:val="center"/>
                    <w:rPr>
                      <w:b/>
                      <w:color w:val="auto"/>
                      <w:kern w:val="0"/>
                      <w:szCs w:val="21"/>
                    </w:rPr>
                  </w:pPr>
                  <w:r>
                    <w:rPr>
                      <w:b/>
                      <w:color w:val="auto"/>
                      <w:szCs w:val="21"/>
                    </w:rPr>
                    <w:t>检测项目</w:t>
                  </w:r>
                </w:p>
              </w:tc>
              <w:tc>
                <w:tcPr>
                  <w:tcW w:w="430" w:type="pct"/>
                  <w:vAlign w:val="center"/>
                </w:tcPr>
                <w:p w14:paraId="709D6ADA">
                  <w:pPr>
                    <w:adjustRightInd w:val="0"/>
                    <w:spacing w:line="276" w:lineRule="auto"/>
                    <w:jc w:val="center"/>
                    <w:rPr>
                      <w:b/>
                      <w:color w:val="auto"/>
                      <w:kern w:val="0"/>
                      <w:szCs w:val="21"/>
                    </w:rPr>
                  </w:pPr>
                  <w:r>
                    <w:rPr>
                      <w:b/>
                      <w:color w:val="auto"/>
                      <w:kern w:val="0"/>
                      <w:szCs w:val="21"/>
                    </w:rPr>
                    <w:t>监测频次</w:t>
                  </w:r>
                </w:p>
              </w:tc>
              <w:tc>
                <w:tcPr>
                  <w:tcW w:w="660" w:type="pct"/>
                  <w:vMerge w:val="continue"/>
                  <w:vAlign w:val="center"/>
                </w:tcPr>
                <w:p w14:paraId="20E1EE29">
                  <w:pPr>
                    <w:adjustRightInd w:val="0"/>
                    <w:spacing w:line="276" w:lineRule="auto"/>
                    <w:jc w:val="center"/>
                    <w:rPr>
                      <w:b/>
                      <w:color w:val="auto"/>
                      <w:kern w:val="0"/>
                      <w:szCs w:val="21"/>
                    </w:rPr>
                  </w:pPr>
                </w:p>
              </w:tc>
              <w:tc>
                <w:tcPr>
                  <w:tcW w:w="528" w:type="pct"/>
                  <w:vMerge w:val="continue"/>
                  <w:vAlign w:val="center"/>
                </w:tcPr>
                <w:p w14:paraId="66C4830F">
                  <w:pPr>
                    <w:adjustRightInd w:val="0"/>
                    <w:spacing w:line="276" w:lineRule="auto"/>
                    <w:jc w:val="center"/>
                    <w:rPr>
                      <w:b/>
                      <w:color w:val="auto"/>
                      <w:kern w:val="0"/>
                      <w:szCs w:val="21"/>
                    </w:rPr>
                  </w:pPr>
                </w:p>
              </w:tc>
              <w:tc>
                <w:tcPr>
                  <w:tcW w:w="790" w:type="pct"/>
                  <w:vMerge w:val="continue"/>
                  <w:shd w:val="clear" w:color="auto" w:fill="auto"/>
                  <w:vAlign w:val="center"/>
                </w:tcPr>
                <w:p w14:paraId="1360A391">
                  <w:pPr>
                    <w:adjustRightInd w:val="0"/>
                    <w:spacing w:line="276" w:lineRule="auto"/>
                    <w:jc w:val="center"/>
                    <w:rPr>
                      <w:b/>
                      <w:color w:val="auto"/>
                      <w:kern w:val="0"/>
                      <w:szCs w:val="21"/>
                    </w:rPr>
                  </w:pPr>
                </w:p>
              </w:tc>
              <w:tc>
                <w:tcPr>
                  <w:tcW w:w="703" w:type="pct"/>
                  <w:vMerge w:val="continue"/>
                  <w:shd w:val="clear" w:color="auto" w:fill="auto"/>
                  <w:vAlign w:val="center"/>
                </w:tcPr>
                <w:p w14:paraId="20727C1C">
                  <w:pPr>
                    <w:adjustRightInd w:val="0"/>
                    <w:spacing w:line="276" w:lineRule="auto"/>
                    <w:jc w:val="center"/>
                    <w:rPr>
                      <w:b/>
                      <w:color w:val="auto"/>
                      <w:kern w:val="0"/>
                      <w:szCs w:val="21"/>
                      <w:vertAlign w:val="superscript"/>
                    </w:rPr>
                  </w:pPr>
                </w:p>
              </w:tc>
              <w:tc>
                <w:tcPr>
                  <w:tcW w:w="411" w:type="pct"/>
                  <w:vMerge w:val="continue"/>
                  <w:shd w:val="clear" w:color="auto" w:fill="auto"/>
                  <w:vAlign w:val="center"/>
                </w:tcPr>
                <w:p w14:paraId="4C76458D">
                  <w:pPr>
                    <w:adjustRightInd w:val="0"/>
                    <w:spacing w:line="276" w:lineRule="auto"/>
                    <w:jc w:val="center"/>
                    <w:rPr>
                      <w:b/>
                      <w:color w:val="auto"/>
                      <w:kern w:val="0"/>
                      <w:szCs w:val="21"/>
                    </w:rPr>
                  </w:pPr>
                </w:p>
              </w:tc>
            </w:tr>
            <w:tr w14:paraId="68DABA8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Merge w:val="restart"/>
                  <w:vAlign w:val="center"/>
                </w:tcPr>
                <w:p w14:paraId="605D0DD3">
                  <w:pPr>
                    <w:adjustRightInd w:val="0"/>
                    <w:spacing w:line="276" w:lineRule="auto"/>
                    <w:jc w:val="center"/>
                    <w:rPr>
                      <w:strike/>
                      <w:color w:val="auto"/>
                      <w:kern w:val="0"/>
                      <w:szCs w:val="21"/>
                    </w:rPr>
                  </w:pPr>
                  <w:r>
                    <w:rPr>
                      <w:rFonts w:hint="eastAsia"/>
                      <w:color w:val="auto"/>
                      <w:kern w:val="0"/>
                      <w:szCs w:val="21"/>
                    </w:rPr>
                    <w:t>DA008（三车间）</w:t>
                  </w:r>
                </w:p>
              </w:tc>
              <w:tc>
                <w:tcPr>
                  <w:tcW w:w="653" w:type="pct"/>
                  <w:vMerge w:val="restart"/>
                  <w:vAlign w:val="center"/>
                </w:tcPr>
                <w:p w14:paraId="20054802">
                  <w:pPr>
                    <w:adjustRightInd w:val="0"/>
                    <w:spacing w:line="276" w:lineRule="auto"/>
                    <w:jc w:val="center"/>
                    <w:rPr>
                      <w:color w:val="auto"/>
                      <w:kern w:val="0"/>
                      <w:szCs w:val="21"/>
                    </w:rPr>
                  </w:pPr>
                  <w:r>
                    <w:rPr>
                      <w:rFonts w:hint="eastAsia"/>
                      <w:color w:val="auto"/>
                      <w:kern w:val="0"/>
                      <w:szCs w:val="21"/>
                    </w:rPr>
                    <w:t>2024.03.08</w:t>
                  </w:r>
                </w:p>
              </w:tc>
              <w:tc>
                <w:tcPr>
                  <w:tcW w:w="317" w:type="pct"/>
                  <w:vMerge w:val="restart"/>
                  <w:shd w:val="clear" w:color="auto" w:fill="auto"/>
                  <w:vAlign w:val="center"/>
                </w:tcPr>
                <w:p w14:paraId="0757DE68">
                  <w:pPr>
                    <w:adjustRightInd w:val="0"/>
                    <w:spacing w:line="276" w:lineRule="auto"/>
                    <w:jc w:val="center"/>
                    <w:rPr>
                      <w:color w:val="auto"/>
                      <w:kern w:val="0"/>
                      <w:szCs w:val="21"/>
                    </w:rPr>
                  </w:pPr>
                  <w:r>
                    <w:rPr>
                      <w:color w:val="auto"/>
                      <w:kern w:val="0"/>
                      <w:szCs w:val="21"/>
                    </w:rPr>
                    <w:t>氟化物</w:t>
                  </w:r>
                </w:p>
              </w:tc>
              <w:tc>
                <w:tcPr>
                  <w:tcW w:w="430" w:type="pct"/>
                  <w:vAlign w:val="center"/>
                </w:tcPr>
                <w:p w14:paraId="14B24C03">
                  <w:pPr>
                    <w:adjustRightInd w:val="0"/>
                    <w:spacing w:line="276" w:lineRule="auto"/>
                    <w:jc w:val="center"/>
                    <w:rPr>
                      <w:color w:val="auto"/>
                      <w:kern w:val="0"/>
                      <w:szCs w:val="21"/>
                    </w:rPr>
                  </w:pPr>
                  <w:r>
                    <w:rPr>
                      <w:rFonts w:hint="eastAsia"/>
                      <w:color w:val="auto"/>
                      <w:kern w:val="0"/>
                      <w:szCs w:val="21"/>
                    </w:rPr>
                    <w:t>第一次</w:t>
                  </w:r>
                </w:p>
              </w:tc>
              <w:tc>
                <w:tcPr>
                  <w:tcW w:w="660" w:type="pct"/>
                  <w:vAlign w:val="center"/>
                </w:tcPr>
                <w:p w14:paraId="6070AFCA">
                  <w:pPr>
                    <w:adjustRightInd w:val="0"/>
                    <w:spacing w:line="276" w:lineRule="auto"/>
                    <w:jc w:val="center"/>
                    <w:rPr>
                      <w:color w:val="auto"/>
                      <w:kern w:val="0"/>
                      <w:szCs w:val="21"/>
                    </w:rPr>
                  </w:pPr>
                  <w:r>
                    <w:rPr>
                      <w:rFonts w:hint="eastAsia"/>
                      <w:color w:val="auto"/>
                      <w:kern w:val="0"/>
                      <w:szCs w:val="21"/>
                    </w:rPr>
                    <w:t>30098</w:t>
                  </w:r>
                </w:p>
              </w:tc>
              <w:tc>
                <w:tcPr>
                  <w:tcW w:w="528" w:type="pct"/>
                  <w:vAlign w:val="center"/>
                </w:tcPr>
                <w:p w14:paraId="2179BEC8">
                  <w:pPr>
                    <w:adjustRightInd w:val="0"/>
                    <w:spacing w:line="276" w:lineRule="auto"/>
                    <w:jc w:val="center"/>
                    <w:rPr>
                      <w:color w:val="auto"/>
                      <w:kern w:val="0"/>
                      <w:szCs w:val="21"/>
                    </w:rPr>
                  </w:pPr>
                  <w:r>
                    <w:rPr>
                      <w:rFonts w:hint="eastAsia"/>
                      <w:color w:val="auto"/>
                      <w:kern w:val="0"/>
                      <w:szCs w:val="21"/>
                    </w:rPr>
                    <w:t>14.3</w:t>
                  </w:r>
                </w:p>
              </w:tc>
              <w:tc>
                <w:tcPr>
                  <w:tcW w:w="790" w:type="pct"/>
                  <w:shd w:val="clear" w:color="auto" w:fill="auto"/>
                  <w:vAlign w:val="center"/>
                </w:tcPr>
                <w:p w14:paraId="7D36A426">
                  <w:pPr>
                    <w:adjustRightInd w:val="0"/>
                    <w:spacing w:line="276" w:lineRule="auto"/>
                    <w:jc w:val="center"/>
                    <w:rPr>
                      <w:color w:val="auto"/>
                      <w:kern w:val="0"/>
                      <w:szCs w:val="21"/>
                    </w:rPr>
                  </w:pPr>
                  <w:r>
                    <w:rPr>
                      <w:rFonts w:hint="eastAsia"/>
                      <w:color w:val="auto"/>
                      <w:kern w:val="0"/>
                      <w:szCs w:val="21"/>
                    </w:rPr>
                    <w:t>0.16</w:t>
                  </w:r>
                </w:p>
              </w:tc>
              <w:tc>
                <w:tcPr>
                  <w:tcW w:w="703" w:type="pct"/>
                  <w:shd w:val="clear" w:color="auto" w:fill="auto"/>
                  <w:vAlign w:val="center"/>
                </w:tcPr>
                <w:p w14:paraId="5360D76D">
                  <w:pPr>
                    <w:adjustRightInd w:val="0"/>
                    <w:spacing w:line="276" w:lineRule="auto"/>
                    <w:jc w:val="center"/>
                    <w:rPr>
                      <w:color w:val="auto"/>
                      <w:kern w:val="0"/>
                      <w:szCs w:val="21"/>
                    </w:rPr>
                  </w:pPr>
                  <w:r>
                    <w:rPr>
                      <w:rFonts w:hint="eastAsia"/>
                      <w:color w:val="auto"/>
                      <w:kern w:val="0"/>
                      <w:szCs w:val="21"/>
                    </w:rPr>
                    <w:t>0.29</w:t>
                  </w:r>
                </w:p>
              </w:tc>
              <w:tc>
                <w:tcPr>
                  <w:tcW w:w="411" w:type="pct"/>
                  <w:vMerge w:val="restart"/>
                  <w:shd w:val="clear" w:color="auto" w:fill="auto"/>
                  <w:vAlign w:val="center"/>
                </w:tcPr>
                <w:p w14:paraId="5EC61222">
                  <w:pPr>
                    <w:adjustRightInd w:val="0"/>
                    <w:spacing w:line="276" w:lineRule="auto"/>
                    <w:jc w:val="center"/>
                    <w:rPr>
                      <w:color w:val="auto"/>
                      <w:kern w:val="0"/>
                      <w:szCs w:val="21"/>
                    </w:rPr>
                  </w:pPr>
                  <w:r>
                    <w:rPr>
                      <w:rFonts w:hint="eastAsia"/>
                      <w:color w:val="auto"/>
                      <w:kern w:val="0"/>
                      <w:szCs w:val="21"/>
                    </w:rPr>
                    <w:t>60</w:t>
                  </w:r>
                </w:p>
              </w:tc>
            </w:tr>
            <w:tr w14:paraId="64B9646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Merge w:val="continue"/>
                  <w:vAlign w:val="center"/>
                </w:tcPr>
                <w:p w14:paraId="308F74D0">
                  <w:pPr>
                    <w:adjustRightInd w:val="0"/>
                    <w:spacing w:line="276" w:lineRule="auto"/>
                    <w:jc w:val="center"/>
                    <w:rPr>
                      <w:color w:val="auto"/>
                      <w:kern w:val="0"/>
                      <w:szCs w:val="21"/>
                    </w:rPr>
                  </w:pPr>
                </w:p>
              </w:tc>
              <w:tc>
                <w:tcPr>
                  <w:tcW w:w="653" w:type="pct"/>
                  <w:vMerge w:val="continue"/>
                  <w:vAlign w:val="center"/>
                </w:tcPr>
                <w:p w14:paraId="5AC6C8E7">
                  <w:pPr>
                    <w:adjustRightInd w:val="0"/>
                    <w:spacing w:line="276" w:lineRule="auto"/>
                    <w:jc w:val="center"/>
                    <w:rPr>
                      <w:color w:val="auto"/>
                      <w:kern w:val="0"/>
                      <w:szCs w:val="21"/>
                    </w:rPr>
                  </w:pPr>
                </w:p>
              </w:tc>
              <w:tc>
                <w:tcPr>
                  <w:tcW w:w="317" w:type="pct"/>
                  <w:vMerge w:val="continue"/>
                  <w:shd w:val="clear" w:color="auto" w:fill="auto"/>
                  <w:vAlign w:val="center"/>
                </w:tcPr>
                <w:p w14:paraId="7ECD737E">
                  <w:pPr>
                    <w:adjustRightInd w:val="0"/>
                    <w:spacing w:line="276" w:lineRule="auto"/>
                    <w:jc w:val="center"/>
                    <w:rPr>
                      <w:color w:val="auto"/>
                      <w:kern w:val="0"/>
                      <w:szCs w:val="21"/>
                    </w:rPr>
                  </w:pPr>
                </w:p>
              </w:tc>
              <w:tc>
                <w:tcPr>
                  <w:tcW w:w="430" w:type="pct"/>
                  <w:vAlign w:val="center"/>
                </w:tcPr>
                <w:p w14:paraId="6D5E4C53">
                  <w:pPr>
                    <w:adjustRightInd w:val="0"/>
                    <w:spacing w:line="276" w:lineRule="auto"/>
                    <w:jc w:val="center"/>
                    <w:rPr>
                      <w:color w:val="auto"/>
                      <w:kern w:val="0"/>
                      <w:szCs w:val="21"/>
                    </w:rPr>
                  </w:pPr>
                  <w:r>
                    <w:rPr>
                      <w:rFonts w:hint="eastAsia"/>
                      <w:color w:val="auto"/>
                      <w:kern w:val="0"/>
                      <w:szCs w:val="21"/>
                    </w:rPr>
                    <w:t>第二次</w:t>
                  </w:r>
                </w:p>
              </w:tc>
              <w:tc>
                <w:tcPr>
                  <w:tcW w:w="660" w:type="pct"/>
                  <w:vAlign w:val="center"/>
                </w:tcPr>
                <w:p w14:paraId="33E4A679">
                  <w:pPr>
                    <w:adjustRightInd w:val="0"/>
                    <w:spacing w:line="276" w:lineRule="auto"/>
                    <w:jc w:val="center"/>
                    <w:rPr>
                      <w:color w:val="auto"/>
                      <w:kern w:val="0"/>
                      <w:szCs w:val="21"/>
                    </w:rPr>
                  </w:pPr>
                  <w:r>
                    <w:rPr>
                      <w:rFonts w:hint="eastAsia"/>
                      <w:color w:val="auto"/>
                      <w:kern w:val="0"/>
                      <w:szCs w:val="21"/>
                    </w:rPr>
                    <w:t>34017</w:t>
                  </w:r>
                </w:p>
              </w:tc>
              <w:tc>
                <w:tcPr>
                  <w:tcW w:w="528" w:type="pct"/>
                  <w:vAlign w:val="center"/>
                </w:tcPr>
                <w:p w14:paraId="5F17EAEE">
                  <w:pPr>
                    <w:adjustRightInd w:val="0"/>
                    <w:spacing w:line="276" w:lineRule="auto"/>
                    <w:jc w:val="center"/>
                    <w:rPr>
                      <w:color w:val="auto"/>
                      <w:kern w:val="0"/>
                      <w:szCs w:val="21"/>
                    </w:rPr>
                  </w:pPr>
                  <w:r>
                    <w:rPr>
                      <w:rFonts w:hint="eastAsia"/>
                      <w:color w:val="auto"/>
                      <w:kern w:val="0"/>
                      <w:szCs w:val="21"/>
                    </w:rPr>
                    <w:t>14.1</w:t>
                  </w:r>
                </w:p>
              </w:tc>
              <w:tc>
                <w:tcPr>
                  <w:tcW w:w="790" w:type="pct"/>
                  <w:shd w:val="clear" w:color="auto" w:fill="auto"/>
                  <w:vAlign w:val="center"/>
                </w:tcPr>
                <w:p w14:paraId="733C6456">
                  <w:pPr>
                    <w:adjustRightInd w:val="0"/>
                    <w:spacing w:line="276" w:lineRule="auto"/>
                    <w:jc w:val="center"/>
                    <w:rPr>
                      <w:color w:val="auto"/>
                      <w:kern w:val="0"/>
                      <w:szCs w:val="21"/>
                    </w:rPr>
                  </w:pPr>
                  <w:r>
                    <w:rPr>
                      <w:rFonts w:hint="eastAsia"/>
                      <w:color w:val="auto"/>
                      <w:kern w:val="0"/>
                      <w:szCs w:val="21"/>
                    </w:rPr>
                    <w:t>0.15</w:t>
                  </w:r>
                </w:p>
              </w:tc>
              <w:tc>
                <w:tcPr>
                  <w:tcW w:w="703" w:type="pct"/>
                  <w:shd w:val="clear" w:color="auto" w:fill="auto"/>
                  <w:vAlign w:val="center"/>
                </w:tcPr>
                <w:p w14:paraId="4193DB12">
                  <w:pPr>
                    <w:adjustRightInd w:val="0"/>
                    <w:spacing w:line="276" w:lineRule="auto"/>
                    <w:jc w:val="center"/>
                    <w:rPr>
                      <w:color w:val="auto"/>
                      <w:kern w:val="0"/>
                      <w:szCs w:val="21"/>
                    </w:rPr>
                  </w:pPr>
                  <w:r>
                    <w:rPr>
                      <w:rFonts w:hint="eastAsia"/>
                      <w:color w:val="auto"/>
                      <w:kern w:val="0"/>
                      <w:szCs w:val="21"/>
                    </w:rPr>
                    <w:t>0.27</w:t>
                  </w:r>
                </w:p>
              </w:tc>
              <w:tc>
                <w:tcPr>
                  <w:tcW w:w="411" w:type="pct"/>
                  <w:vMerge w:val="continue"/>
                  <w:shd w:val="clear" w:color="auto" w:fill="auto"/>
                  <w:vAlign w:val="center"/>
                </w:tcPr>
                <w:p w14:paraId="123E5BCF">
                  <w:pPr>
                    <w:adjustRightInd w:val="0"/>
                    <w:spacing w:line="276" w:lineRule="auto"/>
                    <w:jc w:val="center"/>
                    <w:rPr>
                      <w:color w:val="auto"/>
                      <w:kern w:val="0"/>
                      <w:szCs w:val="21"/>
                    </w:rPr>
                  </w:pPr>
                </w:p>
              </w:tc>
            </w:tr>
            <w:tr w14:paraId="2356E6C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Merge w:val="continue"/>
                  <w:vAlign w:val="center"/>
                </w:tcPr>
                <w:p w14:paraId="4BEAE8FF">
                  <w:pPr>
                    <w:adjustRightInd w:val="0"/>
                    <w:spacing w:line="276" w:lineRule="auto"/>
                    <w:jc w:val="center"/>
                    <w:rPr>
                      <w:color w:val="auto"/>
                      <w:kern w:val="0"/>
                      <w:szCs w:val="21"/>
                    </w:rPr>
                  </w:pPr>
                </w:p>
              </w:tc>
              <w:tc>
                <w:tcPr>
                  <w:tcW w:w="653" w:type="pct"/>
                  <w:vMerge w:val="continue"/>
                  <w:vAlign w:val="center"/>
                </w:tcPr>
                <w:p w14:paraId="70D623CC">
                  <w:pPr>
                    <w:adjustRightInd w:val="0"/>
                    <w:spacing w:line="276" w:lineRule="auto"/>
                    <w:jc w:val="center"/>
                    <w:rPr>
                      <w:color w:val="auto"/>
                      <w:kern w:val="0"/>
                      <w:szCs w:val="21"/>
                    </w:rPr>
                  </w:pPr>
                </w:p>
              </w:tc>
              <w:tc>
                <w:tcPr>
                  <w:tcW w:w="317" w:type="pct"/>
                  <w:vMerge w:val="continue"/>
                  <w:shd w:val="clear" w:color="auto" w:fill="auto"/>
                  <w:vAlign w:val="center"/>
                </w:tcPr>
                <w:p w14:paraId="1CD376F0">
                  <w:pPr>
                    <w:adjustRightInd w:val="0"/>
                    <w:spacing w:line="276" w:lineRule="auto"/>
                    <w:jc w:val="center"/>
                    <w:rPr>
                      <w:color w:val="auto"/>
                      <w:kern w:val="0"/>
                      <w:szCs w:val="21"/>
                    </w:rPr>
                  </w:pPr>
                </w:p>
              </w:tc>
              <w:tc>
                <w:tcPr>
                  <w:tcW w:w="430" w:type="pct"/>
                  <w:vAlign w:val="center"/>
                </w:tcPr>
                <w:p w14:paraId="0E6A4B61">
                  <w:pPr>
                    <w:adjustRightInd w:val="0"/>
                    <w:spacing w:line="276" w:lineRule="auto"/>
                    <w:jc w:val="center"/>
                    <w:rPr>
                      <w:color w:val="auto"/>
                      <w:kern w:val="0"/>
                      <w:szCs w:val="21"/>
                    </w:rPr>
                  </w:pPr>
                  <w:r>
                    <w:rPr>
                      <w:rFonts w:hint="eastAsia"/>
                      <w:color w:val="auto"/>
                      <w:kern w:val="0"/>
                      <w:szCs w:val="21"/>
                    </w:rPr>
                    <w:t>第三次</w:t>
                  </w:r>
                </w:p>
              </w:tc>
              <w:tc>
                <w:tcPr>
                  <w:tcW w:w="660" w:type="pct"/>
                  <w:vAlign w:val="center"/>
                </w:tcPr>
                <w:p w14:paraId="25EA0002">
                  <w:pPr>
                    <w:adjustRightInd w:val="0"/>
                    <w:spacing w:line="276" w:lineRule="auto"/>
                    <w:jc w:val="center"/>
                    <w:rPr>
                      <w:color w:val="auto"/>
                      <w:kern w:val="0"/>
                      <w:szCs w:val="21"/>
                    </w:rPr>
                  </w:pPr>
                  <w:r>
                    <w:rPr>
                      <w:rFonts w:hint="eastAsia"/>
                      <w:color w:val="auto"/>
                      <w:kern w:val="0"/>
                      <w:szCs w:val="21"/>
                    </w:rPr>
                    <w:t>31662</w:t>
                  </w:r>
                </w:p>
              </w:tc>
              <w:tc>
                <w:tcPr>
                  <w:tcW w:w="528" w:type="pct"/>
                  <w:vAlign w:val="center"/>
                </w:tcPr>
                <w:p w14:paraId="1A65CF9C">
                  <w:pPr>
                    <w:adjustRightInd w:val="0"/>
                    <w:spacing w:line="276" w:lineRule="auto"/>
                    <w:jc w:val="center"/>
                    <w:rPr>
                      <w:color w:val="auto"/>
                      <w:kern w:val="0"/>
                      <w:szCs w:val="21"/>
                    </w:rPr>
                  </w:pPr>
                  <w:r>
                    <w:rPr>
                      <w:rFonts w:hint="eastAsia"/>
                      <w:color w:val="auto"/>
                      <w:kern w:val="0"/>
                      <w:szCs w:val="21"/>
                    </w:rPr>
                    <w:t>14.5</w:t>
                  </w:r>
                </w:p>
              </w:tc>
              <w:tc>
                <w:tcPr>
                  <w:tcW w:w="790" w:type="pct"/>
                  <w:shd w:val="clear" w:color="auto" w:fill="auto"/>
                  <w:vAlign w:val="center"/>
                </w:tcPr>
                <w:p w14:paraId="2B4FC0D8">
                  <w:pPr>
                    <w:adjustRightInd w:val="0"/>
                    <w:spacing w:line="276" w:lineRule="auto"/>
                    <w:jc w:val="center"/>
                    <w:rPr>
                      <w:color w:val="auto"/>
                      <w:kern w:val="0"/>
                      <w:szCs w:val="21"/>
                    </w:rPr>
                  </w:pPr>
                  <w:r>
                    <w:rPr>
                      <w:rFonts w:hint="eastAsia"/>
                      <w:color w:val="auto"/>
                      <w:kern w:val="0"/>
                      <w:szCs w:val="21"/>
                    </w:rPr>
                    <w:t>0.18</w:t>
                  </w:r>
                </w:p>
              </w:tc>
              <w:tc>
                <w:tcPr>
                  <w:tcW w:w="703" w:type="pct"/>
                  <w:shd w:val="clear" w:color="auto" w:fill="auto"/>
                  <w:vAlign w:val="center"/>
                </w:tcPr>
                <w:p w14:paraId="524FC5AE">
                  <w:pPr>
                    <w:adjustRightInd w:val="0"/>
                    <w:spacing w:line="276" w:lineRule="auto"/>
                    <w:jc w:val="center"/>
                    <w:rPr>
                      <w:color w:val="auto"/>
                      <w:kern w:val="0"/>
                      <w:szCs w:val="21"/>
                    </w:rPr>
                  </w:pPr>
                  <w:r>
                    <w:rPr>
                      <w:rFonts w:hint="eastAsia"/>
                      <w:color w:val="auto"/>
                      <w:kern w:val="0"/>
                      <w:szCs w:val="21"/>
                    </w:rPr>
                    <w:t>0.34</w:t>
                  </w:r>
                </w:p>
              </w:tc>
              <w:tc>
                <w:tcPr>
                  <w:tcW w:w="411" w:type="pct"/>
                  <w:vMerge w:val="continue"/>
                  <w:shd w:val="clear" w:color="auto" w:fill="auto"/>
                  <w:vAlign w:val="center"/>
                </w:tcPr>
                <w:p w14:paraId="5034AEF2">
                  <w:pPr>
                    <w:adjustRightInd w:val="0"/>
                    <w:spacing w:line="276" w:lineRule="auto"/>
                    <w:jc w:val="center"/>
                    <w:rPr>
                      <w:color w:val="auto"/>
                      <w:kern w:val="0"/>
                      <w:szCs w:val="21"/>
                    </w:rPr>
                  </w:pPr>
                </w:p>
              </w:tc>
            </w:tr>
            <w:tr w14:paraId="0793E80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Merge w:val="continue"/>
                  <w:vAlign w:val="center"/>
                </w:tcPr>
                <w:p w14:paraId="781A2C95">
                  <w:pPr>
                    <w:adjustRightInd w:val="0"/>
                    <w:spacing w:line="276" w:lineRule="auto"/>
                    <w:jc w:val="center"/>
                    <w:rPr>
                      <w:color w:val="auto"/>
                      <w:kern w:val="0"/>
                      <w:szCs w:val="21"/>
                    </w:rPr>
                  </w:pPr>
                </w:p>
              </w:tc>
              <w:tc>
                <w:tcPr>
                  <w:tcW w:w="653" w:type="pct"/>
                  <w:vMerge w:val="continue"/>
                  <w:vAlign w:val="center"/>
                </w:tcPr>
                <w:p w14:paraId="34D7CEFB">
                  <w:pPr>
                    <w:adjustRightInd w:val="0"/>
                    <w:spacing w:line="276" w:lineRule="auto"/>
                    <w:jc w:val="center"/>
                    <w:rPr>
                      <w:color w:val="auto"/>
                      <w:kern w:val="0"/>
                      <w:szCs w:val="21"/>
                    </w:rPr>
                  </w:pPr>
                </w:p>
              </w:tc>
              <w:tc>
                <w:tcPr>
                  <w:tcW w:w="317" w:type="pct"/>
                  <w:vMerge w:val="restart"/>
                  <w:shd w:val="clear" w:color="auto" w:fill="auto"/>
                  <w:vAlign w:val="center"/>
                </w:tcPr>
                <w:p w14:paraId="7437D98B">
                  <w:pPr>
                    <w:adjustRightInd w:val="0"/>
                    <w:spacing w:line="276" w:lineRule="auto"/>
                    <w:jc w:val="center"/>
                    <w:rPr>
                      <w:color w:val="auto"/>
                      <w:kern w:val="0"/>
                      <w:szCs w:val="21"/>
                    </w:rPr>
                  </w:pPr>
                  <w:r>
                    <w:rPr>
                      <w:color w:val="auto"/>
                      <w:kern w:val="0"/>
                      <w:szCs w:val="21"/>
                    </w:rPr>
                    <w:t>烟气黑度</w:t>
                  </w:r>
                </w:p>
              </w:tc>
              <w:tc>
                <w:tcPr>
                  <w:tcW w:w="430" w:type="pct"/>
                  <w:vAlign w:val="center"/>
                </w:tcPr>
                <w:p w14:paraId="0DD1866D">
                  <w:pPr>
                    <w:adjustRightInd w:val="0"/>
                    <w:spacing w:line="276" w:lineRule="auto"/>
                    <w:jc w:val="center"/>
                    <w:rPr>
                      <w:color w:val="auto"/>
                      <w:kern w:val="0"/>
                      <w:szCs w:val="21"/>
                    </w:rPr>
                  </w:pPr>
                  <w:r>
                    <w:rPr>
                      <w:rFonts w:hint="eastAsia"/>
                      <w:color w:val="auto"/>
                      <w:kern w:val="0"/>
                      <w:szCs w:val="21"/>
                    </w:rPr>
                    <w:t>第一次</w:t>
                  </w:r>
                </w:p>
              </w:tc>
              <w:tc>
                <w:tcPr>
                  <w:tcW w:w="660" w:type="pct"/>
                  <w:vAlign w:val="center"/>
                </w:tcPr>
                <w:p w14:paraId="17FAE2DA">
                  <w:pPr>
                    <w:adjustRightInd w:val="0"/>
                    <w:spacing w:line="276" w:lineRule="auto"/>
                    <w:jc w:val="center"/>
                    <w:rPr>
                      <w:color w:val="auto"/>
                      <w:kern w:val="0"/>
                      <w:szCs w:val="21"/>
                    </w:rPr>
                  </w:pPr>
                  <w:r>
                    <w:rPr>
                      <w:rFonts w:hint="eastAsia"/>
                      <w:color w:val="auto"/>
                      <w:kern w:val="0"/>
                      <w:szCs w:val="21"/>
                    </w:rPr>
                    <w:t>/</w:t>
                  </w:r>
                </w:p>
              </w:tc>
              <w:tc>
                <w:tcPr>
                  <w:tcW w:w="528" w:type="pct"/>
                  <w:vAlign w:val="center"/>
                </w:tcPr>
                <w:p w14:paraId="69C8ECFC">
                  <w:pPr>
                    <w:adjustRightInd w:val="0"/>
                    <w:spacing w:line="276" w:lineRule="auto"/>
                    <w:jc w:val="center"/>
                    <w:rPr>
                      <w:color w:val="auto"/>
                      <w:kern w:val="0"/>
                      <w:szCs w:val="21"/>
                    </w:rPr>
                  </w:pPr>
                  <w:r>
                    <w:rPr>
                      <w:rFonts w:hint="eastAsia"/>
                      <w:color w:val="auto"/>
                      <w:kern w:val="0"/>
                      <w:szCs w:val="21"/>
                    </w:rPr>
                    <w:t>/</w:t>
                  </w:r>
                </w:p>
              </w:tc>
              <w:tc>
                <w:tcPr>
                  <w:tcW w:w="790" w:type="pct"/>
                  <w:shd w:val="clear" w:color="auto" w:fill="auto"/>
                  <w:vAlign w:val="center"/>
                </w:tcPr>
                <w:p w14:paraId="62B401E7">
                  <w:pPr>
                    <w:adjustRightInd w:val="0"/>
                    <w:spacing w:line="276" w:lineRule="auto"/>
                    <w:jc w:val="center"/>
                    <w:rPr>
                      <w:color w:val="auto"/>
                      <w:kern w:val="0"/>
                      <w:szCs w:val="21"/>
                    </w:rPr>
                  </w:pPr>
                  <w:r>
                    <w:rPr>
                      <w:color w:val="auto"/>
                      <w:kern w:val="0"/>
                      <w:szCs w:val="21"/>
                    </w:rPr>
                    <w:t>＜</w:t>
                  </w:r>
                  <w:r>
                    <w:rPr>
                      <w:rFonts w:hint="eastAsia"/>
                      <w:color w:val="auto"/>
                      <w:kern w:val="0"/>
                      <w:szCs w:val="21"/>
                    </w:rPr>
                    <w:t>1级</w:t>
                  </w:r>
                </w:p>
              </w:tc>
              <w:tc>
                <w:tcPr>
                  <w:tcW w:w="703" w:type="pct"/>
                  <w:shd w:val="clear" w:color="auto" w:fill="auto"/>
                  <w:vAlign w:val="center"/>
                </w:tcPr>
                <w:p w14:paraId="15B231CA">
                  <w:pPr>
                    <w:adjustRightInd w:val="0"/>
                    <w:spacing w:line="276" w:lineRule="auto"/>
                    <w:jc w:val="center"/>
                    <w:rPr>
                      <w:color w:val="auto"/>
                      <w:kern w:val="0"/>
                      <w:szCs w:val="21"/>
                    </w:rPr>
                  </w:pPr>
                  <w:r>
                    <w:rPr>
                      <w:rFonts w:hint="eastAsia"/>
                      <w:color w:val="auto"/>
                      <w:kern w:val="0"/>
                      <w:szCs w:val="21"/>
                    </w:rPr>
                    <w:t>/</w:t>
                  </w:r>
                </w:p>
              </w:tc>
              <w:tc>
                <w:tcPr>
                  <w:tcW w:w="411" w:type="pct"/>
                  <w:vMerge w:val="continue"/>
                  <w:shd w:val="clear" w:color="auto" w:fill="auto"/>
                  <w:vAlign w:val="center"/>
                </w:tcPr>
                <w:p w14:paraId="3AE44F7E">
                  <w:pPr>
                    <w:adjustRightInd w:val="0"/>
                    <w:spacing w:line="276" w:lineRule="auto"/>
                    <w:jc w:val="center"/>
                    <w:rPr>
                      <w:color w:val="auto"/>
                      <w:kern w:val="0"/>
                      <w:szCs w:val="21"/>
                    </w:rPr>
                  </w:pPr>
                </w:p>
              </w:tc>
            </w:tr>
            <w:tr w14:paraId="3555126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jc w:val="center"/>
              </w:trPr>
              <w:tc>
                <w:tcPr>
                  <w:tcW w:w="508" w:type="pct"/>
                  <w:vMerge w:val="continue"/>
                  <w:vAlign w:val="center"/>
                </w:tcPr>
                <w:p w14:paraId="6FFDF08B">
                  <w:pPr>
                    <w:adjustRightInd w:val="0"/>
                    <w:spacing w:line="276" w:lineRule="auto"/>
                    <w:jc w:val="center"/>
                    <w:rPr>
                      <w:color w:val="auto"/>
                      <w:kern w:val="0"/>
                      <w:szCs w:val="21"/>
                    </w:rPr>
                  </w:pPr>
                </w:p>
              </w:tc>
              <w:tc>
                <w:tcPr>
                  <w:tcW w:w="653" w:type="pct"/>
                  <w:vMerge w:val="continue"/>
                  <w:vAlign w:val="center"/>
                </w:tcPr>
                <w:p w14:paraId="408555BC">
                  <w:pPr>
                    <w:adjustRightInd w:val="0"/>
                    <w:spacing w:line="276" w:lineRule="auto"/>
                    <w:jc w:val="center"/>
                    <w:rPr>
                      <w:color w:val="auto"/>
                      <w:kern w:val="0"/>
                      <w:szCs w:val="21"/>
                    </w:rPr>
                  </w:pPr>
                </w:p>
              </w:tc>
              <w:tc>
                <w:tcPr>
                  <w:tcW w:w="317" w:type="pct"/>
                  <w:vMerge w:val="continue"/>
                  <w:shd w:val="clear" w:color="auto" w:fill="auto"/>
                  <w:vAlign w:val="center"/>
                </w:tcPr>
                <w:p w14:paraId="3A41E82B">
                  <w:pPr>
                    <w:adjustRightInd w:val="0"/>
                    <w:spacing w:line="276" w:lineRule="auto"/>
                    <w:jc w:val="center"/>
                    <w:rPr>
                      <w:color w:val="auto"/>
                      <w:kern w:val="0"/>
                      <w:szCs w:val="21"/>
                    </w:rPr>
                  </w:pPr>
                </w:p>
              </w:tc>
              <w:tc>
                <w:tcPr>
                  <w:tcW w:w="430" w:type="pct"/>
                  <w:vAlign w:val="center"/>
                </w:tcPr>
                <w:p w14:paraId="606AE18F">
                  <w:pPr>
                    <w:adjustRightInd w:val="0"/>
                    <w:spacing w:line="276" w:lineRule="auto"/>
                    <w:jc w:val="center"/>
                    <w:rPr>
                      <w:color w:val="auto"/>
                      <w:kern w:val="0"/>
                      <w:szCs w:val="21"/>
                    </w:rPr>
                  </w:pPr>
                  <w:r>
                    <w:rPr>
                      <w:rFonts w:hint="eastAsia"/>
                      <w:color w:val="auto"/>
                      <w:kern w:val="0"/>
                      <w:szCs w:val="21"/>
                    </w:rPr>
                    <w:t>第二次</w:t>
                  </w:r>
                </w:p>
              </w:tc>
              <w:tc>
                <w:tcPr>
                  <w:tcW w:w="660" w:type="pct"/>
                  <w:vAlign w:val="center"/>
                </w:tcPr>
                <w:p w14:paraId="2255C212">
                  <w:pPr>
                    <w:adjustRightInd w:val="0"/>
                    <w:spacing w:line="276" w:lineRule="auto"/>
                    <w:jc w:val="center"/>
                    <w:rPr>
                      <w:color w:val="auto"/>
                      <w:kern w:val="0"/>
                      <w:szCs w:val="21"/>
                    </w:rPr>
                  </w:pPr>
                  <w:r>
                    <w:rPr>
                      <w:rFonts w:hint="eastAsia"/>
                      <w:color w:val="auto"/>
                      <w:kern w:val="0"/>
                      <w:szCs w:val="21"/>
                    </w:rPr>
                    <w:t>/</w:t>
                  </w:r>
                </w:p>
              </w:tc>
              <w:tc>
                <w:tcPr>
                  <w:tcW w:w="528" w:type="pct"/>
                  <w:vAlign w:val="center"/>
                </w:tcPr>
                <w:p w14:paraId="11E60566">
                  <w:pPr>
                    <w:adjustRightInd w:val="0"/>
                    <w:spacing w:line="276" w:lineRule="auto"/>
                    <w:jc w:val="center"/>
                    <w:rPr>
                      <w:color w:val="auto"/>
                      <w:kern w:val="0"/>
                      <w:szCs w:val="21"/>
                    </w:rPr>
                  </w:pPr>
                  <w:r>
                    <w:rPr>
                      <w:rFonts w:hint="eastAsia"/>
                      <w:color w:val="auto"/>
                      <w:kern w:val="0"/>
                      <w:szCs w:val="21"/>
                    </w:rPr>
                    <w:t>/</w:t>
                  </w:r>
                </w:p>
              </w:tc>
              <w:tc>
                <w:tcPr>
                  <w:tcW w:w="790" w:type="pct"/>
                  <w:shd w:val="clear" w:color="auto" w:fill="auto"/>
                  <w:vAlign w:val="center"/>
                </w:tcPr>
                <w:p w14:paraId="28277294">
                  <w:pPr>
                    <w:adjustRightInd w:val="0"/>
                    <w:spacing w:line="276" w:lineRule="auto"/>
                    <w:jc w:val="center"/>
                    <w:rPr>
                      <w:color w:val="auto"/>
                      <w:kern w:val="0"/>
                      <w:szCs w:val="21"/>
                    </w:rPr>
                  </w:pPr>
                  <w:r>
                    <w:rPr>
                      <w:color w:val="auto"/>
                      <w:kern w:val="0"/>
                      <w:szCs w:val="21"/>
                    </w:rPr>
                    <w:t>＜</w:t>
                  </w:r>
                  <w:r>
                    <w:rPr>
                      <w:rFonts w:hint="eastAsia"/>
                      <w:color w:val="auto"/>
                      <w:kern w:val="0"/>
                      <w:szCs w:val="21"/>
                    </w:rPr>
                    <w:t>1级</w:t>
                  </w:r>
                </w:p>
              </w:tc>
              <w:tc>
                <w:tcPr>
                  <w:tcW w:w="703" w:type="pct"/>
                  <w:shd w:val="clear" w:color="auto" w:fill="auto"/>
                  <w:vAlign w:val="center"/>
                </w:tcPr>
                <w:p w14:paraId="6A8E9AA0">
                  <w:pPr>
                    <w:adjustRightInd w:val="0"/>
                    <w:spacing w:line="276" w:lineRule="auto"/>
                    <w:jc w:val="center"/>
                    <w:rPr>
                      <w:color w:val="auto"/>
                      <w:kern w:val="0"/>
                      <w:szCs w:val="21"/>
                    </w:rPr>
                  </w:pPr>
                  <w:r>
                    <w:rPr>
                      <w:rFonts w:hint="eastAsia"/>
                      <w:color w:val="auto"/>
                      <w:kern w:val="0"/>
                      <w:szCs w:val="21"/>
                    </w:rPr>
                    <w:t>/</w:t>
                  </w:r>
                </w:p>
              </w:tc>
              <w:tc>
                <w:tcPr>
                  <w:tcW w:w="411" w:type="pct"/>
                  <w:vMerge w:val="continue"/>
                  <w:shd w:val="clear" w:color="auto" w:fill="auto"/>
                  <w:vAlign w:val="center"/>
                </w:tcPr>
                <w:p w14:paraId="263C9B0B">
                  <w:pPr>
                    <w:adjustRightInd w:val="0"/>
                    <w:spacing w:line="276" w:lineRule="auto"/>
                    <w:jc w:val="center"/>
                    <w:rPr>
                      <w:color w:val="auto"/>
                      <w:kern w:val="0"/>
                      <w:szCs w:val="21"/>
                    </w:rPr>
                  </w:pPr>
                </w:p>
              </w:tc>
            </w:tr>
            <w:tr w14:paraId="2529504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17" w:hRule="atLeast"/>
                <w:jc w:val="center"/>
              </w:trPr>
              <w:tc>
                <w:tcPr>
                  <w:tcW w:w="508" w:type="pct"/>
                  <w:vMerge w:val="continue"/>
                  <w:vAlign w:val="center"/>
                </w:tcPr>
                <w:p w14:paraId="463D3DEC">
                  <w:pPr>
                    <w:adjustRightInd w:val="0"/>
                    <w:spacing w:line="276" w:lineRule="auto"/>
                    <w:jc w:val="center"/>
                    <w:rPr>
                      <w:color w:val="auto"/>
                      <w:kern w:val="0"/>
                      <w:szCs w:val="21"/>
                    </w:rPr>
                  </w:pPr>
                </w:p>
              </w:tc>
              <w:tc>
                <w:tcPr>
                  <w:tcW w:w="653" w:type="pct"/>
                  <w:vMerge w:val="continue"/>
                  <w:vAlign w:val="center"/>
                </w:tcPr>
                <w:p w14:paraId="7B699D1F">
                  <w:pPr>
                    <w:adjustRightInd w:val="0"/>
                    <w:spacing w:line="276" w:lineRule="auto"/>
                    <w:jc w:val="center"/>
                    <w:rPr>
                      <w:color w:val="auto"/>
                      <w:kern w:val="0"/>
                      <w:szCs w:val="21"/>
                    </w:rPr>
                  </w:pPr>
                </w:p>
              </w:tc>
              <w:tc>
                <w:tcPr>
                  <w:tcW w:w="317" w:type="pct"/>
                  <w:vMerge w:val="continue"/>
                  <w:shd w:val="clear" w:color="auto" w:fill="auto"/>
                  <w:vAlign w:val="center"/>
                </w:tcPr>
                <w:p w14:paraId="2481D227">
                  <w:pPr>
                    <w:adjustRightInd w:val="0"/>
                    <w:spacing w:line="276" w:lineRule="auto"/>
                    <w:jc w:val="center"/>
                    <w:rPr>
                      <w:color w:val="auto"/>
                      <w:kern w:val="0"/>
                      <w:szCs w:val="21"/>
                    </w:rPr>
                  </w:pPr>
                </w:p>
              </w:tc>
              <w:tc>
                <w:tcPr>
                  <w:tcW w:w="430" w:type="pct"/>
                  <w:vAlign w:val="center"/>
                </w:tcPr>
                <w:p w14:paraId="58345C12">
                  <w:pPr>
                    <w:adjustRightInd w:val="0"/>
                    <w:spacing w:line="276" w:lineRule="auto"/>
                    <w:jc w:val="center"/>
                    <w:rPr>
                      <w:color w:val="auto"/>
                      <w:kern w:val="0"/>
                      <w:szCs w:val="21"/>
                    </w:rPr>
                  </w:pPr>
                  <w:r>
                    <w:rPr>
                      <w:rFonts w:hint="eastAsia"/>
                      <w:color w:val="auto"/>
                      <w:kern w:val="0"/>
                      <w:szCs w:val="21"/>
                    </w:rPr>
                    <w:t>第三次</w:t>
                  </w:r>
                </w:p>
              </w:tc>
              <w:tc>
                <w:tcPr>
                  <w:tcW w:w="660" w:type="pct"/>
                  <w:vAlign w:val="center"/>
                </w:tcPr>
                <w:p w14:paraId="7B191641">
                  <w:pPr>
                    <w:adjustRightInd w:val="0"/>
                    <w:spacing w:line="276" w:lineRule="auto"/>
                    <w:jc w:val="center"/>
                    <w:rPr>
                      <w:color w:val="auto"/>
                      <w:kern w:val="0"/>
                      <w:szCs w:val="21"/>
                    </w:rPr>
                  </w:pPr>
                  <w:r>
                    <w:rPr>
                      <w:rFonts w:hint="eastAsia"/>
                      <w:color w:val="auto"/>
                      <w:kern w:val="0"/>
                      <w:szCs w:val="21"/>
                    </w:rPr>
                    <w:t>/</w:t>
                  </w:r>
                </w:p>
              </w:tc>
              <w:tc>
                <w:tcPr>
                  <w:tcW w:w="528" w:type="pct"/>
                  <w:vAlign w:val="center"/>
                </w:tcPr>
                <w:p w14:paraId="72605E8B">
                  <w:pPr>
                    <w:adjustRightInd w:val="0"/>
                    <w:spacing w:line="276" w:lineRule="auto"/>
                    <w:jc w:val="center"/>
                    <w:rPr>
                      <w:color w:val="auto"/>
                      <w:kern w:val="0"/>
                      <w:szCs w:val="21"/>
                    </w:rPr>
                  </w:pPr>
                  <w:r>
                    <w:rPr>
                      <w:rFonts w:hint="eastAsia"/>
                      <w:color w:val="auto"/>
                      <w:kern w:val="0"/>
                      <w:szCs w:val="21"/>
                    </w:rPr>
                    <w:t>/</w:t>
                  </w:r>
                </w:p>
              </w:tc>
              <w:tc>
                <w:tcPr>
                  <w:tcW w:w="790" w:type="pct"/>
                  <w:shd w:val="clear" w:color="auto" w:fill="auto"/>
                  <w:vAlign w:val="center"/>
                </w:tcPr>
                <w:p w14:paraId="03437F2E">
                  <w:pPr>
                    <w:adjustRightInd w:val="0"/>
                    <w:spacing w:line="276" w:lineRule="auto"/>
                    <w:jc w:val="center"/>
                    <w:rPr>
                      <w:color w:val="auto"/>
                      <w:kern w:val="0"/>
                      <w:szCs w:val="21"/>
                    </w:rPr>
                  </w:pPr>
                  <w:r>
                    <w:rPr>
                      <w:color w:val="auto"/>
                      <w:kern w:val="0"/>
                      <w:szCs w:val="21"/>
                    </w:rPr>
                    <w:t>＜</w:t>
                  </w:r>
                  <w:r>
                    <w:rPr>
                      <w:rFonts w:hint="eastAsia"/>
                      <w:color w:val="auto"/>
                      <w:kern w:val="0"/>
                      <w:szCs w:val="21"/>
                    </w:rPr>
                    <w:t>1级</w:t>
                  </w:r>
                </w:p>
              </w:tc>
              <w:tc>
                <w:tcPr>
                  <w:tcW w:w="703" w:type="pct"/>
                  <w:shd w:val="clear" w:color="auto" w:fill="auto"/>
                  <w:vAlign w:val="center"/>
                </w:tcPr>
                <w:p w14:paraId="0320E687">
                  <w:pPr>
                    <w:adjustRightInd w:val="0"/>
                    <w:spacing w:line="276" w:lineRule="auto"/>
                    <w:jc w:val="center"/>
                    <w:rPr>
                      <w:color w:val="auto"/>
                      <w:kern w:val="0"/>
                      <w:szCs w:val="21"/>
                    </w:rPr>
                  </w:pPr>
                  <w:r>
                    <w:rPr>
                      <w:rFonts w:hint="eastAsia"/>
                      <w:color w:val="auto"/>
                      <w:kern w:val="0"/>
                      <w:szCs w:val="21"/>
                    </w:rPr>
                    <w:t>/</w:t>
                  </w:r>
                </w:p>
              </w:tc>
              <w:tc>
                <w:tcPr>
                  <w:tcW w:w="411" w:type="pct"/>
                  <w:vMerge w:val="continue"/>
                  <w:shd w:val="clear" w:color="auto" w:fill="auto"/>
                  <w:vAlign w:val="center"/>
                </w:tcPr>
                <w:p w14:paraId="1FF28874">
                  <w:pPr>
                    <w:adjustRightInd w:val="0"/>
                    <w:spacing w:line="276" w:lineRule="auto"/>
                    <w:jc w:val="center"/>
                    <w:rPr>
                      <w:color w:val="auto"/>
                      <w:kern w:val="0"/>
                      <w:szCs w:val="21"/>
                    </w:rPr>
                  </w:pPr>
                </w:p>
              </w:tc>
            </w:tr>
          </w:tbl>
          <w:p w14:paraId="228CEE64">
            <w:pPr>
              <w:pStyle w:val="16"/>
              <w:spacing w:after="0" w:line="360" w:lineRule="auto"/>
              <w:ind w:left="0" w:leftChars="0" w:firstLine="480" w:firstLineChars="200"/>
              <w:rPr>
                <w:color w:val="auto"/>
                <w:sz w:val="24"/>
                <w:szCs w:val="32"/>
              </w:rPr>
            </w:pPr>
            <w:r>
              <w:rPr>
                <w:rFonts w:hint="eastAsia"/>
                <w:color w:val="auto"/>
                <w:kern w:val="0"/>
                <w:sz w:val="24"/>
              </w:rPr>
              <w:t>根据监测结果，3#废气排放口废气污染物</w:t>
            </w:r>
            <w:r>
              <w:rPr>
                <w:rFonts w:hint="eastAsia"/>
                <w:color w:val="auto"/>
                <w:sz w:val="24"/>
                <w:szCs w:val="32"/>
              </w:rPr>
              <w:t>氟化物、烟气黑度均满足</w:t>
            </w:r>
            <w:r>
              <w:rPr>
                <w:color w:val="auto"/>
                <w:sz w:val="24"/>
                <w:szCs w:val="32"/>
              </w:rPr>
              <w:t>《工业炉窑大气污染物排放标准》（</w:t>
            </w:r>
            <w:r>
              <w:rPr>
                <w:rFonts w:hint="eastAsia"/>
                <w:color w:val="auto"/>
                <w:sz w:val="24"/>
                <w:szCs w:val="32"/>
              </w:rPr>
              <w:t>GB9078-1996</w:t>
            </w:r>
            <w:r>
              <w:rPr>
                <w:color w:val="auto"/>
                <w:sz w:val="24"/>
                <w:szCs w:val="32"/>
              </w:rPr>
              <w:t>）中</w:t>
            </w:r>
            <w:r>
              <w:rPr>
                <w:rFonts w:hint="eastAsia"/>
                <w:color w:val="auto"/>
                <w:sz w:val="24"/>
                <w:szCs w:val="32"/>
              </w:rPr>
              <w:t>排放限值要求（氟化物：6</w:t>
            </w:r>
            <w:r>
              <w:rPr>
                <w:color w:val="auto"/>
                <w:sz w:val="24"/>
                <w:szCs w:val="32"/>
              </w:rPr>
              <w:t>mg/m</w:t>
            </w:r>
            <w:r>
              <w:rPr>
                <w:color w:val="auto"/>
                <w:sz w:val="24"/>
                <w:szCs w:val="32"/>
                <w:vertAlign w:val="superscript"/>
              </w:rPr>
              <w:t>3</w:t>
            </w:r>
            <w:r>
              <w:rPr>
                <w:color w:val="auto"/>
                <w:sz w:val="24"/>
                <w:szCs w:val="32"/>
              </w:rPr>
              <w:t>、</w:t>
            </w:r>
            <w:r>
              <w:rPr>
                <w:rFonts w:hint="eastAsia"/>
                <w:color w:val="auto"/>
                <w:sz w:val="24"/>
                <w:szCs w:val="32"/>
              </w:rPr>
              <w:t>林格曼黑度：1级）。</w:t>
            </w:r>
          </w:p>
          <w:p w14:paraId="0CE20DA7">
            <w:pPr>
              <w:pStyle w:val="219"/>
              <w:ind w:firstLine="480" w:firstLineChars="200"/>
              <w:rPr>
                <w:color w:val="auto"/>
              </w:rPr>
            </w:pPr>
            <w:r>
              <w:rPr>
                <w:rFonts w:hint="eastAsia"/>
                <w:color w:val="auto"/>
                <w:kern w:val="0"/>
              </w:rPr>
              <w:t>根据2024年企业重点排污单位自动监测与基础数据库系统在线监控数据分析，3#废气排放口废气污染物颗粒物排放浓度可满足</w:t>
            </w:r>
            <w:r>
              <w:rPr>
                <w:rFonts w:hint="eastAsia"/>
                <w:color w:val="auto"/>
              </w:rPr>
              <w:t>《工业炉窑大气污染综合治理方案》（环大气[2019]56号）限值要求（30mg/m</w:t>
            </w:r>
            <w:r>
              <w:rPr>
                <w:color w:val="auto"/>
                <w:vertAlign w:val="superscript"/>
              </w:rPr>
              <w:t>3</w:t>
            </w:r>
            <w:r>
              <w:rPr>
                <w:rFonts w:hint="eastAsia"/>
                <w:color w:val="auto"/>
              </w:rPr>
              <w:t>），也可满足《安徽省玻璃工业大气污染物排放标准》（DB34/4295-2022）表1限值要求（颗粒物：20mg/m</w:t>
            </w:r>
            <w:r>
              <w:rPr>
                <w:rFonts w:hint="eastAsia"/>
                <w:color w:val="auto"/>
                <w:vertAlign w:val="superscript"/>
              </w:rPr>
              <w:t>3</w:t>
            </w:r>
            <w:r>
              <w:rPr>
                <w:rFonts w:hint="eastAsia"/>
                <w:color w:val="auto"/>
              </w:rPr>
              <w:t>）；</w:t>
            </w:r>
            <w:r>
              <w:rPr>
                <w:rFonts w:hint="eastAsia"/>
                <w:color w:val="auto"/>
                <w:kern w:val="0"/>
              </w:rPr>
              <w:t>二氧化硫排放浓度可满足</w:t>
            </w:r>
            <w:r>
              <w:rPr>
                <w:rFonts w:hint="eastAsia"/>
                <w:color w:val="auto"/>
              </w:rPr>
              <w:t>《工业炉窑大气污染物排放标准》（GB9078-1996）中表4二级标准要求相关限值要求（二氧化硫：200mg/m</w:t>
            </w:r>
            <w:r>
              <w:rPr>
                <w:color w:val="auto"/>
                <w:vertAlign w:val="superscript"/>
              </w:rPr>
              <w:t>3</w:t>
            </w:r>
            <w:r>
              <w:rPr>
                <w:rFonts w:hint="eastAsia"/>
                <w:color w:val="auto"/>
              </w:rPr>
              <w:t>），也可满足《安徽省玻璃工业大气污染物排放标准》（DB34/4295-2022）表1限值要求（二氧化硫：100mg/m</w:t>
            </w:r>
            <w:r>
              <w:rPr>
                <w:rFonts w:hint="eastAsia"/>
                <w:color w:val="auto"/>
                <w:vertAlign w:val="superscript"/>
              </w:rPr>
              <w:t>3</w:t>
            </w:r>
            <w:r>
              <w:rPr>
                <w:rFonts w:hint="eastAsia"/>
                <w:color w:val="auto"/>
              </w:rPr>
              <w:t>）；</w:t>
            </w:r>
            <w:r>
              <w:rPr>
                <w:rFonts w:hint="eastAsia"/>
                <w:color w:val="auto"/>
                <w:kern w:val="0"/>
              </w:rPr>
              <w:t>氮氧化物排放浓度</w:t>
            </w:r>
            <w:r>
              <w:rPr>
                <w:rFonts w:hint="eastAsia"/>
                <w:color w:val="auto"/>
              </w:rPr>
              <w:t>可满足《关于印发</w:t>
            </w:r>
            <w:r>
              <w:rPr>
                <w:color w:val="auto"/>
              </w:rPr>
              <w:t>&lt;</w:t>
            </w:r>
            <w:r>
              <w:rPr>
                <w:rFonts w:hint="eastAsia"/>
                <w:color w:val="auto"/>
              </w:rPr>
              <w:t>淮南市工业窑炉污染综合整治专项行动方案</w:t>
            </w:r>
            <w:r>
              <w:rPr>
                <w:color w:val="auto"/>
              </w:rPr>
              <w:t>&gt;</w:t>
            </w:r>
            <w:r>
              <w:rPr>
                <w:rFonts w:hint="eastAsia"/>
                <w:color w:val="auto"/>
              </w:rPr>
              <w:t>的通知》（淮环通〔2019〕143号文）相关限值要求（氮氧化物：400mg/m</w:t>
            </w:r>
            <w:r>
              <w:rPr>
                <w:color w:val="auto"/>
                <w:vertAlign w:val="superscript"/>
              </w:rPr>
              <w:t>3</w:t>
            </w:r>
            <w:r>
              <w:rPr>
                <w:rFonts w:hint="eastAsia"/>
                <w:color w:val="auto"/>
              </w:rPr>
              <w:t>），也可满足《安徽省玻璃工业大气污染物排放标准》（DB34/4295-2022）表1限值要求（氮氧化物：200mg/m</w:t>
            </w:r>
            <w:r>
              <w:rPr>
                <w:rFonts w:hint="eastAsia"/>
                <w:color w:val="auto"/>
                <w:vertAlign w:val="superscript"/>
              </w:rPr>
              <w:t>3</w:t>
            </w:r>
            <w:r>
              <w:rPr>
                <w:rFonts w:hint="eastAsia"/>
                <w:color w:val="auto"/>
              </w:rPr>
              <w:t>）</w:t>
            </w:r>
            <w:r>
              <w:rPr>
                <w:rFonts w:hint="eastAsia"/>
                <w:color w:val="auto"/>
                <w:szCs w:val="32"/>
              </w:rPr>
              <w:t>。</w:t>
            </w:r>
          </w:p>
          <w:p w14:paraId="79BA12C8">
            <w:pPr>
              <w:pStyle w:val="16"/>
              <w:spacing w:after="0" w:line="360" w:lineRule="auto"/>
              <w:ind w:left="0" w:leftChars="0" w:firstLine="480" w:firstLineChars="200"/>
              <w:rPr>
                <w:color w:val="auto"/>
                <w:kern w:val="0"/>
                <w:sz w:val="24"/>
              </w:rPr>
            </w:pPr>
            <w:r>
              <w:rPr>
                <w:rFonts w:hint="eastAsia"/>
                <w:color w:val="auto"/>
                <w:kern w:val="0"/>
                <w:sz w:val="24"/>
              </w:rPr>
              <w:t>4）4#废气排放口（DA009）</w:t>
            </w:r>
          </w:p>
          <w:p w14:paraId="14BCD80B">
            <w:pPr>
              <w:pStyle w:val="16"/>
              <w:spacing w:after="0" w:line="360" w:lineRule="auto"/>
              <w:ind w:left="0" w:leftChars="0" w:firstLine="480" w:firstLineChars="200"/>
              <w:rPr>
                <w:color w:val="auto"/>
                <w:sz w:val="24"/>
                <w:szCs w:val="32"/>
              </w:rPr>
            </w:pPr>
            <w:r>
              <w:rPr>
                <w:rFonts w:hint="eastAsia"/>
                <w:color w:val="auto"/>
                <w:kern w:val="0"/>
                <w:sz w:val="24"/>
              </w:rPr>
              <w:t>根据安徽澳林检测技术有限公司于2024年3月8日对4#废气排放口（DA009）监测（报告编号：安澳检[2024]（03048）号），监测结果详见下表</w:t>
            </w:r>
            <w:r>
              <w:rPr>
                <w:rFonts w:hint="eastAsia"/>
                <w:color w:val="auto"/>
                <w:sz w:val="24"/>
                <w:szCs w:val="32"/>
              </w:rPr>
              <w:t>。</w:t>
            </w:r>
          </w:p>
          <w:p w14:paraId="1474469B">
            <w:pPr>
              <w:pStyle w:val="16"/>
              <w:spacing w:after="0" w:line="360" w:lineRule="auto"/>
              <w:ind w:left="0" w:leftChars="0" w:firstLine="480" w:firstLineChars="200"/>
              <w:jc w:val="center"/>
              <w:rPr>
                <w:color w:val="auto"/>
                <w:kern w:val="0"/>
                <w:sz w:val="24"/>
              </w:rPr>
            </w:pPr>
            <w:r>
              <w:rPr>
                <w:rFonts w:hAnsi="黑体" w:eastAsia="黑体"/>
                <w:color w:val="auto"/>
                <w:sz w:val="24"/>
              </w:rPr>
              <w:t>表</w:t>
            </w:r>
            <w:r>
              <w:rPr>
                <w:rFonts w:hint="eastAsia" w:eastAsia="黑体"/>
                <w:color w:val="auto"/>
                <w:sz w:val="24"/>
              </w:rPr>
              <w:t>26</w:t>
            </w:r>
            <w:r>
              <w:rPr>
                <w:rFonts w:eastAsia="黑体"/>
                <w:color w:val="auto"/>
                <w:sz w:val="24"/>
              </w:rPr>
              <w:t xml:space="preserve"> </w:t>
            </w:r>
            <w:r>
              <w:rPr>
                <w:rFonts w:hint="eastAsia" w:eastAsia="黑体"/>
                <w:color w:val="auto"/>
                <w:sz w:val="24"/>
              </w:rPr>
              <w:t xml:space="preserve"> </w:t>
            </w:r>
            <w:r>
              <w:rPr>
                <w:rFonts w:hint="eastAsia" w:eastAsia="黑体"/>
                <w:color w:val="auto"/>
                <w:kern w:val="0"/>
                <w:sz w:val="24"/>
              </w:rPr>
              <w:t>4</w:t>
            </w:r>
            <w:r>
              <w:rPr>
                <w:rFonts w:eastAsia="黑体"/>
                <w:color w:val="auto"/>
                <w:kern w:val="0"/>
                <w:sz w:val="24"/>
              </w:rPr>
              <w:t>#</w:t>
            </w:r>
            <w:r>
              <w:rPr>
                <w:rFonts w:hAnsi="黑体" w:eastAsia="黑体"/>
                <w:color w:val="auto"/>
                <w:kern w:val="0"/>
                <w:sz w:val="24"/>
              </w:rPr>
              <w:t>废气排放口有组织废气检测结果统计</w:t>
            </w:r>
          </w:p>
          <w:tbl>
            <w:tblPr>
              <w:tblStyle w:val="34"/>
              <w:tblW w:w="8184"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01"/>
              <w:gridCol w:w="851"/>
              <w:gridCol w:w="850"/>
              <w:gridCol w:w="1067"/>
              <w:gridCol w:w="1143"/>
              <w:gridCol w:w="1308"/>
              <w:gridCol w:w="1311"/>
              <w:gridCol w:w="853"/>
            </w:tblGrid>
            <w:tr w14:paraId="6C0F39C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01" w:type="dxa"/>
                  <w:vMerge w:val="restart"/>
                  <w:shd w:val="clear" w:color="auto" w:fill="auto"/>
                  <w:vAlign w:val="center"/>
                </w:tcPr>
                <w:p w14:paraId="7D70E642">
                  <w:pPr>
                    <w:adjustRightInd w:val="0"/>
                    <w:spacing w:line="276" w:lineRule="auto"/>
                    <w:jc w:val="center"/>
                    <w:rPr>
                      <w:b/>
                      <w:color w:val="auto"/>
                      <w:kern w:val="0"/>
                      <w:szCs w:val="21"/>
                    </w:rPr>
                  </w:pPr>
                  <w:r>
                    <w:rPr>
                      <w:b/>
                      <w:color w:val="auto"/>
                      <w:kern w:val="0"/>
                      <w:szCs w:val="21"/>
                    </w:rPr>
                    <w:t>监测点位</w:t>
                  </w:r>
                </w:p>
              </w:tc>
              <w:tc>
                <w:tcPr>
                  <w:tcW w:w="2768" w:type="dxa"/>
                  <w:gridSpan w:val="3"/>
                  <w:vMerge w:val="restart"/>
                  <w:vAlign w:val="center"/>
                </w:tcPr>
                <w:p w14:paraId="60DB94E1">
                  <w:pPr>
                    <w:adjustRightInd w:val="0"/>
                    <w:spacing w:line="276" w:lineRule="auto"/>
                    <w:jc w:val="center"/>
                    <w:rPr>
                      <w:b/>
                      <w:color w:val="auto"/>
                      <w:kern w:val="0"/>
                      <w:szCs w:val="21"/>
                    </w:rPr>
                  </w:pPr>
                  <w:r>
                    <w:rPr>
                      <w:b/>
                      <w:color w:val="auto"/>
                      <w:kern w:val="0"/>
                      <w:szCs w:val="21"/>
                    </w:rPr>
                    <w:t>监测内容</w:t>
                  </w:r>
                </w:p>
              </w:tc>
              <w:tc>
                <w:tcPr>
                  <w:tcW w:w="3762" w:type="dxa"/>
                  <w:gridSpan w:val="3"/>
                  <w:vAlign w:val="center"/>
                </w:tcPr>
                <w:p w14:paraId="519E63C6">
                  <w:pPr>
                    <w:adjustRightInd w:val="0"/>
                    <w:spacing w:line="276" w:lineRule="auto"/>
                    <w:jc w:val="center"/>
                    <w:rPr>
                      <w:b/>
                      <w:color w:val="auto"/>
                      <w:kern w:val="0"/>
                      <w:szCs w:val="21"/>
                    </w:rPr>
                  </w:pPr>
                  <w:r>
                    <w:rPr>
                      <w:b/>
                      <w:color w:val="auto"/>
                      <w:kern w:val="0"/>
                      <w:szCs w:val="21"/>
                    </w:rPr>
                    <w:t>监测数据</w:t>
                  </w:r>
                </w:p>
              </w:tc>
              <w:tc>
                <w:tcPr>
                  <w:tcW w:w="853" w:type="dxa"/>
                  <w:vMerge w:val="restart"/>
                  <w:shd w:val="clear" w:color="auto" w:fill="auto"/>
                  <w:vAlign w:val="center"/>
                </w:tcPr>
                <w:p w14:paraId="0B118BC4">
                  <w:pPr>
                    <w:adjustRightInd w:val="0"/>
                    <w:spacing w:line="276" w:lineRule="auto"/>
                    <w:jc w:val="center"/>
                    <w:rPr>
                      <w:b/>
                      <w:color w:val="auto"/>
                      <w:kern w:val="0"/>
                      <w:szCs w:val="21"/>
                    </w:rPr>
                  </w:pPr>
                  <w:r>
                    <w:rPr>
                      <w:b/>
                      <w:color w:val="auto"/>
                      <w:kern w:val="0"/>
                      <w:szCs w:val="21"/>
                    </w:rPr>
                    <w:t>排气筒高度（m）</w:t>
                  </w:r>
                </w:p>
              </w:tc>
            </w:tr>
            <w:tr w14:paraId="0FAE3A5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801" w:type="dxa"/>
                  <w:vMerge w:val="continue"/>
                  <w:shd w:val="clear" w:color="auto" w:fill="auto"/>
                  <w:vAlign w:val="center"/>
                </w:tcPr>
                <w:p w14:paraId="584F7F84">
                  <w:pPr>
                    <w:adjustRightInd w:val="0"/>
                    <w:spacing w:line="276" w:lineRule="auto"/>
                    <w:jc w:val="center"/>
                    <w:rPr>
                      <w:color w:val="auto"/>
                      <w:kern w:val="0"/>
                      <w:szCs w:val="21"/>
                    </w:rPr>
                  </w:pPr>
                </w:p>
              </w:tc>
              <w:tc>
                <w:tcPr>
                  <w:tcW w:w="2768" w:type="dxa"/>
                  <w:gridSpan w:val="3"/>
                  <w:vMerge w:val="continue"/>
                  <w:vAlign w:val="center"/>
                </w:tcPr>
                <w:p w14:paraId="52FA343E">
                  <w:pPr>
                    <w:adjustRightInd w:val="0"/>
                    <w:spacing w:line="276" w:lineRule="auto"/>
                    <w:jc w:val="center"/>
                    <w:rPr>
                      <w:b/>
                      <w:color w:val="auto"/>
                      <w:kern w:val="0"/>
                      <w:szCs w:val="21"/>
                    </w:rPr>
                  </w:pPr>
                </w:p>
              </w:tc>
              <w:tc>
                <w:tcPr>
                  <w:tcW w:w="1143" w:type="dxa"/>
                  <w:vMerge w:val="restart"/>
                  <w:vAlign w:val="center"/>
                </w:tcPr>
                <w:p w14:paraId="6F21528A">
                  <w:pPr>
                    <w:adjustRightInd w:val="0"/>
                    <w:spacing w:line="276" w:lineRule="auto"/>
                    <w:jc w:val="center"/>
                    <w:rPr>
                      <w:b/>
                      <w:color w:val="auto"/>
                      <w:kern w:val="0"/>
                      <w:szCs w:val="21"/>
                    </w:rPr>
                  </w:pPr>
                  <w:r>
                    <w:rPr>
                      <w:b/>
                      <w:color w:val="auto"/>
                      <w:kern w:val="0"/>
                      <w:szCs w:val="21"/>
                    </w:rPr>
                    <w:t>标干流量（m</w:t>
                  </w:r>
                  <w:r>
                    <w:rPr>
                      <w:rFonts w:hint="eastAsia"/>
                      <w:b/>
                      <w:color w:val="auto"/>
                      <w:kern w:val="0"/>
                      <w:szCs w:val="21"/>
                      <w:vertAlign w:val="superscript"/>
                    </w:rPr>
                    <w:t>3</w:t>
                  </w:r>
                  <w:r>
                    <w:rPr>
                      <w:rFonts w:hint="eastAsia"/>
                      <w:b/>
                      <w:color w:val="auto"/>
                      <w:kern w:val="0"/>
                      <w:szCs w:val="21"/>
                    </w:rPr>
                    <w:t>/h</w:t>
                  </w:r>
                  <w:r>
                    <w:rPr>
                      <w:b/>
                      <w:color w:val="auto"/>
                      <w:kern w:val="0"/>
                      <w:szCs w:val="21"/>
                    </w:rPr>
                    <w:t>）</w:t>
                  </w:r>
                </w:p>
              </w:tc>
              <w:tc>
                <w:tcPr>
                  <w:tcW w:w="1308" w:type="dxa"/>
                  <w:vMerge w:val="restart"/>
                  <w:shd w:val="clear" w:color="auto" w:fill="auto"/>
                  <w:vAlign w:val="center"/>
                </w:tcPr>
                <w:p w14:paraId="04C263A2">
                  <w:pPr>
                    <w:adjustRightInd w:val="0"/>
                    <w:spacing w:line="276" w:lineRule="auto"/>
                    <w:jc w:val="center"/>
                    <w:rPr>
                      <w:b/>
                      <w:color w:val="auto"/>
                      <w:kern w:val="0"/>
                      <w:szCs w:val="21"/>
                    </w:rPr>
                  </w:pPr>
                  <w:r>
                    <w:rPr>
                      <w:rFonts w:hint="eastAsia"/>
                      <w:b/>
                      <w:color w:val="auto"/>
                      <w:kern w:val="0"/>
                      <w:szCs w:val="21"/>
                    </w:rPr>
                    <w:t>排放</w:t>
                  </w:r>
                  <w:r>
                    <w:rPr>
                      <w:b/>
                      <w:color w:val="auto"/>
                      <w:kern w:val="0"/>
                      <w:szCs w:val="21"/>
                    </w:rPr>
                    <w:t>浓度（mg/m</w:t>
                  </w:r>
                  <w:r>
                    <w:rPr>
                      <w:b/>
                      <w:color w:val="auto"/>
                      <w:kern w:val="0"/>
                      <w:szCs w:val="21"/>
                      <w:vertAlign w:val="superscript"/>
                    </w:rPr>
                    <w:t>3</w:t>
                  </w:r>
                  <w:r>
                    <w:rPr>
                      <w:b/>
                      <w:color w:val="auto"/>
                      <w:kern w:val="0"/>
                      <w:szCs w:val="21"/>
                    </w:rPr>
                    <w:t>）</w:t>
                  </w:r>
                </w:p>
              </w:tc>
              <w:tc>
                <w:tcPr>
                  <w:tcW w:w="1311" w:type="dxa"/>
                  <w:vMerge w:val="restart"/>
                  <w:shd w:val="clear" w:color="auto" w:fill="auto"/>
                  <w:vAlign w:val="center"/>
                </w:tcPr>
                <w:p w14:paraId="637180D4">
                  <w:pPr>
                    <w:adjustRightInd w:val="0"/>
                    <w:spacing w:line="276" w:lineRule="auto"/>
                    <w:jc w:val="center"/>
                    <w:rPr>
                      <w:b/>
                      <w:color w:val="auto"/>
                      <w:kern w:val="0"/>
                      <w:szCs w:val="21"/>
                    </w:rPr>
                  </w:pPr>
                  <w:r>
                    <w:rPr>
                      <w:rFonts w:hint="eastAsia"/>
                      <w:b/>
                      <w:color w:val="auto"/>
                      <w:kern w:val="0"/>
                      <w:szCs w:val="21"/>
                    </w:rPr>
                    <w:t>排放速率</w:t>
                  </w:r>
                  <w:r>
                    <w:rPr>
                      <w:b/>
                      <w:color w:val="auto"/>
                      <w:kern w:val="0"/>
                      <w:szCs w:val="21"/>
                    </w:rPr>
                    <w:t>（kg/h）</w:t>
                  </w:r>
                </w:p>
              </w:tc>
              <w:tc>
                <w:tcPr>
                  <w:tcW w:w="853" w:type="dxa"/>
                  <w:vMerge w:val="continue"/>
                  <w:shd w:val="clear" w:color="auto" w:fill="auto"/>
                  <w:vAlign w:val="center"/>
                </w:tcPr>
                <w:p w14:paraId="2157D396">
                  <w:pPr>
                    <w:adjustRightInd w:val="0"/>
                    <w:spacing w:line="276" w:lineRule="auto"/>
                    <w:jc w:val="center"/>
                    <w:rPr>
                      <w:b/>
                      <w:color w:val="auto"/>
                      <w:kern w:val="0"/>
                      <w:szCs w:val="21"/>
                    </w:rPr>
                  </w:pPr>
                </w:p>
              </w:tc>
            </w:tr>
            <w:tr w14:paraId="6B7A81A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01" w:type="dxa"/>
                  <w:vMerge w:val="continue"/>
                  <w:vAlign w:val="center"/>
                </w:tcPr>
                <w:p w14:paraId="4CDC980A">
                  <w:pPr>
                    <w:adjustRightInd w:val="0"/>
                    <w:spacing w:line="276" w:lineRule="auto"/>
                    <w:jc w:val="center"/>
                    <w:rPr>
                      <w:color w:val="auto"/>
                      <w:kern w:val="0"/>
                      <w:szCs w:val="21"/>
                    </w:rPr>
                  </w:pPr>
                </w:p>
              </w:tc>
              <w:tc>
                <w:tcPr>
                  <w:tcW w:w="851" w:type="dxa"/>
                  <w:vAlign w:val="center"/>
                </w:tcPr>
                <w:p w14:paraId="15B72481">
                  <w:pPr>
                    <w:adjustRightInd w:val="0"/>
                    <w:spacing w:line="276" w:lineRule="auto"/>
                    <w:jc w:val="center"/>
                    <w:rPr>
                      <w:b/>
                      <w:color w:val="auto"/>
                      <w:kern w:val="0"/>
                      <w:szCs w:val="21"/>
                    </w:rPr>
                  </w:pPr>
                  <w:r>
                    <w:rPr>
                      <w:b/>
                      <w:color w:val="auto"/>
                      <w:kern w:val="0"/>
                      <w:szCs w:val="21"/>
                    </w:rPr>
                    <w:t>采样日期</w:t>
                  </w:r>
                </w:p>
              </w:tc>
              <w:tc>
                <w:tcPr>
                  <w:tcW w:w="850" w:type="dxa"/>
                  <w:shd w:val="clear" w:color="auto" w:fill="auto"/>
                  <w:vAlign w:val="center"/>
                </w:tcPr>
                <w:p w14:paraId="54305669">
                  <w:pPr>
                    <w:adjustRightInd w:val="0"/>
                    <w:spacing w:line="276" w:lineRule="auto"/>
                    <w:jc w:val="center"/>
                    <w:rPr>
                      <w:b/>
                      <w:color w:val="auto"/>
                      <w:kern w:val="0"/>
                      <w:szCs w:val="21"/>
                    </w:rPr>
                  </w:pPr>
                  <w:r>
                    <w:rPr>
                      <w:b/>
                      <w:color w:val="auto"/>
                      <w:szCs w:val="21"/>
                    </w:rPr>
                    <w:t>检测项目</w:t>
                  </w:r>
                </w:p>
              </w:tc>
              <w:tc>
                <w:tcPr>
                  <w:tcW w:w="1067" w:type="dxa"/>
                  <w:vAlign w:val="center"/>
                </w:tcPr>
                <w:p w14:paraId="63DEDAE6">
                  <w:pPr>
                    <w:adjustRightInd w:val="0"/>
                    <w:spacing w:line="276" w:lineRule="auto"/>
                    <w:jc w:val="center"/>
                    <w:rPr>
                      <w:b/>
                      <w:color w:val="auto"/>
                      <w:kern w:val="0"/>
                      <w:szCs w:val="21"/>
                    </w:rPr>
                  </w:pPr>
                  <w:r>
                    <w:rPr>
                      <w:b/>
                      <w:color w:val="auto"/>
                      <w:kern w:val="0"/>
                      <w:szCs w:val="21"/>
                    </w:rPr>
                    <w:t>监测频次</w:t>
                  </w:r>
                </w:p>
              </w:tc>
              <w:tc>
                <w:tcPr>
                  <w:tcW w:w="1143" w:type="dxa"/>
                  <w:vMerge w:val="continue"/>
                  <w:vAlign w:val="center"/>
                </w:tcPr>
                <w:p w14:paraId="5ECF7718">
                  <w:pPr>
                    <w:adjustRightInd w:val="0"/>
                    <w:spacing w:line="276" w:lineRule="auto"/>
                    <w:jc w:val="center"/>
                    <w:rPr>
                      <w:b/>
                      <w:color w:val="auto"/>
                      <w:kern w:val="0"/>
                      <w:szCs w:val="21"/>
                    </w:rPr>
                  </w:pPr>
                </w:p>
              </w:tc>
              <w:tc>
                <w:tcPr>
                  <w:tcW w:w="1308" w:type="dxa"/>
                  <w:vMerge w:val="continue"/>
                  <w:shd w:val="clear" w:color="auto" w:fill="auto"/>
                  <w:vAlign w:val="center"/>
                </w:tcPr>
                <w:p w14:paraId="7E0F3EDF">
                  <w:pPr>
                    <w:adjustRightInd w:val="0"/>
                    <w:spacing w:line="276" w:lineRule="auto"/>
                    <w:jc w:val="center"/>
                    <w:rPr>
                      <w:b/>
                      <w:color w:val="auto"/>
                      <w:kern w:val="0"/>
                      <w:szCs w:val="21"/>
                    </w:rPr>
                  </w:pPr>
                </w:p>
              </w:tc>
              <w:tc>
                <w:tcPr>
                  <w:tcW w:w="1311" w:type="dxa"/>
                  <w:vMerge w:val="continue"/>
                  <w:shd w:val="clear" w:color="auto" w:fill="auto"/>
                  <w:vAlign w:val="center"/>
                </w:tcPr>
                <w:p w14:paraId="6A81D6B2">
                  <w:pPr>
                    <w:adjustRightInd w:val="0"/>
                    <w:spacing w:line="276" w:lineRule="auto"/>
                    <w:jc w:val="center"/>
                    <w:rPr>
                      <w:b/>
                      <w:color w:val="auto"/>
                      <w:kern w:val="0"/>
                      <w:szCs w:val="21"/>
                      <w:vertAlign w:val="superscript"/>
                    </w:rPr>
                  </w:pPr>
                </w:p>
              </w:tc>
              <w:tc>
                <w:tcPr>
                  <w:tcW w:w="853" w:type="dxa"/>
                  <w:vMerge w:val="continue"/>
                  <w:shd w:val="clear" w:color="auto" w:fill="auto"/>
                  <w:vAlign w:val="center"/>
                </w:tcPr>
                <w:p w14:paraId="567A85A7">
                  <w:pPr>
                    <w:adjustRightInd w:val="0"/>
                    <w:spacing w:line="276" w:lineRule="auto"/>
                    <w:jc w:val="center"/>
                    <w:rPr>
                      <w:b/>
                      <w:color w:val="auto"/>
                      <w:kern w:val="0"/>
                      <w:szCs w:val="21"/>
                    </w:rPr>
                  </w:pPr>
                </w:p>
              </w:tc>
            </w:tr>
            <w:tr w14:paraId="052A22E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01" w:type="dxa"/>
                  <w:vMerge w:val="restart"/>
                  <w:vAlign w:val="center"/>
                </w:tcPr>
                <w:p w14:paraId="0877F118">
                  <w:pPr>
                    <w:adjustRightInd w:val="0"/>
                    <w:spacing w:line="276" w:lineRule="auto"/>
                    <w:jc w:val="center"/>
                    <w:rPr>
                      <w:strike/>
                      <w:color w:val="auto"/>
                      <w:kern w:val="0"/>
                      <w:szCs w:val="21"/>
                    </w:rPr>
                  </w:pPr>
                  <w:r>
                    <w:rPr>
                      <w:rFonts w:hint="eastAsia"/>
                      <w:color w:val="auto"/>
                      <w:kern w:val="0"/>
                      <w:szCs w:val="21"/>
                    </w:rPr>
                    <w:t>DA009（加工车间）</w:t>
                  </w:r>
                </w:p>
              </w:tc>
              <w:tc>
                <w:tcPr>
                  <w:tcW w:w="851" w:type="dxa"/>
                  <w:vMerge w:val="restart"/>
                  <w:vAlign w:val="center"/>
                </w:tcPr>
                <w:p w14:paraId="23448433">
                  <w:pPr>
                    <w:adjustRightInd w:val="0"/>
                    <w:spacing w:line="276" w:lineRule="auto"/>
                    <w:jc w:val="center"/>
                    <w:rPr>
                      <w:color w:val="auto"/>
                      <w:kern w:val="0"/>
                      <w:szCs w:val="21"/>
                    </w:rPr>
                  </w:pPr>
                  <w:r>
                    <w:rPr>
                      <w:rFonts w:hint="eastAsia"/>
                      <w:color w:val="auto"/>
                      <w:kern w:val="0"/>
                      <w:szCs w:val="21"/>
                    </w:rPr>
                    <w:t>2024.03.08</w:t>
                  </w:r>
                </w:p>
              </w:tc>
              <w:tc>
                <w:tcPr>
                  <w:tcW w:w="850" w:type="dxa"/>
                  <w:vMerge w:val="restart"/>
                  <w:shd w:val="clear" w:color="auto" w:fill="auto"/>
                  <w:vAlign w:val="center"/>
                </w:tcPr>
                <w:p w14:paraId="198483C8">
                  <w:pPr>
                    <w:adjustRightInd w:val="0"/>
                    <w:spacing w:line="276" w:lineRule="auto"/>
                    <w:jc w:val="center"/>
                    <w:rPr>
                      <w:color w:val="auto"/>
                      <w:kern w:val="0"/>
                      <w:szCs w:val="21"/>
                    </w:rPr>
                  </w:pPr>
                  <w:r>
                    <w:rPr>
                      <w:color w:val="auto"/>
                      <w:kern w:val="0"/>
                      <w:szCs w:val="21"/>
                    </w:rPr>
                    <w:t>颗粒物</w:t>
                  </w:r>
                </w:p>
              </w:tc>
              <w:tc>
                <w:tcPr>
                  <w:tcW w:w="1067" w:type="dxa"/>
                  <w:vAlign w:val="center"/>
                </w:tcPr>
                <w:p w14:paraId="5D7F31ED">
                  <w:pPr>
                    <w:adjustRightInd w:val="0"/>
                    <w:spacing w:line="276" w:lineRule="auto"/>
                    <w:jc w:val="center"/>
                    <w:rPr>
                      <w:color w:val="auto"/>
                      <w:kern w:val="0"/>
                      <w:szCs w:val="21"/>
                    </w:rPr>
                  </w:pPr>
                  <w:r>
                    <w:rPr>
                      <w:rFonts w:hint="eastAsia"/>
                      <w:color w:val="auto"/>
                      <w:kern w:val="0"/>
                      <w:szCs w:val="21"/>
                    </w:rPr>
                    <w:t>第一次</w:t>
                  </w:r>
                </w:p>
              </w:tc>
              <w:tc>
                <w:tcPr>
                  <w:tcW w:w="1143" w:type="dxa"/>
                  <w:vAlign w:val="center"/>
                </w:tcPr>
                <w:p w14:paraId="65C3D812">
                  <w:pPr>
                    <w:adjustRightInd w:val="0"/>
                    <w:spacing w:line="276" w:lineRule="auto"/>
                    <w:jc w:val="center"/>
                    <w:rPr>
                      <w:color w:val="auto"/>
                      <w:kern w:val="0"/>
                      <w:szCs w:val="21"/>
                    </w:rPr>
                  </w:pPr>
                  <w:r>
                    <w:rPr>
                      <w:rFonts w:hint="eastAsia"/>
                      <w:color w:val="auto"/>
                      <w:kern w:val="0"/>
                      <w:szCs w:val="21"/>
                    </w:rPr>
                    <w:t>11384</w:t>
                  </w:r>
                </w:p>
              </w:tc>
              <w:tc>
                <w:tcPr>
                  <w:tcW w:w="1308" w:type="dxa"/>
                  <w:shd w:val="clear" w:color="auto" w:fill="auto"/>
                  <w:vAlign w:val="center"/>
                </w:tcPr>
                <w:p w14:paraId="3797A214">
                  <w:pPr>
                    <w:adjustRightInd w:val="0"/>
                    <w:spacing w:line="276" w:lineRule="auto"/>
                    <w:jc w:val="center"/>
                    <w:rPr>
                      <w:color w:val="auto"/>
                      <w:kern w:val="0"/>
                      <w:szCs w:val="21"/>
                    </w:rPr>
                  </w:pPr>
                  <w:r>
                    <w:rPr>
                      <w:rFonts w:hint="eastAsia"/>
                      <w:color w:val="auto"/>
                      <w:kern w:val="0"/>
                      <w:szCs w:val="21"/>
                    </w:rPr>
                    <w:t>23.6</w:t>
                  </w:r>
                </w:p>
              </w:tc>
              <w:tc>
                <w:tcPr>
                  <w:tcW w:w="1311" w:type="dxa"/>
                  <w:shd w:val="clear" w:color="auto" w:fill="auto"/>
                  <w:vAlign w:val="center"/>
                </w:tcPr>
                <w:p w14:paraId="735221A6">
                  <w:pPr>
                    <w:adjustRightInd w:val="0"/>
                    <w:spacing w:line="276" w:lineRule="auto"/>
                    <w:jc w:val="center"/>
                    <w:rPr>
                      <w:color w:val="auto"/>
                      <w:kern w:val="0"/>
                      <w:szCs w:val="21"/>
                    </w:rPr>
                  </w:pPr>
                  <w:r>
                    <w:rPr>
                      <w:rFonts w:hint="eastAsia"/>
                      <w:color w:val="auto"/>
                      <w:kern w:val="0"/>
                      <w:szCs w:val="21"/>
                    </w:rPr>
                    <w:t>0.269</w:t>
                  </w:r>
                </w:p>
              </w:tc>
              <w:tc>
                <w:tcPr>
                  <w:tcW w:w="853" w:type="dxa"/>
                  <w:vMerge w:val="restart"/>
                  <w:shd w:val="clear" w:color="auto" w:fill="auto"/>
                  <w:vAlign w:val="center"/>
                </w:tcPr>
                <w:p w14:paraId="4F74E2E9">
                  <w:pPr>
                    <w:adjustRightInd w:val="0"/>
                    <w:spacing w:line="276" w:lineRule="auto"/>
                    <w:jc w:val="center"/>
                    <w:rPr>
                      <w:color w:val="auto"/>
                      <w:kern w:val="0"/>
                      <w:szCs w:val="21"/>
                    </w:rPr>
                  </w:pPr>
                  <w:r>
                    <w:rPr>
                      <w:rFonts w:hint="eastAsia"/>
                      <w:color w:val="auto"/>
                      <w:kern w:val="0"/>
                      <w:szCs w:val="21"/>
                    </w:rPr>
                    <w:t>45</w:t>
                  </w:r>
                </w:p>
              </w:tc>
            </w:tr>
            <w:tr w14:paraId="545364E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01" w:type="dxa"/>
                  <w:vMerge w:val="continue"/>
                  <w:vAlign w:val="center"/>
                </w:tcPr>
                <w:p w14:paraId="5DEAD798">
                  <w:pPr>
                    <w:adjustRightInd w:val="0"/>
                    <w:spacing w:line="276" w:lineRule="auto"/>
                    <w:jc w:val="center"/>
                    <w:rPr>
                      <w:color w:val="auto"/>
                      <w:kern w:val="0"/>
                      <w:szCs w:val="21"/>
                    </w:rPr>
                  </w:pPr>
                </w:p>
              </w:tc>
              <w:tc>
                <w:tcPr>
                  <w:tcW w:w="851" w:type="dxa"/>
                  <w:vMerge w:val="continue"/>
                  <w:vAlign w:val="center"/>
                </w:tcPr>
                <w:p w14:paraId="2EF7A8A8">
                  <w:pPr>
                    <w:adjustRightInd w:val="0"/>
                    <w:spacing w:line="276" w:lineRule="auto"/>
                    <w:jc w:val="center"/>
                    <w:rPr>
                      <w:color w:val="auto"/>
                      <w:kern w:val="0"/>
                      <w:szCs w:val="21"/>
                    </w:rPr>
                  </w:pPr>
                </w:p>
              </w:tc>
              <w:tc>
                <w:tcPr>
                  <w:tcW w:w="850" w:type="dxa"/>
                  <w:vMerge w:val="continue"/>
                  <w:shd w:val="clear" w:color="auto" w:fill="auto"/>
                  <w:vAlign w:val="center"/>
                </w:tcPr>
                <w:p w14:paraId="193BB9B2">
                  <w:pPr>
                    <w:adjustRightInd w:val="0"/>
                    <w:spacing w:line="276" w:lineRule="auto"/>
                    <w:jc w:val="center"/>
                    <w:rPr>
                      <w:color w:val="auto"/>
                      <w:kern w:val="0"/>
                      <w:szCs w:val="21"/>
                    </w:rPr>
                  </w:pPr>
                </w:p>
              </w:tc>
              <w:tc>
                <w:tcPr>
                  <w:tcW w:w="1067" w:type="dxa"/>
                  <w:vAlign w:val="center"/>
                </w:tcPr>
                <w:p w14:paraId="112DB62F">
                  <w:pPr>
                    <w:adjustRightInd w:val="0"/>
                    <w:spacing w:line="276" w:lineRule="auto"/>
                    <w:jc w:val="center"/>
                    <w:rPr>
                      <w:color w:val="auto"/>
                      <w:kern w:val="0"/>
                      <w:szCs w:val="21"/>
                    </w:rPr>
                  </w:pPr>
                  <w:r>
                    <w:rPr>
                      <w:rFonts w:hint="eastAsia"/>
                      <w:color w:val="auto"/>
                      <w:kern w:val="0"/>
                      <w:szCs w:val="21"/>
                    </w:rPr>
                    <w:t>第二次</w:t>
                  </w:r>
                </w:p>
              </w:tc>
              <w:tc>
                <w:tcPr>
                  <w:tcW w:w="1143" w:type="dxa"/>
                  <w:vAlign w:val="center"/>
                </w:tcPr>
                <w:p w14:paraId="24A381F5">
                  <w:pPr>
                    <w:adjustRightInd w:val="0"/>
                    <w:spacing w:line="276" w:lineRule="auto"/>
                    <w:jc w:val="center"/>
                    <w:rPr>
                      <w:color w:val="auto"/>
                      <w:kern w:val="0"/>
                      <w:szCs w:val="21"/>
                    </w:rPr>
                  </w:pPr>
                  <w:r>
                    <w:rPr>
                      <w:rFonts w:hint="eastAsia"/>
                      <w:color w:val="auto"/>
                      <w:kern w:val="0"/>
                      <w:szCs w:val="21"/>
                    </w:rPr>
                    <w:t>11565</w:t>
                  </w:r>
                </w:p>
              </w:tc>
              <w:tc>
                <w:tcPr>
                  <w:tcW w:w="1308" w:type="dxa"/>
                  <w:shd w:val="clear" w:color="auto" w:fill="auto"/>
                  <w:vAlign w:val="center"/>
                </w:tcPr>
                <w:p w14:paraId="593FD993">
                  <w:pPr>
                    <w:adjustRightInd w:val="0"/>
                    <w:spacing w:line="276" w:lineRule="auto"/>
                    <w:jc w:val="center"/>
                    <w:rPr>
                      <w:color w:val="auto"/>
                      <w:kern w:val="0"/>
                      <w:szCs w:val="21"/>
                    </w:rPr>
                  </w:pPr>
                  <w:r>
                    <w:rPr>
                      <w:rFonts w:hint="eastAsia"/>
                      <w:color w:val="auto"/>
                      <w:kern w:val="0"/>
                      <w:szCs w:val="21"/>
                    </w:rPr>
                    <w:t>28.5</w:t>
                  </w:r>
                </w:p>
              </w:tc>
              <w:tc>
                <w:tcPr>
                  <w:tcW w:w="1311" w:type="dxa"/>
                  <w:shd w:val="clear" w:color="auto" w:fill="auto"/>
                  <w:vAlign w:val="center"/>
                </w:tcPr>
                <w:p w14:paraId="27C555C9">
                  <w:pPr>
                    <w:adjustRightInd w:val="0"/>
                    <w:spacing w:line="276" w:lineRule="auto"/>
                    <w:jc w:val="center"/>
                    <w:rPr>
                      <w:color w:val="auto"/>
                      <w:kern w:val="0"/>
                      <w:szCs w:val="21"/>
                    </w:rPr>
                  </w:pPr>
                  <w:r>
                    <w:rPr>
                      <w:rFonts w:hint="eastAsia"/>
                      <w:color w:val="auto"/>
                      <w:kern w:val="0"/>
                      <w:szCs w:val="21"/>
                    </w:rPr>
                    <w:t>0.330</w:t>
                  </w:r>
                </w:p>
              </w:tc>
              <w:tc>
                <w:tcPr>
                  <w:tcW w:w="853" w:type="dxa"/>
                  <w:vMerge w:val="continue"/>
                  <w:shd w:val="clear" w:color="auto" w:fill="auto"/>
                  <w:vAlign w:val="center"/>
                </w:tcPr>
                <w:p w14:paraId="34D93C76">
                  <w:pPr>
                    <w:adjustRightInd w:val="0"/>
                    <w:spacing w:line="276" w:lineRule="auto"/>
                    <w:jc w:val="center"/>
                    <w:rPr>
                      <w:color w:val="auto"/>
                      <w:kern w:val="0"/>
                      <w:szCs w:val="21"/>
                    </w:rPr>
                  </w:pPr>
                </w:p>
              </w:tc>
            </w:tr>
            <w:tr w14:paraId="0EDEC0D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01" w:type="dxa"/>
                  <w:vMerge w:val="continue"/>
                  <w:vAlign w:val="center"/>
                </w:tcPr>
                <w:p w14:paraId="058DB704">
                  <w:pPr>
                    <w:adjustRightInd w:val="0"/>
                    <w:spacing w:line="276" w:lineRule="auto"/>
                    <w:jc w:val="center"/>
                    <w:rPr>
                      <w:color w:val="auto"/>
                      <w:kern w:val="0"/>
                      <w:szCs w:val="21"/>
                    </w:rPr>
                  </w:pPr>
                </w:p>
              </w:tc>
              <w:tc>
                <w:tcPr>
                  <w:tcW w:w="851" w:type="dxa"/>
                  <w:vMerge w:val="continue"/>
                  <w:vAlign w:val="center"/>
                </w:tcPr>
                <w:p w14:paraId="7C83B8DA">
                  <w:pPr>
                    <w:adjustRightInd w:val="0"/>
                    <w:spacing w:line="276" w:lineRule="auto"/>
                    <w:jc w:val="center"/>
                    <w:rPr>
                      <w:color w:val="auto"/>
                      <w:kern w:val="0"/>
                      <w:szCs w:val="21"/>
                    </w:rPr>
                  </w:pPr>
                </w:p>
              </w:tc>
              <w:tc>
                <w:tcPr>
                  <w:tcW w:w="850" w:type="dxa"/>
                  <w:vMerge w:val="continue"/>
                  <w:shd w:val="clear" w:color="auto" w:fill="auto"/>
                  <w:vAlign w:val="center"/>
                </w:tcPr>
                <w:p w14:paraId="087F036C">
                  <w:pPr>
                    <w:adjustRightInd w:val="0"/>
                    <w:spacing w:line="276" w:lineRule="auto"/>
                    <w:jc w:val="center"/>
                    <w:rPr>
                      <w:color w:val="auto"/>
                      <w:kern w:val="0"/>
                      <w:szCs w:val="21"/>
                    </w:rPr>
                  </w:pPr>
                </w:p>
              </w:tc>
              <w:tc>
                <w:tcPr>
                  <w:tcW w:w="1067" w:type="dxa"/>
                  <w:vAlign w:val="center"/>
                </w:tcPr>
                <w:p w14:paraId="1876658E">
                  <w:pPr>
                    <w:adjustRightInd w:val="0"/>
                    <w:spacing w:line="276" w:lineRule="auto"/>
                    <w:jc w:val="center"/>
                    <w:rPr>
                      <w:color w:val="auto"/>
                      <w:kern w:val="0"/>
                      <w:szCs w:val="21"/>
                    </w:rPr>
                  </w:pPr>
                  <w:r>
                    <w:rPr>
                      <w:rFonts w:hint="eastAsia"/>
                      <w:color w:val="auto"/>
                      <w:kern w:val="0"/>
                      <w:szCs w:val="21"/>
                    </w:rPr>
                    <w:t>第三次</w:t>
                  </w:r>
                </w:p>
              </w:tc>
              <w:tc>
                <w:tcPr>
                  <w:tcW w:w="1143" w:type="dxa"/>
                  <w:vAlign w:val="center"/>
                </w:tcPr>
                <w:p w14:paraId="59C5DA0B">
                  <w:pPr>
                    <w:adjustRightInd w:val="0"/>
                    <w:spacing w:line="276" w:lineRule="auto"/>
                    <w:jc w:val="center"/>
                    <w:rPr>
                      <w:color w:val="auto"/>
                      <w:kern w:val="0"/>
                      <w:szCs w:val="21"/>
                    </w:rPr>
                  </w:pPr>
                  <w:r>
                    <w:rPr>
                      <w:rFonts w:hint="eastAsia"/>
                      <w:color w:val="auto"/>
                      <w:kern w:val="0"/>
                      <w:szCs w:val="21"/>
                    </w:rPr>
                    <w:t>11499</w:t>
                  </w:r>
                </w:p>
              </w:tc>
              <w:tc>
                <w:tcPr>
                  <w:tcW w:w="1308" w:type="dxa"/>
                  <w:shd w:val="clear" w:color="auto" w:fill="auto"/>
                  <w:vAlign w:val="center"/>
                </w:tcPr>
                <w:p w14:paraId="73DE2D8F">
                  <w:pPr>
                    <w:adjustRightInd w:val="0"/>
                    <w:spacing w:line="276" w:lineRule="auto"/>
                    <w:jc w:val="center"/>
                    <w:rPr>
                      <w:color w:val="auto"/>
                      <w:kern w:val="0"/>
                      <w:szCs w:val="21"/>
                    </w:rPr>
                  </w:pPr>
                  <w:r>
                    <w:rPr>
                      <w:rFonts w:hint="eastAsia"/>
                      <w:color w:val="auto"/>
                      <w:kern w:val="0"/>
                      <w:szCs w:val="21"/>
                    </w:rPr>
                    <w:t>25.9</w:t>
                  </w:r>
                </w:p>
              </w:tc>
              <w:tc>
                <w:tcPr>
                  <w:tcW w:w="1311" w:type="dxa"/>
                  <w:shd w:val="clear" w:color="auto" w:fill="auto"/>
                  <w:vAlign w:val="center"/>
                </w:tcPr>
                <w:p w14:paraId="386B1BC5">
                  <w:pPr>
                    <w:adjustRightInd w:val="0"/>
                    <w:spacing w:line="276" w:lineRule="auto"/>
                    <w:jc w:val="center"/>
                    <w:rPr>
                      <w:color w:val="auto"/>
                      <w:kern w:val="0"/>
                      <w:szCs w:val="21"/>
                    </w:rPr>
                  </w:pPr>
                  <w:r>
                    <w:rPr>
                      <w:rFonts w:hint="eastAsia"/>
                      <w:color w:val="auto"/>
                      <w:kern w:val="0"/>
                      <w:szCs w:val="21"/>
                    </w:rPr>
                    <w:t>0.298</w:t>
                  </w:r>
                </w:p>
              </w:tc>
              <w:tc>
                <w:tcPr>
                  <w:tcW w:w="853" w:type="dxa"/>
                  <w:vMerge w:val="continue"/>
                  <w:shd w:val="clear" w:color="auto" w:fill="auto"/>
                  <w:vAlign w:val="center"/>
                </w:tcPr>
                <w:p w14:paraId="54A3458C">
                  <w:pPr>
                    <w:adjustRightInd w:val="0"/>
                    <w:spacing w:line="276" w:lineRule="auto"/>
                    <w:jc w:val="center"/>
                    <w:rPr>
                      <w:color w:val="auto"/>
                      <w:kern w:val="0"/>
                      <w:szCs w:val="21"/>
                    </w:rPr>
                  </w:pPr>
                </w:p>
              </w:tc>
            </w:tr>
            <w:tr w14:paraId="31BB290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01" w:type="dxa"/>
                  <w:vMerge w:val="continue"/>
                  <w:vAlign w:val="center"/>
                </w:tcPr>
                <w:p w14:paraId="4C9B07B9">
                  <w:pPr>
                    <w:adjustRightInd w:val="0"/>
                    <w:spacing w:line="276" w:lineRule="auto"/>
                    <w:jc w:val="center"/>
                    <w:rPr>
                      <w:color w:val="auto"/>
                      <w:kern w:val="0"/>
                      <w:szCs w:val="21"/>
                    </w:rPr>
                  </w:pPr>
                </w:p>
              </w:tc>
              <w:tc>
                <w:tcPr>
                  <w:tcW w:w="851" w:type="dxa"/>
                  <w:vMerge w:val="continue"/>
                  <w:vAlign w:val="center"/>
                </w:tcPr>
                <w:p w14:paraId="2F41B338">
                  <w:pPr>
                    <w:adjustRightInd w:val="0"/>
                    <w:spacing w:line="276" w:lineRule="auto"/>
                    <w:jc w:val="center"/>
                    <w:rPr>
                      <w:color w:val="auto"/>
                      <w:kern w:val="0"/>
                      <w:szCs w:val="21"/>
                    </w:rPr>
                  </w:pPr>
                </w:p>
              </w:tc>
              <w:tc>
                <w:tcPr>
                  <w:tcW w:w="850" w:type="dxa"/>
                  <w:vMerge w:val="restart"/>
                  <w:shd w:val="clear" w:color="auto" w:fill="auto"/>
                  <w:vAlign w:val="center"/>
                </w:tcPr>
                <w:p w14:paraId="6B57E330">
                  <w:pPr>
                    <w:adjustRightInd w:val="0"/>
                    <w:spacing w:line="276" w:lineRule="auto"/>
                    <w:jc w:val="center"/>
                    <w:rPr>
                      <w:color w:val="auto"/>
                      <w:kern w:val="0"/>
                      <w:szCs w:val="21"/>
                    </w:rPr>
                  </w:pPr>
                  <w:r>
                    <w:rPr>
                      <w:color w:val="auto"/>
                      <w:kern w:val="0"/>
                      <w:szCs w:val="21"/>
                    </w:rPr>
                    <w:t>二氧化硫</w:t>
                  </w:r>
                </w:p>
              </w:tc>
              <w:tc>
                <w:tcPr>
                  <w:tcW w:w="1067" w:type="dxa"/>
                  <w:vAlign w:val="center"/>
                </w:tcPr>
                <w:p w14:paraId="55094CF3">
                  <w:pPr>
                    <w:adjustRightInd w:val="0"/>
                    <w:spacing w:line="276" w:lineRule="auto"/>
                    <w:jc w:val="center"/>
                    <w:rPr>
                      <w:color w:val="auto"/>
                      <w:kern w:val="0"/>
                      <w:szCs w:val="21"/>
                    </w:rPr>
                  </w:pPr>
                  <w:r>
                    <w:rPr>
                      <w:rFonts w:hint="eastAsia"/>
                      <w:color w:val="auto"/>
                      <w:kern w:val="0"/>
                      <w:szCs w:val="21"/>
                    </w:rPr>
                    <w:t>第一次</w:t>
                  </w:r>
                </w:p>
              </w:tc>
              <w:tc>
                <w:tcPr>
                  <w:tcW w:w="1143" w:type="dxa"/>
                  <w:vAlign w:val="center"/>
                </w:tcPr>
                <w:p w14:paraId="2BE4BC6A">
                  <w:pPr>
                    <w:adjustRightInd w:val="0"/>
                    <w:spacing w:line="276" w:lineRule="auto"/>
                    <w:jc w:val="center"/>
                    <w:rPr>
                      <w:color w:val="auto"/>
                      <w:kern w:val="0"/>
                      <w:szCs w:val="21"/>
                    </w:rPr>
                  </w:pPr>
                  <w:r>
                    <w:rPr>
                      <w:rFonts w:hint="eastAsia"/>
                      <w:color w:val="auto"/>
                      <w:kern w:val="0"/>
                      <w:szCs w:val="21"/>
                    </w:rPr>
                    <w:t>11384</w:t>
                  </w:r>
                </w:p>
              </w:tc>
              <w:tc>
                <w:tcPr>
                  <w:tcW w:w="1308" w:type="dxa"/>
                  <w:shd w:val="clear" w:color="auto" w:fill="auto"/>
                  <w:vAlign w:val="center"/>
                </w:tcPr>
                <w:p w14:paraId="4BD88CF3">
                  <w:pPr>
                    <w:adjustRightInd w:val="0"/>
                    <w:spacing w:line="276" w:lineRule="auto"/>
                    <w:jc w:val="center"/>
                    <w:rPr>
                      <w:color w:val="auto"/>
                      <w:kern w:val="0"/>
                      <w:szCs w:val="21"/>
                    </w:rPr>
                  </w:pPr>
                  <w:r>
                    <w:rPr>
                      <w:rFonts w:hint="eastAsia"/>
                      <w:color w:val="auto"/>
                      <w:kern w:val="0"/>
                      <w:szCs w:val="21"/>
                    </w:rPr>
                    <w:t>ND</w:t>
                  </w:r>
                </w:p>
              </w:tc>
              <w:tc>
                <w:tcPr>
                  <w:tcW w:w="1311" w:type="dxa"/>
                  <w:shd w:val="clear" w:color="auto" w:fill="auto"/>
                  <w:vAlign w:val="center"/>
                </w:tcPr>
                <w:p w14:paraId="2524D796">
                  <w:pPr>
                    <w:adjustRightInd w:val="0"/>
                    <w:spacing w:line="276" w:lineRule="auto"/>
                    <w:jc w:val="center"/>
                    <w:rPr>
                      <w:color w:val="auto"/>
                      <w:kern w:val="0"/>
                      <w:szCs w:val="21"/>
                    </w:rPr>
                  </w:pPr>
                  <w:r>
                    <w:rPr>
                      <w:rFonts w:hint="eastAsia"/>
                      <w:color w:val="auto"/>
                      <w:kern w:val="0"/>
                      <w:szCs w:val="21"/>
                    </w:rPr>
                    <w:t>/</w:t>
                  </w:r>
                </w:p>
              </w:tc>
              <w:tc>
                <w:tcPr>
                  <w:tcW w:w="853" w:type="dxa"/>
                  <w:vMerge w:val="continue"/>
                  <w:shd w:val="clear" w:color="auto" w:fill="auto"/>
                  <w:vAlign w:val="center"/>
                </w:tcPr>
                <w:p w14:paraId="3C374A6A">
                  <w:pPr>
                    <w:adjustRightInd w:val="0"/>
                    <w:spacing w:line="276" w:lineRule="auto"/>
                    <w:jc w:val="center"/>
                    <w:rPr>
                      <w:color w:val="auto"/>
                      <w:kern w:val="0"/>
                      <w:szCs w:val="21"/>
                    </w:rPr>
                  </w:pPr>
                </w:p>
              </w:tc>
            </w:tr>
            <w:tr w14:paraId="50763B4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01" w:type="dxa"/>
                  <w:vMerge w:val="continue"/>
                  <w:vAlign w:val="center"/>
                </w:tcPr>
                <w:p w14:paraId="618DE7D6">
                  <w:pPr>
                    <w:adjustRightInd w:val="0"/>
                    <w:spacing w:line="276" w:lineRule="auto"/>
                    <w:jc w:val="center"/>
                    <w:rPr>
                      <w:color w:val="auto"/>
                      <w:kern w:val="0"/>
                      <w:szCs w:val="21"/>
                    </w:rPr>
                  </w:pPr>
                </w:p>
              </w:tc>
              <w:tc>
                <w:tcPr>
                  <w:tcW w:w="851" w:type="dxa"/>
                  <w:vMerge w:val="continue"/>
                  <w:vAlign w:val="center"/>
                </w:tcPr>
                <w:p w14:paraId="67422844">
                  <w:pPr>
                    <w:adjustRightInd w:val="0"/>
                    <w:spacing w:line="276" w:lineRule="auto"/>
                    <w:jc w:val="center"/>
                    <w:rPr>
                      <w:color w:val="auto"/>
                      <w:kern w:val="0"/>
                      <w:szCs w:val="21"/>
                    </w:rPr>
                  </w:pPr>
                </w:p>
              </w:tc>
              <w:tc>
                <w:tcPr>
                  <w:tcW w:w="850" w:type="dxa"/>
                  <w:vMerge w:val="continue"/>
                  <w:shd w:val="clear" w:color="auto" w:fill="auto"/>
                  <w:vAlign w:val="center"/>
                </w:tcPr>
                <w:p w14:paraId="7871DB4D">
                  <w:pPr>
                    <w:adjustRightInd w:val="0"/>
                    <w:spacing w:line="276" w:lineRule="auto"/>
                    <w:jc w:val="center"/>
                    <w:rPr>
                      <w:color w:val="auto"/>
                      <w:kern w:val="0"/>
                      <w:szCs w:val="21"/>
                    </w:rPr>
                  </w:pPr>
                </w:p>
              </w:tc>
              <w:tc>
                <w:tcPr>
                  <w:tcW w:w="1067" w:type="dxa"/>
                  <w:vAlign w:val="center"/>
                </w:tcPr>
                <w:p w14:paraId="49CEC7D3">
                  <w:pPr>
                    <w:adjustRightInd w:val="0"/>
                    <w:spacing w:line="276" w:lineRule="auto"/>
                    <w:jc w:val="center"/>
                    <w:rPr>
                      <w:color w:val="auto"/>
                      <w:kern w:val="0"/>
                      <w:szCs w:val="21"/>
                    </w:rPr>
                  </w:pPr>
                  <w:r>
                    <w:rPr>
                      <w:rFonts w:hint="eastAsia"/>
                      <w:color w:val="auto"/>
                      <w:kern w:val="0"/>
                      <w:szCs w:val="21"/>
                    </w:rPr>
                    <w:t>第二次</w:t>
                  </w:r>
                </w:p>
              </w:tc>
              <w:tc>
                <w:tcPr>
                  <w:tcW w:w="1143" w:type="dxa"/>
                  <w:vAlign w:val="center"/>
                </w:tcPr>
                <w:p w14:paraId="44589E7B">
                  <w:pPr>
                    <w:adjustRightInd w:val="0"/>
                    <w:spacing w:line="276" w:lineRule="auto"/>
                    <w:jc w:val="center"/>
                    <w:rPr>
                      <w:color w:val="auto"/>
                      <w:kern w:val="0"/>
                      <w:szCs w:val="21"/>
                    </w:rPr>
                  </w:pPr>
                  <w:r>
                    <w:rPr>
                      <w:rFonts w:hint="eastAsia"/>
                      <w:color w:val="auto"/>
                      <w:kern w:val="0"/>
                      <w:szCs w:val="21"/>
                    </w:rPr>
                    <w:t>11565</w:t>
                  </w:r>
                </w:p>
              </w:tc>
              <w:tc>
                <w:tcPr>
                  <w:tcW w:w="1308" w:type="dxa"/>
                  <w:shd w:val="clear" w:color="auto" w:fill="auto"/>
                  <w:vAlign w:val="center"/>
                </w:tcPr>
                <w:p w14:paraId="3F06B362">
                  <w:pPr>
                    <w:adjustRightInd w:val="0"/>
                    <w:spacing w:line="276" w:lineRule="auto"/>
                    <w:jc w:val="center"/>
                    <w:rPr>
                      <w:color w:val="auto"/>
                      <w:kern w:val="0"/>
                      <w:szCs w:val="21"/>
                    </w:rPr>
                  </w:pPr>
                  <w:r>
                    <w:rPr>
                      <w:rFonts w:hint="eastAsia"/>
                      <w:color w:val="auto"/>
                      <w:kern w:val="0"/>
                      <w:szCs w:val="21"/>
                    </w:rPr>
                    <w:t>ND</w:t>
                  </w:r>
                </w:p>
              </w:tc>
              <w:tc>
                <w:tcPr>
                  <w:tcW w:w="1311" w:type="dxa"/>
                  <w:shd w:val="clear" w:color="auto" w:fill="auto"/>
                  <w:vAlign w:val="center"/>
                </w:tcPr>
                <w:p w14:paraId="60DB8342">
                  <w:pPr>
                    <w:adjustRightInd w:val="0"/>
                    <w:spacing w:line="276" w:lineRule="auto"/>
                    <w:jc w:val="center"/>
                    <w:rPr>
                      <w:color w:val="auto"/>
                      <w:kern w:val="0"/>
                      <w:szCs w:val="21"/>
                    </w:rPr>
                  </w:pPr>
                  <w:r>
                    <w:rPr>
                      <w:rFonts w:hint="eastAsia"/>
                      <w:color w:val="auto"/>
                      <w:kern w:val="0"/>
                      <w:szCs w:val="21"/>
                    </w:rPr>
                    <w:t>/</w:t>
                  </w:r>
                </w:p>
              </w:tc>
              <w:tc>
                <w:tcPr>
                  <w:tcW w:w="853" w:type="dxa"/>
                  <w:vMerge w:val="continue"/>
                  <w:shd w:val="clear" w:color="auto" w:fill="auto"/>
                  <w:vAlign w:val="center"/>
                </w:tcPr>
                <w:p w14:paraId="013986D6">
                  <w:pPr>
                    <w:adjustRightInd w:val="0"/>
                    <w:spacing w:line="276" w:lineRule="auto"/>
                    <w:jc w:val="center"/>
                    <w:rPr>
                      <w:color w:val="auto"/>
                      <w:kern w:val="0"/>
                      <w:szCs w:val="21"/>
                    </w:rPr>
                  </w:pPr>
                </w:p>
              </w:tc>
            </w:tr>
            <w:tr w14:paraId="6A6209F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801" w:type="dxa"/>
                  <w:vMerge w:val="continue"/>
                  <w:vAlign w:val="center"/>
                </w:tcPr>
                <w:p w14:paraId="501F8802">
                  <w:pPr>
                    <w:adjustRightInd w:val="0"/>
                    <w:spacing w:line="276" w:lineRule="auto"/>
                    <w:jc w:val="center"/>
                    <w:rPr>
                      <w:color w:val="auto"/>
                      <w:kern w:val="0"/>
                      <w:szCs w:val="21"/>
                    </w:rPr>
                  </w:pPr>
                </w:p>
              </w:tc>
              <w:tc>
                <w:tcPr>
                  <w:tcW w:w="851" w:type="dxa"/>
                  <w:vMerge w:val="continue"/>
                  <w:vAlign w:val="center"/>
                </w:tcPr>
                <w:p w14:paraId="5EC4F378">
                  <w:pPr>
                    <w:adjustRightInd w:val="0"/>
                    <w:spacing w:line="276" w:lineRule="auto"/>
                    <w:jc w:val="center"/>
                    <w:rPr>
                      <w:color w:val="auto"/>
                      <w:kern w:val="0"/>
                      <w:szCs w:val="21"/>
                    </w:rPr>
                  </w:pPr>
                </w:p>
              </w:tc>
              <w:tc>
                <w:tcPr>
                  <w:tcW w:w="850" w:type="dxa"/>
                  <w:vMerge w:val="continue"/>
                  <w:shd w:val="clear" w:color="auto" w:fill="auto"/>
                  <w:vAlign w:val="center"/>
                </w:tcPr>
                <w:p w14:paraId="0C0ABC84">
                  <w:pPr>
                    <w:adjustRightInd w:val="0"/>
                    <w:spacing w:line="276" w:lineRule="auto"/>
                    <w:jc w:val="center"/>
                    <w:rPr>
                      <w:color w:val="auto"/>
                      <w:kern w:val="0"/>
                      <w:szCs w:val="21"/>
                    </w:rPr>
                  </w:pPr>
                </w:p>
              </w:tc>
              <w:tc>
                <w:tcPr>
                  <w:tcW w:w="1067" w:type="dxa"/>
                  <w:vAlign w:val="center"/>
                </w:tcPr>
                <w:p w14:paraId="05863E5C">
                  <w:pPr>
                    <w:adjustRightInd w:val="0"/>
                    <w:spacing w:line="276" w:lineRule="auto"/>
                    <w:jc w:val="center"/>
                    <w:rPr>
                      <w:color w:val="auto"/>
                      <w:kern w:val="0"/>
                      <w:szCs w:val="21"/>
                    </w:rPr>
                  </w:pPr>
                  <w:r>
                    <w:rPr>
                      <w:rFonts w:hint="eastAsia"/>
                      <w:color w:val="auto"/>
                      <w:kern w:val="0"/>
                      <w:szCs w:val="21"/>
                    </w:rPr>
                    <w:t>第三次</w:t>
                  </w:r>
                </w:p>
              </w:tc>
              <w:tc>
                <w:tcPr>
                  <w:tcW w:w="1143" w:type="dxa"/>
                  <w:vAlign w:val="center"/>
                </w:tcPr>
                <w:p w14:paraId="4939C78A">
                  <w:pPr>
                    <w:adjustRightInd w:val="0"/>
                    <w:spacing w:line="276" w:lineRule="auto"/>
                    <w:jc w:val="center"/>
                    <w:rPr>
                      <w:color w:val="auto"/>
                      <w:kern w:val="0"/>
                      <w:szCs w:val="21"/>
                    </w:rPr>
                  </w:pPr>
                  <w:r>
                    <w:rPr>
                      <w:rFonts w:hint="eastAsia"/>
                      <w:color w:val="auto"/>
                      <w:kern w:val="0"/>
                      <w:szCs w:val="21"/>
                    </w:rPr>
                    <w:t>11499</w:t>
                  </w:r>
                </w:p>
              </w:tc>
              <w:tc>
                <w:tcPr>
                  <w:tcW w:w="1308" w:type="dxa"/>
                  <w:shd w:val="clear" w:color="auto" w:fill="auto"/>
                  <w:vAlign w:val="center"/>
                </w:tcPr>
                <w:p w14:paraId="173BEEBB">
                  <w:pPr>
                    <w:adjustRightInd w:val="0"/>
                    <w:spacing w:line="276" w:lineRule="auto"/>
                    <w:jc w:val="center"/>
                    <w:rPr>
                      <w:color w:val="auto"/>
                      <w:kern w:val="0"/>
                      <w:szCs w:val="21"/>
                    </w:rPr>
                  </w:pPr>
                  <w:r>
                    <w:rPr>
                      <w:rFonts w:hint="eastAsia"/>
                      <w:color w:val="auto"/>
                      <w:kern w:val="0"/>
                      <w:szCs w:val="21"/>
                    </w:rPr>
                    <w:t>ND</w:t>
                  </w:r>
                </w:p>
              </w:tc>
              <w:tc>
                <w:tcPr>
                  <w:tcW w:w="1311" w:type="dxa"/>
                  <w:shd w:val="clear" w:color="auto" w:fill="auto"/>
                  <w:vAlign w:val="center"/>
                </w:tcPr>
                <w:p w14:paraId="50EFA2BD">
                  <w:pPr>
                    <w:adjustRightInd w:val="0"/>
                    <w:spacing w:line="276" w:lineRule="auto"/>
                    <w:jc w:val="center"/>
                    <w:rPr>
                      <w:color w:val="auto"/>
                      <w:kern w:val="0"/>
                      <w:szCs w:val="21"/>
                    </w:rPr>
                  </w:pPr>
                  <w:r>
                    <w:rPr>
                      <w:rFonts w:hint="eastAsia"/>
                      <w:color w:val="auto"/>
                      <w:kern w:val="0"/>
                      <w:szCs w:val="21"/>
                    </w:rPr>
                    <w:t>/</w:t>
                  </w:r>
                </w:p>
              </w:tc>
              <w:tc>
                <w:tcPr>
                  <w:tcW w:w="853" w:type="dxa"/>
                  <w:vMerge w:val="continue"/>
                  <w:shd w:val="clear" w:color="auto" w:fill="auto"/>
                  <w:vAlign w:val="center"/>
                </w:tcPr>
                <w:p w14:paraId="31B4098D">
                  <w:pPr>
                    <w:adjustRightInd w:val="0"/>
                    <w:spacing w:line="276" w:lineRule="auto"/>
                    <w:jc w:val="center"/>
                    <w:rPr>
                      <w:color w:val="auto"/>
                      <w:kern w:val="0"/>
                      <w:szCs w:val="21"/>
                    </w:rPr>
                  </w:pPr>
                </w:p>
              </w:tc>
            </w:tr>
            <w:tr w14:paraId="77ACD54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801" w:type="dxa"/>
                  <w:vMerge w:val="continue"/>
                  <w:vAlign w:val="center"/>
                </w:tcPr>
                <w:p w14:paraId="015BC139">
                  <w:pPr>
                    <w:adjustRightInd w:val="0"/>
                    <w:spacing w:line="276" w:lineRule="auto"/>
                    <w:jc w:val="center"/>
                    <w:rPr>
                      <w:color w:val="auto"/>
                      <w:kern w:val="0"/>
                      <w:szCs w:val="21"/>
                    </w:rPr>
                  </w:pPr>
                </w:p>
              </w:tc>
              <w:tc>
                <w:tcPr>
                  <w:tcW w:w="851" w:type="dxa"/>
                  <w:vMerge w:val="continue"/>
                  <w:vAlign w:val="center"/>
                </w:tcPr>
                <w:p w14:paraId="3038A2DF">
                  <w:pPr>
                    <w:adjustRightInd w:val="0"/>
                    <w:spacing w:line="276" w:lineRule="auto"/>
                    <w:jc w:val="center"/>
                    <w:rPr>
                      <w:color w:val="auto"/>
                      <w:kern w:val="0"/>
                      <w:szCs w:val="21"/>
                    </w:rPr>
                  </w:pPr>
                </w:p>
              </w:tc>
              <w:tc>
                <w:tcPr>
                  <w:tcW w:w="850" w:type="dxa"/>
                  <w:vMerge w:val="restart"/>
                  <w:shd w:val="clear" w:color="auto" w:fill="auto"/>
                  <w:vAlign w:val="center"/>
                </w:tcPr>
                <w:p w14:paraId="4864CCDF">
                  <w:pPr>
                    <w:adjustRightInd w:val="0"/>
                    <w:spacing w:line="276" w:lineRule="auto"/>
                    <w:jc w:val="center"/>
                    <w:rPr>
                      <w:color w:val="auto"/>
                      <w:kern w:val="0"/>
                      <w:szCs w:val="21"/>
                    </w:rPr>
                  </w:pPr>
                  <w:r>
                    <w:rPr>
                      <w:color w:val="auto"/>
                      <w:kern w:val="0"/>
                      <w:szCs w:val="21"/>
                    </w:rPr>
                    <w:t>氮氧化物</w:t>
                  </w:r>
                </w:p>
              </w:tc>
              <w:tc>
                <w:tcPr>
                  <w:tcW w:w="1067" w:type="dxa"/>
                  <w:vAlign w:val="center"/>
                </w:tcPr>
                <w:p w14:paraId="0211DE86">
                  <w:pPr>
                    <w:adjustRightInd w:val="0"/>
                    <w:spacing w:line="276" w:lineRule="auto"/>
                    <w:jc w:val="center"/>
                    <w:rPr>
                      <w:color w:val="auto"/>
                      <w:kern w:val="0"/>
                      <w:szCs w:val="21"/>
                    </w:rPr>
                  </w:pPr>
                  <w:r>
                    <w:rPr>
                      <w:rFonts w:hint="eastAsia"/>
                      <w:color w:val="auto"/>
                      <w:kern w:val="0"/>
                      <w:szCs w:val="21"/>
                    </w:rPr>
                    <w:t>第一次</w:t>
                  </w:r>
                </w:p>
              </w:tc>
              <w:tc>
                <w:tcPr>
                  <w:tcW w:w="1143" w:type="dxa"/>
                  <w:vAlign w:val="center"/>
                </w:tcPr>
                <w:p w14:paraId="785D3708">
                  <w:pPr>
                    <w:adjustRightInd w:val="0"/>
                    <w:spacing w:line="276" w:lineRule="auto"/>
                    <w:jc w:val="center"/>
                    <w:rPr>
                      <w:color w:val="auto"/>
                      <w:kern w:val="0"/>
                      <w:szCs w:val="21"/>
                    </w:rPr>
                  </w:pPr>
                  <w:r>
                    <w:rPr>
                      <w:rFonts w:hint="eastAsia"/>
                      <w:color w:val="auto"/>
                      <w:kern w:val="0"/>
                      <w:szCs w:val="21"/>
                    </w:rPr>
                    <w:t>11384</w:t>
                  </w:r>
                </w:p>
              </w:tc>
              <w:tc>
                <w:tcPr>
                  <w:tcW w:w="1308" w:type="dxa"/>
                  <w:shd w:val="clear" w:color="auto" w:fill="auto"/>
                  <w:vAlign w:val="center"/>
                </w:tcPr>
                <w:p w14:paraId="7E04A446">
                  <w:pPr>
                    <w:adjustRightInd w:val="0"/>
                    <w:spacing w:line="276" w:lineRule="auto"/>
                    <w:jc w:val="center"/>
                    <w:rPr>
                      <w:color w:val="auto"/>
                      <w:kern w:val="0"/>
                      <w:szCs w:val="21"/>
                    </w:rPr>
                  </w:pPr>
                  <w:r>
                    <w:rPr>
                      <w:rFonts w:hint="eastAsia"/>
                      <w:color w:val="auto"/>
                      <w:kern w:val="0"/>
                      <w:szCs w:val="21"/>
                    </w:rPr>
                    <w:t>ND</w:t>
                  </w:r>
                </w:p>
              </w:tc>
              <w:tc>
                <w:tcPr>
                  <w:tcW w:w="1311" w:type="dxa"/>
                  <w:shd w:val="clear" w:color="auto" w:fill="auto"/>
                  <w:vAlign w:val="center"/>
                </w:tcPr>
                <w:p w14:paraId="36425FBC">
                  <w:pPr>
                    <w:adjustRightInd w:val="0"/>
                    <w:spacing w:line="276" w:lineRule="auto"/>
                    <w:jc w:val="center"/>
                    <w:rPr>
                      <w:color w:val="auto"/>
                      <w:kern w:val="0"/>
                      <w:szCs w:val="21"/>
                    </w:rPr>
                  </w:pPr>
                  <w:r>
                    <w:rPr>
                      <w:rFonts w:hint="eastAsia"/>
                      <w:color w:val="auto"/>
                      <w:kern w:val="0"/>
                      <w:szCs w:val="21"/>
                    </w:rPr>
                    <w:t>/</w:t>
                  </w:r>
                </w:p>
              </w:tc>
              <w:tc>
                <w:tcPr>
                  <w:tcW w:w="853" w:type="dxa"/>
                  <w:vMerge w:val="continue"/>
                  <w:shd w:val="clear" w:color="auto" w:fill="auto"/>
                  <w:vAlign w:val="center"/>
                </w:tcPr>
                <w:p w14:paraId="1466EE35">
                  <w:pPr>
                    <w:adjustRightInd w:val="0"/>
                    <w:spacing w:line="276" w:lineRule="auto"/>
                    <w:jc w:val="center"/>
                    <w:rPr>
                      <w:color w:val="auto"/>
                      <w:kern w:val="0"/>
                      <w:szCs w:val="21"/>
                    </w:rPr>
                  </w:pPr>
                </w:p>
              </w:tc>
            </w:tr>
            <w:tr w14:paraId="00B4FAF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01" w:type="dxa"/>
                  <w:vMerge w:val="continue"/>
                  <w:vAlign w:val="center"/>
                </w:tcPr>
                <w:p w14:paraId="4921A918">
                  <w:pPr>
                    <w:adjustRightInd w:val="0"/>
                    <w:spacing w:line="276" w:lineRule="auto"/>
                    <w:jc w:val="center"/>
                    <w:rPr>
                      <w:color w:val="auto"/>
                      <w:kern w:val="0"/>
                      <w:szCs w:val="21"/>
                    </w:rPr>
                  </w:pPr>
                </w:p>
              </w:tc>
              <w:tc>
                <w:tcPr>
                  <w:tcW w:w="851" w:type="dxa"/>
                  <w:vMerge w:val="continue"/>
                  <w:vAlign w:val="center"/>
                </w:tcPr>
                <w:p w14:paraId="6F30E34C">
                  <w:pPr>
                    <w:adjustRightInd w:val="0"/>
                    <w:spacing w:line="276" w:lineRule="auto"/>
                    <w:jc w:val="center"/>
                    <w:rPr>
                      <w:color w:val="auto"/>
                      <w:kern w:val="0"/>
                      <w:szCs w:val="21"/>
                    </w:rPr>
                  </w:pPr>
                </w:p>
              </w:tc>
              <w:tc>
                <w:tcPr>
                  <w:tcW w:w="850" w:type="dxa"/>
                  <w:vMerge w:val="continue"/>
                  <w:shd w:val="clear" w:color="auto" w:fill="auto"/>
                  <w:vAlign w:val="center"/>
                </w:tcPr>
                <w:p w14:paraId="226A90DE">
                  <w:pPr>
                    <w:adjustRightInd w:val="0"/>
                    <w:spacing w:line="276" w:lineRule="auto"/>
                    <w:jc w:val="center"/>
                    <w:rPr>
                      <w:color w:val="auto"/>
                      <w:kern w:val="0"/>
                      <w:szCs w:val="21"/>
                    </w:rPr>
                  </w:pPr>
                </w:p>
              </w:tc>
              <w:tc>
                <w:tcPr>
                  <w:tcW w:w="1067" w:type="dxa"/>
                  <w:vAlign w:val="center"/>
                </w:tcPr>
                <w:p w14:paraId="048FADCA">
                  <w:pPr>
                    <w:adjustRightInd w:val="0"/>
                    <w:spacing w:line="276" w:lineRule="auto"/>
                    <w:jc w:val="center"/>
                    <w:rPr>
                      <w:color w:val="auto"/>
                      <w:kern w:val="0"/>
                      <w:szCs w:val="21"/>
                    </w:rPr>
                  </w:pPr>
                  <w:r>
                    <w:rPr>
                      <w:rFonts w:hint="eastAsia"/>
                      <w:color w:val="auto"/>
                      <w:kern w:val="0"/>
                      <w:szCs w:val="21"/>
                    </w:rPr>
                    <w:t>第二次</w:t>
                  </w:r>
                </w:p>
              </w:tc>
              <w:tc>
                <w:tcPr>
                  <w:tcW w:w="1143" w:type="dxa"/>
                  <w:vAlign w:val="center"/>
                </w:tcPr>
                <w:p w14:paraId="03BA8E16">
                  <w:pPr>
                    <w:adjustRightInd w:val="0"/>
                    <w:spacing w:line="276" w:lineRule="auto"/>
                    <w:jc w:val="center"/>
                    <w:rPr>
                      <w:color w:val="auto"/>
                      <w:kern w:val="0"/>
                      <w:szCs w:val="21"/>
                    </w:rPr>
                  </w:pPr>
                  <w:r>
                    <w:rPr>
                      <w:rFonts w:hint="eastAsia"/>
                      <w:color w:val="auto"/>
                      <w:kern w:val="0"/>
                      <w:szCs w:val="21"/>
                    </w:rPr>
                    <w:t>11565</w:t>
                  </w:r>
                </w:p>
              </w:tc>
              <w:tc>
                <w:tcPr>
                  <w:tcW w:w="1308" w:type="dxa"/>
                  <w:shd w:val="clear" w:color="auto" w:fill="auto"/>
                  <w:vAlign w:val="center"/>
                </w:tcPr>
                <w:p w14:paraId="62D95224">
                  <w:pPr>
                    <w:adjustRightInd w:val="0"/>
                    <w:spacing w:line="276" w:lineRule="auto"/>
                    <w:jc w:val="center"/>
                    <w:rPr>
                      <w:color w:val="auto"/>
                      <w:kern w:val="0"/>
                      <w:szCs w:val="21"/>
                    </w:rPr>
                  </w:pPr>
                  <w:r>
                    <w:rPr>
                      <w:rFonts w:hint="eastAsia"/>
                      <w:color w:val="auto"/>
                      <w:kern w:val="0"/>
                      <w:szCs w:val="21"/>
                    </w:rPr>
                    <w:t>ND</w:t>
                  </w:r>
                </w:p>
              </w:tc>
              <w:tc>
                <w:tcPr>
                  <w:tcW w:w="1311" w:type="dxa"/>
                  <w:shd w:val="clear" w:color="auto" w:fill="auto"/>
                  <w:vAlign w:val="center"/>
                </w:tcPr>
                <w:p w14:paraId="32ACD941">
                  <w:pPr>
                    <w:adjustRightInd w:val="0"/>
                    <w:spacing w:line="276" w:lineRule="auto"/>
                    <w:jc w:val="center"/>
                    <w:rPr>
                      <w:color w:val="auto"/>
                      <w:kern w:val="0"/>
                      <w:szCs w:val="21"/>
                    </w:rPr>
                  </w:pPr>
                  <w:r>
                    <w:rPr>
                      <w:rFonts w:hint="eastAsia"/>
                      <w:color w:val="auto"/>
                      <w:kern w:val="0"/>
                      <w:szCs w:val="21"/>
                    </w:rPr>
                    <w:t>/</w:t>
                  </w:r>
                </w:p>
              </w:tc>
              <w:tc>
                <w:tcPr>
                  <w:tcW w:w="853" w:type="dxa"/>
                  <w:vMerge w:val="continue"/>
                  <w:shd w:val="clear" w:color="auto" w:fill="auto"/>
                  <w:vAlign w:val="center"/>
                </w:tcPr>
                <w:p w14:paraId="0D21F154">
                  <w:pPr>
                    <w:adjustRightInd w:val="0"/>
                    <w:spacing w:line="276" w:lineRule="auto"/>
                    <w:jc w:val="center"/>
                    <w:rPr>
                      <w:color w:val="auto"/>
                      <w:kern w:val="0"/>
                      <w:szCs w:val="21"/>
                    </w:rPr>
                  </w:pPr>
                </w:p>
              </w:tc>
            </w:tr>
            <w:tr w14:paraId="01C060E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01" w:type="dxa"/>
                  <w:vMerge w:val="continue"/>
                  <w:vAlign w:val="center"/>
                </w:tcPr>
                <w:p w14:paraId="03D7A909">
                  <w:pPr>
                    <w:adjustRightInd w:val="0"/>
                    <w:spacing w:line="276" w:lineRule="auto"/>
                    <w:jc w:val="center"/>
                    <w:rPr>
                      <w:color w:val="auto"/>
                      <w:kern w:val="0"/>
                      <w:szCs w:val="21"/>
                    </w:rPr>
                  </w:pPr>
                </w:p>
              </w:tc>
              <w:tc>
                <w:tcPr>
                  <w:tcW w:w="851" w:type="dxa"/>
                  <w:vMerge w:val="continue"/>
                  <w:vAlign w:val="center"/>
                </w:tcPr>
                <w:p w14:paraId="3EDDBB36">
                  <w:pPr>
                    <w:adjustRightInd w:val="0"/>
                    <w:spacing w:line="276" w:lineRule="auto"/>
                    <w:jc w:val="center"/>
                    <w:rPr>
                      <w:color w:val="auto"/>
                      <w:kern w:val="0"/>
                      <w:szCs w:val="21"/>
                    </w:rPr>
                  </w:pPr>
                </w:p>
              </w:tc>
              <w:tc>
                <w:tcPr>
                  <w:tcW w:w="850" w:type="dxa"/>
                  <w:vMerge w:val="continue"/>
                  <w:shd w:val="clear" w:color="auto" w:fill="auto"/>
                  <w:vAlign w:val="center"/>
                </w:tcPr>
                <w:p w14:paraId="265B99BF">
                  <w:pPr>
                    <w:adjustRightInd w:val="0"/>
                    <w:spacing w:line="276" w:lineRule="auto"/>
                    <w:jc w:val="center"/>
                    <w:rPr>
                      <w:color w:val="auto"/>
                      <w:kern w:val="0"/>
                      <w:szCs w:val="21"/>
                    </w:rPr>
                  </w:pPr>
                </w:p>
              </w:tc>
              <w:tc>
                <w:tcPr>
                  <w:tcW w:w="1067" w:type="dxa"/>
                  <w:vAlign w:val="center"/>
                </w:tcPr>
                <w:p w14:paraId="160AD6AD">
                  <w:pPr>
                    <w:adjustRightInd w:val="0"/>
                    <w:spacing w:line="276" w:lineRule="auto"/>
                    <w:jc w:val="center"/>
                    <w:rPr>
                      <w:color w:val="auto"/>
                      <w:kern w:val="0"/>
                      <w:szCs w:val="21"/>
                    </w:rPr>
                  </w:pPr>
                  <w:r>
                    <w:rPr>
                      <w:rFonts w:hint="eastAsia"/>
                      <w:color w:val="auto"/>
                      <w:kern w:val="0"/>
                      <w:szCs w:val="21"/>
                    </w:rPr>
                    <w:t>第三次</w:t>
                  </w:r>
                </w:p>
              </w:tc>
              <w:tc>
                <w:tcPr>
                  <w:tcW w:w="1143" w:type="dxa"/>
                  <w:vAlign w:val="center"/>
                </w:tcPr>
                <w:p w14:paraId="0220EE81">
                  <w:pPr>
                    <w:adjustRightInd w:val="0"/>
                    <w:spacing w:line="276" w:lineRule="auto"/>
                    <w:jc w:val="center"/>
                    <w:rPr>
                      <w:color w:val="auto"/>
                      <w:kern w:val="0"/>
                      <w:szCs w:val="21"/>
                    </w:rPr>
                  </w:pPr>
                  <w:r>
                    <w:rPr>
                      <w:rFonts w:hint="eastAsia"/>
                      <w:color w:val="auto"/>
                      <w:kern w:val="0"/>
                      <w:szCs w:val="21"/>
                    </w:rPr>
                    <w:t>11499</w:t>
                  </w:r>
                </w:p>
              </w:tc>
              <w:tc>
                <w:tcPr>
                  <w:tcW w:w="1308" w:type="dxa"/>
                  <w:shd w:val="clear" w:color="auto" w:fill="auto"/>
                  <w:vAlign w:val="center"/>
                </w:tcPr>
                <w:p w14:paraId="6463CDAA">
                  <w:pPr>
                    <w:adjustRightInd w:val="0"/>
                    <w:spacing w:line="276" w:lineRule="auto"/>
                    <w:jc w:val="center"/>
                    <w:rPr>
                      <w:color w:val="auto"/>
                      <w:kern w:val="0"/>
                      <w:szCs w:val="21"/>
                    </w:rPr>
                  </w:pPr>
                  <w:r>
                    <w:rPr>
                      <w:rFonts w:hint="eastAsia"/>
                      <w:color w:val="auto"/>
                      <w:kern w:val="0"/>
                      <w:szCs w:val="21"/>
                    </w:rPr>
                    <w:t>ND</w:t>
                  </w:r>
                </w:p>
              </w:tc>
              <w:tc>
                <w:tcPr>
                  <w:tcW w:w="1311" w:type="dxa"/>
                  <w:shd w:val="clear" w:color="auto" w:fill="auto"/>
                  <w:vAlign w:val="center"/>
                </w:tcPr>
                <w:p w14:paraId="38BF6513">
                  <w:pPr>
                    <w:adjustRightInd w:val="0"/>
                    <w:spacing w:line="276" w:lineRule="auto"/>
                    <w:jc w:val="center"/>
                    <w:rPr>
                      <w:color w:val="auto"/>
                      <w:kern w:val="0"/>
                      <w:szCs w:val="21"/>
                    </w:rPr>
                  </w:pPr>
                  <w:r>
                    <w:rPr>
                      <w:rFonts w:hint="eastAsia"/>
                      <w:color w:val="auto"/>
                      <w:kern w:val="0"/>
                      <w:szCs w:val="21"/>
                    </w:rPr>
                    <w:t>/</w:t>
                  </w:r>
                </w:p>
              </w:tc>
              <w:tc>
                <w:tcPr>
                  <w:tcW w:w="853" w:type="dxa"/>
                  <w:vMerge w:val="continue"/>
                  <w:shd w:val="clear" w:color="auto" w:fill="auto"/>
                  <w:vAlign w:val="center"/>
                </w:tcPr>
                <w:p w14:paraId="55AB5084">
                  <w:pPr>
                    <w:adjustRightInd w:val="0"/>
                    <w:spacing w:line="276" w:lineRule="auto"/>
                    <w:jc w:val="center"/>
                    <w:rPr>
                      <w:color w:val="auto"/>
                      <w:kern w:val="0"/>
                      <w:szCs w:val="21"/>
                    </w:rPr>
                  </w:pPr>
                </w:p>
              </w:tc>
            </w:tr>
            <w:tr w14:paraId="659FCCD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801" w:type="dxa"/>
                  <w:vMerge w:val="continue"/>
                  <w:vAlign w:val="center"/>
                </w:tcPr>
                <w:p w14:paraId="37CCC3FE">
                  <w:pPr>
                    <w:adjustRightInd w:val="0"/>
                    <w:spacing w:line="276" w:lineRule="auto"/>
                    <w:jc w:val="center"/>
                    <w:rPr>
                      <w:color w:val="auto"/>
                      <w:kern w:val="0"/>
                      <w:szCs w:val="21"/>
                    </w:rPr>
                  </w:pPr>
                </w:p>
              </w:tc>
              <w:tc>
                <w:tcPr>
                  <w:tcW w:w="851" w:type="dxa"/>
                  <w:vMerge w:val="continue"/>
                  <w:vAlign w:val="center"/>
                </w:tcPr>
                <w:p w14:paraId="00B06DC3">
                  <w:pPr>
                    <w:adjustRightInd w:val="0"/>
                    <w:spacing w:line="276" w:lineRule="auto"/>
                    <w:jc w:val="center"/>
                    <w:rPr>
                      <w:color w:val="auto"/>
                      <w:kern w:val="0"/>
                      <w:szCs w:val="21"/>
                    </w:rPr>
                  </w:pPr>
                </w:p>
              </w:tc>
              <w:tc>
                <w:tcPr>
                  <w:tcW w:w="850" w:type="dxa"/>
                  <w:vMerge w:val="restart"/>
                  <w:shd w:val="clear" w:color="auto" w:fill="auto"/>
                  <w:vAlign w:val="center"/>
                </w:tcPr>
                <w:p w14:paraId="169E2804">
                  <w:pPr>
                    <w:adjustRightInd w:val="0"/>
                    <w:spacing w:line="276" w:lineRule="auto"/>
                    <w:jc w:val="center"/>
                    <w:rPr>
                      <w:color w:val="auto"/>
                      <w:kern w:val="0"/>
                      <w:szCs w:val="21"/>
                    </w:rPr>
                  </w:pPr>
                  <w:r>
                    <w:rPr>
                      <w:color w:val="auto"/>
                      <w:kern w:val="0"/>
                      <w:szCs w:val="21"/>
                    </w:rPr>
                    <w:t>非甲烷总烃</w:t>
                  </w:r>
                </w:p>
              </w:tc>
              <w:tc>
                <w:tcPr>
                  <w:tcW w:w="1067" w:type="dxa"/>
                  <w:vAlign w:val="center"/>
                </w:tcPr>
                <w:p w14:paraId="0B465F9A">
                  <w:pPr>
                    <w:adjustRightInd w:val="0"/>
                    <w:spacing w:line="276" w:lineRule="auto"/>
                    <w:jc w:val="center"/>
                    <w:rPr>
                      <w:color w:val="auto"/>
                      <w:kern w:val="0"/>
                      <w:szCs w:val="21"/>
                    </w:rPr>
                  </w:pPr>
                  <w:r>
                    <w:rPr>
                      <w:rFonts w:hint="eastAsia"/>
                      <w:color w:val="auto"/>
                      <w:kern w:val="0"/>
                      <w:szCs w:val="21"/>
                    </w:rPr>
                    <w:t>第一次</w:t>
                  </w:r>
                </w:p>
              </w:tc>
              <w:tc>
                <w:tcPr>
                  <w:tcW w:w="1143" w:type="dxa"/>
                  <w:vAlign w:val="center"/>
                </w:tcPr>
                <w:p w14:paraId="5DF7D184">
                  <w:pPr>
                    <w:adjustRightInd w:val="0"/>
                    <w:spacing w:line="276" w:lineRule="auto"/>
                    <w:jc w:val="center"/>
                    <w:rPr>
                      <w:color w:val="auto"/>
                      <w:kern w:val="0"/>
                      <w:szCs w:val="21"/>
                    </w:rPr>
                  </w:pPr>
                  <w:r>
                    <w:rPr>
                      <w:rFonts w:hint="eastAsia"/>
                      <w:color w:val="auto"/>
                      <w:kern w:val="0"/>
                      <w:szCs w:val="21"/>
                    </w:rPr>
                    <w:t>11384</w:t>
                  </w:r>
                </w:p>
              </w:tc>
              <w:tc>
                <w:tcPr>
                  <w:tcW w:w="1308" w:type="dxa"/>
                  <w:shd w:val="clear" w:color="auto" w:fill="auto"/>
                  <w:vAlign w:val="center"/>
                </w:tcPr>
                <w:p w14:paraId="6F7646B0">
                  <w:pPr>
                    <w:adjustRightInd w:val="0"/>
                    <w:spacing w:line="276" w:lineRule="auto"/>
                    <w:jc w:val="center"/>
                    <w:rPr>
                      <w:color w:val="auto"/>
                      <w:kern w:val="0"/>
                      <w:szCs w:val="21"/>
                    </w:rPr>
                  </w:pPr>
                  <w:r>
                    <w:rPr>
                      <w:rFonts w:hint="eastAsia"/>
                      <w:color w:val="auto"/>
                      <w:kern w:val="0"/>
                      <w:szCs w:val="21"/>
                    </w:rPr>
                    <w:t>0.78</w:t>
                  </w:r>
                </w:p>
              </w:tc>
              <w:tc>
                <w:tcPr>
                  <w:tcW w:w="1311" w:type="dxa"/>
                  <w:shd w:val="clear" w:color="auto" w:fill="auto"/>
                  <w:vAlign w:val="center"/>
                </w:tcPr>
                <w:p w14:paraId="572E9C93">
                  <w:pPr>
                    <w:adjustRightInd w:val="0"/>
                    <w:spacing w:line="276" w:lineRule="auto"/>
                    <w:jc w:val="center"/>
                    <w:rPr>
                      <w:color w:val="auto"/>
                      <w:kern w:val="0"/>
                      <w:szCs w:val="21"/>
                    </w:rPr>
                  </w:pPr>
                  <w:r>
                    <w:rPr>
                      <w:rFonts w:hint="eastAsia"/>
                      <w:color w:val="auto"/>
                      <w:kern w:val="0"/>
                      <w:szCs w:val="21"/>
                    </w:rPr>
                    <w:t>0.009</w:t>
                  </w:r>
                </w:p>
              </w:tc>
              <w:tc>
                <w:tcPr>
                  <w:tcW w:w="853" w:type="dxa"/>
                  <w:vMerge w:val="continue"/>
                  <w:shd w:val="clear" w:color="auto" w:fill="auto"/>
                  <w:vAlign w:val="center"/>
                </w:tcPr>
                <w:p w14:paraId="70D086FA">
                  <w:pPr>
                    <w:adjustRightInd w:val="0"/>
                    <w:spacing w:line="276" w:lineRule="auto"/>
                    <w:jc w:val="center"/>
                    <w:rPr>
                      <w:color w:val="auto"/>
                      <w:kern w:val="0"/>
                      <w:szCs w:val="21"/>
                    </w:rPr>
                  </w:pPr>
                </w:p>
              </w:tc>
            </w:tr>
            <w:tr w14:paraId="41CBF0F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801" w:type="dxa"/>
                  <w:vMerge w:val="continue"/>
                  <w:vAlign w:val="center"/>
                </w:tcPr>
                <w:p w14:paraId="2C95E2BA">
                  <w:pPr>
                    <w:adjustRightInd w:val="0"/>
                    <w:spacing w:line="276" w:lineRule="auto"/>
                    <w:jc w:val="center"/>
                    <w:rPr>
                      <w:color w:val="auto"/>
                      <w:kern w:val="0"/>
                      <w:szCs w:val="21"/>
                    </w:rPr>
                  </w:pPr>
                </w:p>
              </w:tc>
              <w:tc>
                <w:tcPr>
                  <w:tcW w:w="851" w:type="dxa"/>
                  <w:vMerge w:val="continue"/>
                  <w:vAlign w:val="center"/>
                </w:tcPr>
                <w:p w14:paraId="0648C3D8">
                  <w:pPr>
                    <w:adjustRightInd w:val="0"/>
                    <w:spacing w:line="276" w:lineRule="auto"/>
                    <w:jc w:val="center"/>
                    <w:rPr>
                      <w:color w:val="auto"/>
                      <w:kern w:val="0"/>
                      <w:szCs w:val="21"/>
                    </w:rPr>
                  </w:pPr>
                </w:p>
              </w:tc>
              <w:tc>
                <w:tcPr>
                  <w:tcW w:w="850" w:type="dxa"/>
                  <w:vMerge w:val="continue"/>
                  <w:shd w:val="clear" w:color="auto" w:fill="auto"/>
                  <w:vAlign w:val="center"/>
                </w:tcPr>
                <w:p w14:paraId="05D5DD0A">
                  <w:pPr>
                    <w:adjustRightInd w:val="0"/>
                    <w:spacing w:line="276" w:lineRule="auto"/>
                    <w:jc w:val="center"/>
                    <w:rPr>
                      <w:color w:val="auto"/>
                      <w:kern w:val="0"/>
                      <w:szCs w:val="21"/>
                    </w:rPr>
                  </w:pPr>
                </w:p>
              </w:tc>
              <w:tc>
                <w:tcPr>
                  <w:tcW w:w="1067" w:type="dxa"/>
                  <w:vAlign w:val="center"/>
                </w:tcPr>
                <w:p w14:paraId="0C88A7CE">
                  <w:pPr>
                    <w:adjustRightInd w:val="0"/>
                    <w:spacing w:line="276" w:lineRule="auto"/>
                    <w:jc w:val="center"/>
                    <w:rPr>
                      <w:color w:val="auto"/>
                      <w:kern w:val="0"/>
                      <w:szCs w:val="21"/>
                    </w:rPr>
                  </w:pPr>
                  <w:r>
                    <w:rPr>
                      <w:rFonts w:hint="eastAsia"/>
                      <w:color w:val="auto"/>
                      <w:kern w:val="0"/>
                      <w:szCs w:val="21"/>
                    </w:rPr>
                    <w:t>第二次</w:t>
                  </w:r>
                </w:p>
              </w:tc>
              <w:tc>
                <w:tcPr>
                  <w:tcW w:w="1143" w:type="dxa"/>
                  <w:vAlign w:val="center"/>
                </w:tcPr>
                <w:p w14:paraId="32BE8900">
                  <w:pPr>
                    <w:adjustRightInd w:val="0"/>
                    <w:spacing w:line="276" w:lineRule="auto"/>
                    <w:jc w:val="center"/>
                    <w:rPr>
                      <w:color w:val="auto"/>
                      <w:kern w:val="0"/>
                      <w:szCs w:val="21"/>
                    </w:rPr>
                  </w:pPr>
                  <w:r>
                    <w:rPr>
                      <w:rFonts w:hint="eastAsia"/>
                      <w:color w:val="auto"/>
                      <w:kern w:val="0"/>
                      <w:szCs w:val="21"/>
                    </w:rPr>
                    <w:t>11384</w:t>
                  </w:r>
                </w:p>
              </w:tc>
              <w:tc>
                <w:tcPr>
                  <w:tcW w:w="1308" w:type="dxa"/>
                  <w:shd w:val="clear" w:color="auto" w:fill="auto"/>
                  <w:vAlign w:val="center"/>
                </w:tcPr>
                <w:p w14:paraId="500A6E70">
                  <w:pPr>
                    <w:adjustRightInd w:val="0"/>
                    <w:spacing w:line="276" w:lineRule="auto"/>
                    <w:jc w:val="center"/>
                    <w:rPr>
                      <w:color w:val="auto"/>
                      <w:kern w:val="0"/>
                      <w:szCs w:val="21"/>
                    </w:rPr>
                  </w:pPr>
                  <w:r>
                    <w:rPr>
                      <w:rFonts w:hint="eastAsia"/>
                      <w:color w:val="auto"/>
                      <w:kern w:val="0"/>
                      <w:szCs w:val="21"/>
                    </w:rPr>
                    <w:t>0.86</w:t>
                  </w:r>
                </w:p>
              </w:tc>
              <w:tc>
                <w:tcPr>
                  <w:tcW w:w="1311" w:type="dxa"/>
                  <w:shd w:val="clear" w:color="auto" w:fill="auto"/>
                  <w:vAlign w:val="center"/>
                </w:tcPr>
                <w:p w14:paraId="522D07F0">
                  <w:pPr>
                    <w:adjustRightInd w:val="0"/>
                    <w:spacing w:line="276" w:lineRule="auto"/>
                    <w:jc w:val="center"/>
                    <w:rPr>
                      <w:color w:val="auto"/>
                      <w:kern w:val="0"/>
                      <w:szCs w:val="21"/>
                    </w:rPr>
                  </w:pPr>
                  <w:r>
                    <w:rPr>
                      <w:rFonts w:hint="eastAsia"/>
                      <w:color w:val="auto"/>
                      <w:kern w:val="0"/>
                      <w:szCs w:val="21"/>
                    </w:rPr>
                    <w:t>0.010</w:t>
                  </w:r>
                </w:p>
              </w:tc>
              <w:tc>
                <w:tcPr>
                  <w:tcW w:w="853" w:type="dxa"/>
                  <w:vMerge w:val="continue"/>
                  <w:shd w:val="clear" w:color="auto" w:fill="auto"/>
                  <w:vAlign w:val="center"/>
                </w:tcPr>
                <w:p w14:paraId="775CE67A">
                  <w:pPr>
                    <w:adjustRightInd w:val="0"/>
                    <w:spacing w:line="276" w:lineRule="auto"/>
                    <w:jc w:val="center"/>
                    <w:rPr>
                      <w:color w:val="auto"/>
                      <w:kern w:val="0"/>
                      <w:szCs w:val="21"/>
                    </w:rPr>
                  </w:pPr>
                </w:p>
              </w:tc>
            </w:tr>
            <w:tr w14:paraId="374730E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801" w:type="dxa"/>
                  <w:vMerge w:val="continue"/>
                  <w:vAlign w:val="center"/>
                </w:tcPr>
                <w:p w14:paraId="42375B7E">
                  <w:pPr>
                    <w:adjustRightInd w:val="0"/>
                    <w:spacing w:line="276" w:lineRule="auto"/>
                    <w:jc w:val="center"/>
                    <w:rPr>
                      <w:color w:val="auto"/>
                      <w:kern w:val="0"/>
                      <w:szCs w:val="21"/>
                    </w:rPr>
                  </w:pPr>
                </w:p>
              </w:tc>
              <w:tc>
                <w:tcPr>
                  <w:tcW w:w="851" w:type="dxa"/>
                  <w:vMerge w:val="continue"/>
                  <w:vAlign w:val="center"/>
                </w:tcPr>
                <w:p w14:paraId="79E91F6E">
                  <w:pPr>
                    <w:adjustRightInd w:val="0"/>
                    <w:spacing w:line="276" w:lineRule="auto"/>
                    <w:jc w:val="center"/>
                    <w:rPr>
                      <w:color w:val="auto"/>
                      <w:kern w:val="0"/>
                      <w:szCs w:val="21"/>
                    </w:rPr>
                  </w:pPr>
                </w:p>
              </w:tc>
              <w:tc>
                <w:tcPr>
                  <w:tcW w:w="850" w:type="dxa"/>
                  <w:vMerge w:val="continue"/>
                  <w:shd w:val="clear" w:color="auto" w:fill="auto"/>
                  <w:vAlign w:val="center"/>
                </w:tcPr>
                <w:p w14:paraId="3E0F669F">
                  <w:pPr>
                    <w:adjustRightInd w:val="0"/>
                    <w:spacing w:line="276" w:lineRule="auto"/>
                    <w:jc w:val="center"/>
                    <w:rPr>
                      <w:color w:val="auto"/>
                      <w:kern w:val="0"/>
                      <w:szCs w:val="21"/>
                    </w:rPr>
                  </w:pPr>
                </w:p>
              </w:tc>
              <w:tc>
                <w:tcPr>
                  <w:tcW w:w="1067" w:type="dxa"/>
                  <w:vAlign w:val="center"/>
                </w:tcPr>
                <w:p w14:paraId="15FB39DA">
                  <w:pPr>
                    <w:adjustRightInd w:val="0"/>
                    <w:spacing w:line="276" w:lineRule="auto"/>
                    <w:jc w:val="center"/>
                    <w:rPr>
                      <w:color w:val="auto"/>
                      <w:kern w:val="0"/>
                      <w:szCs w:val="21"/>
                    </w:rPr>
                  </w:pPr>
                  <w:r>
                    <w:rPr>
                      <w:rFonts w:hint="eastAsia"/>
                      <w:color w:val="auto"/>
                      <w:kern w:val="0"/>
                      <w:szCs w:val="21"/>
                    </w:rPr>
                    <w:t>第三次</w:t>
                  </w:r>
                </w:p>
              </w:tc>
              <w:tc>
                <w:tcPr>
                  <w:tcW w:w="1143" w:type="dxa"/>
                  <w:vAlign w:val="center"/>
                </w:tcPr>
                <w:p w14:paraId="4DEE0FC1">
                  <w:pPr>
                    <w:adjustRightInd w:val="0"/>
                    <w:spacing w:line="276" w:lineRule="auto"/>
                    <w:jc w:val="center"/>
                    <w:rPr>
                      <w:color w:val="auto"/>
                      <w:kern w:val="0"/>
                      <w:szCs w:val="21"/>
                    </w:rPr>
                  </w:pPr>
                  <w:r>
                    <w:rPr>
                      <w:rFonts w:hint="eastAsia"/>
                      <w:color w:val="auto"/>
                      <w:kern w:val="0"/>
                      <w:szCs w:val="21"/>
                    </w:rPr>
                    <w:t>11384</w:t>
                  </w:r>
                </w:p>
              </w:tc>
              <w:tc>
                <w:tcPr>
                  <w:tcW w:w="1308" w:type="dxa"/>
                  <w:shd w:val="clear" w:color="auto" w:fill="auto"/>
                  <w:vAlign w:val="center"/>
                </w:tcPr>
                <w:p w14:paraId="209A9DE2">
                  <w:pPr>
                    <w:adjustRightInd w:val="0"/>
                    <w:spacing w:line="276" w:lineRule="auto"/>
                    <w:jc w:val="center"/>
                    <w:rPr>
                      <w:color w:val="auto"/>
                      <w:kern w:val="0"/>
                      <w:szCs w:val="21"/>
                    </w:rPr>
                  </w:pPr>
                  <w:r>
                    <w:rPr>
                      <w:rFonts w:hint="eastAsia"/>
                      <w:color w:val="auto"/>
                      <w:kern w:val="0"/>
                      <w:szCs w:val="21"/>
                    </w:rPr>
                    <w:t>3.37</w:t>
                  </w:r>
                </w:p>
              </w:tc>
              <w:tc>
                <w:tcPr>
                  <w:tcW w:w="1311" w:type="dxa"/>
                  <w:shd w:val="clear" w:color="auto" w:fill="auto"/>
                  <w:vAlign w:val="center"/>
                </w:tcPr>
                <w:p w14:paraId="6D47B75E">
                  <w:pPr>
                    <w:adjustRightInd w:val="0"/>
                    <w:spacing w:line="276" w:lineRule="auto"/>
                    <w:jc w:val="center"/>
                    <w:rPr>
                      <w:color w:val="auto"/>
                      <w:kern w:val="0"/>
                      <w:szCs w:val="21"/>
                    </w:rPr>
                  </w:pPr>
                  <w:r>
                    <w:rPr>
                      <w:rFonts w:hint="eastAsia"/>
                      <w:color w:val="auto"/>
                      <w:kern w:val="0"/>
                      <w:szCs w:val="21"/>
                    </w:rPr>
                    <w:t>0.038</w:t>
                  </w:r>
                </w:p>
              </w:tc>
              <w:tc>
                <w:tcPr>
                  <w:tcW w:w="853" w:type="dxa"/>
                  <w:vMerge w:val="continue"/>
                  <w:shd w:val="clear" w:color="auto" w:fill="auto"/>
                  <w:vAlign w:val="center"/>
                </w:tcPr>
                <w:p w14:paraId="59E6F1DF">
                  <w:pPr>
                    <w:adjustRightInd w:val="0"/>
                    <w:spacing w:line="276" w:lineRule="auto"/>
                    <w:jc w:val="center"/>
                    <w:rPr>
                      <w:color w:val="auto"/>
                      <w:kern w:val="0"/>
                      <w:szCs w:val="21"/>
                    </w:rPr>
                  </w:pPr>
                </w:p>
              </w:tc>
            </w:tr>
          </w:tbl>
          <w:p w14:paraId="556EEDCA">
            <w:pPr>
              <w:pStyle w:val="16"/>
              <w:spacing w:after="0" w:line="360" w:lineRule="auto"/>
              <w:ind w:left="0" w:leftChars="0" w:firstLine="480" w:firstLineChars="200"/>
              <w:rPr>
                <w:color w:val="auto"/>
                <w:kern w:val="0"/>
                <w:sz w:val="24"/>
              </w:rPr>
            </w:pPr>
            <w:r>
              <w:rPr>
                <w:rFonts w:hint="eastAsia"/>
                <w:color w:val="auto"/>
                <w:kern w:val="0"/>
                <w:sz w:val="24"/>
              </w:rPr>
              <w:t>根据监测结果，4#废气排放口二氧化硫未检出</w:t>
            </w:r>
            <w:r>
              <w:rPr>
                <w:rFonts w:hint="eastAsia"/>
                <w:color w:val="auto"/>
                <w:sz w:val="24"/>
                <w:szCs w:val="32"/>
              </w:rPr>
              <w:t>（检出限为3mg/m</w:t>
            </w:r>
            <w:r>
              <w:rPr>
                <w:rFonts w:hint="eastAsia"/>
                <w:color w:val="auto"/>
                <w:sz w:val="24"/>
                <w:szCs w:val="32"/>
                <w:vertAlign w:val="superscript"/>
              </w:rPr>
              <w:t>3</w:t>
            </w:r>
            <w:r>
              <w:rPr>
                <w:rFonts w:hint="eastAsia"/>
                <w:color w:val="auto"/>
                <w:sz w:val="24"/>
                <w:szCs w:val="32"/>
              </w:rPr>
              <w:t>小于200mg/m</w:t>
            </w:r>
            <w:r>
              <w:rPr>
                <w:rFonts w:hint="eastAsia"/>
                <w:color w:val="auto"/>
                <w:sz w:val="24"/>
                <w:szCs w:val="32"/>
                <w:vertAlign w:val="superscript"/>
              </w:rPr>
              <w:t>3</w:t>
            </w:r>
            <w:r>
              <w:rPr>
                <w:rFonts w:hint="eastAsia"/>
                <w:color w:val="auto"/>
                <w:sz w:val="24"/>
                <w:szCs w:val="32"/>
              </w:rPr>
              <w:t>）满足上海市《大气污染物综合排放标准》（DB31/933-2015）中相关限值要求（二氧化硫：200mg/m</w:t>
            </w:r>
            <w:r>
              <w:rPr>
                <w:rFonts w:hint="eastAsia"/>
                <w:color w:val="auto"/>
                <w:sz w:val="24"/>
                <w:szCs w:val="32"/>
                <w:vertAlign w:val="superscript"/>
              </w:rPr>
              <w:t>3</w:t>
            </w:r>
            <w:r>
              <w:rPr>
                <w:rFonts w:hint="eastAsia"/>
                <w:color w:val="auto"/>
                <w:sz w:val="24"/>
                <w:szCs w:val="32"/>
              </w:rPr>
              <w:t>）；</w:t>
            </w:r>
            <w:r>
              <w:rPr>
                <w:rFonts w:hint="eastAsia"/>
                <w:color w:val="auto"/>
                <w:kern w:val="0"/>
                <w:sz w:val="24"/>
              </w:rPr>
              <w:t>氮氧化物未检出</w:t>
            </w:r>
            <w:r>
              <w:rPr>
                <w:rFonts w:hint="eastAsia"/>
                <w:color w:val="auto"/>
                <w:sz w:val="24"/>
                <w:szCs w:val="32"/>
              </w:rPr>
              <w:t>（检出限为3mg/m</w:t>
            </w:r>
            <w:r>
              <w:rPr>
                <w:rFonts w:hint="eastAsia"/>
                <w:color w:val="auto"/>
                <w:sz w:val="24"/>
                <w:szCs w:val="32"/>
                <w:vertAlign w:val="superscript"/>
              </w:rPr>
              <w:t>3</w:t>
            </w:r>
            <w:r>
              <w:rPr>
                <w:rFonts w:hint="eastAsia"/>
                <w:color w:val="auto"/>
                <w:sz w:val="24"/>
                <w:szCs w:val="32"/>
              </w:rPr>
              <w:t>小于200mg/m</w:t>
            </w:r>
            <w:r>
              <w:rPr>
                <w:rFonts w:hint="eastAsia"/>
                <w:color w:val="auto"/>
                <w:sz w:val="24"/>
                <w:szCs w:val="32"/>
                <w:vertAlign w:val="superscript"/>
              </w:rPr>
              <w:t>3</w:t>
            </w:r>
            <w:r>
              <w:rPr>
                <w:rFonts w:hint="eastAsia"/>
                <w:color w:val="auto"/>
                <w:sz w:val="24"/>
                <w:szCs w:val="32"/>
              </w:rPr>
              <w:t>）满足上海市《大气污染物综合排放标准》（DB31/933-2015）中相关限值要求（氮氧化物：200mg/m</w:t>
            </w:r>
            <w:r>
              <w:rPr>
                <w:rFonts w:hint="eastAsia"/>
                <w:color w:val="auto"/>
                <w:sz w:val="24"/>
                <w:szCs w:val="32"/>
                <w:vertAlign w:val="superscript"/>
              </w:rPr>
              <w:t>3</w:t>
            </w:r>
            <w:r>
              <w:rPr>
                <w:rFonts w:hint="eastAsia"/>
                <w:color w:val="auto"/>
                <w:sz w:val="24"/>
                <w:szCs w:val="32"/>
              </w:rPr>
              <w:t>）；颗粒物排放浓度最大值为28.5mg/m</w:t>
            </w:r>
            <w:r>
              <w:rPr>
                <w:rFonts w:hint="eastAsia"/>
                <w:color w:val="auto"/>
                <w:sz w:val="24"/>
                <w:szCs w:val="32"/>
                <w:vertAlign w:val="superscript"/>
              </w:rPr>
              <w:t>3</w:t>
            </w:r>
            <w:r>
              <w:rPr>
                <w:rFonts w:hint="eastAsia"/>
                <w:color w:val="auto"/>
                <w:sz w:val="24"/>
                <w:szCs w:val="32"/>
              </w:rPr>
              <w:t>＜30mg/m</w:t>
            </w:r>
            <w:r>
              <w:rPr>
                <w:rFonts w:hint="eastAsia"/>
                <w:color w:val="auto"/>
                <w:sz w:val="24"/>
                <w:szCs w:val="32"/>
                <w:vertAlign w:val="superscript"/>
              </w:rPr>
              <w:t>3</w:t>
            </w:r>
            <w:r>
              <w:rPr>
                <w:rFonts w:hint="eastAsia"/>
                <w:color w:val="auto"/>
                <w:sz w:val="24"/>
                <w:szCs w:val="32"/>
              </w:rPr>
              <w:t>，满足《工业炉窑大气污染综合治理方案》（环大气[2019]56号）限值要求（30mg/m</w:t>
            </w:r>
            <w:r>
              <w:rPr>
                <w:rFonts w:hint="eastAsia"/>
                <w:color w:val="auto"/>
                <w:sz w:val="24"/>
                <w:szCs w:val="32"/>
                <w:vertAlign w:val="superscript"/>
              </w:rPr>
              <w:t>3</w:t>
            </w:r>
            <w:r>
              <w:rPr>
                <w:rFonts w:hint="eastAsia"/>
                <w:color w:val="auto"/>
                <w:sz w:val="24"/>
                <w:szCs w:val="32"/>
              </w:rPr>
              <w:t>）；非甲烷总烃排放浓度最大值为3.37mg/m</w:t>
            </w:r>
            <w:r>
              <w:rPr>
                <w:rFonts w:hint="eastAsia"/>
                <w:color w:val="auto"/>
                <w:sz w:val="24"/>
                <w:szCs w:val="32"/>
                <w:vertAlign w:val="superscript"/>
              </w:rPr>
              <w:t>3</w:t>
            </w:r>
            <w:r>
              <w:rPr>
                <w:rFonts w:hint="eastAsia"/>
                <w:color w:val="auto"/>
                <w:sz w:val="24"/>
                <w:szCs w:val="32"/>
              </w:rPr>
              <w:t>＜70mg/m</w:t>
            </w:r>
            <w:r>
              <w:rPr>
                <w:rFonts w:hint="eastAsia"/>
                <w:color w:val="auto"/>
                <w:sz w:val="24"/>
                <w:szCs w:val="32"/>
                <w:vertAlign w:val="superscript"/>
              </w:rPr>
              <w:t>3</w:t>
            </w:r>
            <w:r>
              <w:rPr>
                <w:rFonts w:hint="eastAsia"/>
                <w:color w:val="auto"/>
                <w:sz w:val="24"/>
                <w:szCs w:val="32"/>
              </w:rPr>
              <w:t>，满足上海市《大气污染物综合排放标准》（DB31/933-2015）表1大气污染物项目排放浓度限值（非甲烷总烃：70mg/m</w:t>
            </w:r>
            <w:r>
              <w:rPr>
                <w:rFonts w:hint="eastAsia"/>
                <w:color w:val="auto"/>
                <w:sz w:val="24"/>
                <w:szCs w:val="32"/>
                <w:vertAlign w:val="superscript"/>
              </w:rPr>
              <w:t>3</w:t>
            </w:r>
            <w:r>
              <w:rPr>
                <w:rFonts w:hint="eastAsia"/>
                <w:color w:val="auto"/>
                <w:sz w:val="24"/>
                <w:szCs w:val="32"/>
              </w:rPr>
              <w:t>）。</w:t>
            </w:r>
          </w:p>
          <w:p w14:paraId="0B414F19">
            <w:pPr>
              <w:pStyle w:val="16"/>
              <w:spacing w:after="0" w:line="360" w:lineRule="auto"/>
              <w:ind w:left="0" w:leftChars="0" w:firstLine="480" w:firstLineChars="200"/>
              <w:rPr>
                <w:color w:val="auto"/>
                <w:kern w:val="0"/>
                <w:sz w:val="24"/>
              </w:rPr>
            </w:pPr>
            <w:r>
              <w:rPr>
                <w:rFonts w:hint="eastAsia"/>
                <w:color w:val="auto"/>
                <w:kern w:val="0"/>
                <w:sz w:val="24"/>
              </w:rPr>
              <w:t>（3）无组织废气</w:t>
            </w:r>
          </w:p>
          <w:p w14:paraId="66F282D7">
            <w:pPr>
              <w:pStyle w:val="16"/>
              <w:spacing w:after="0" w:line="360" w:lineRule="auto"/>
              <w:ind w:left="0" w:leftChars="0" w:firstLine="480" w:firstLineChars="200"/>
              <w:rPr>
                <w:color w:val="auto"/>
                <w:kern w:val="0"/>
                <w:sz w:val="24"/>
              </w:rPr>
            </w:pPr>
            <w:r>
              <w:rPr>
                <w:rFonts w:hint="eastAsia"/>
                <w:color w:val="auto"/>
                <w:kern w:val="0"/>
                <w:sz w:val="24"/>
              </w:rPr>
              <w:t>根据安徽澳林检测技术有限公司于2024年3月8日对厂界上下风向及厂区内污染物监测（报告编号：安澳检[2024]（03048）号），无组织废气监测结果详见下表。</w:t>
            </w:r>
          </w:p>
          <w:p w14:paraId="08888713">
            <w:pPr>
              <w:pStyle w:val="16"/>
              <w:spacing w:after="0" w:line="360" w:lineRule="auto"/>
              <w:ind w:left="0" w:leftChars="0" w:firstLine="480" w:firstLineChars="200"/>
              <w:jc w:val="center"/>
              <w:rPr>
                <w:color w:val="auto"/>
                <w:kern w:val="0"/>
                <w:sz w:val="24"/>
              </w:rPr>
            </w:pPr>
            <w:r>
              <w:rPr>
                <w:rFonts w:hAnsi="黑体" w:eastAsia="黑体"/>
                <w:color w:val="auto"/>
                <w:sz w:val="24"/>
              </w:rPr>
              <w:t>表</w:t>
            </w:r>
            <w:r>
              <w:rPr>
                <w:rFonts w:hint="eastAsia" w:eastAsia="黑体"/>
                <w:color w:val="auto"/>
                <w:sz w:val="24"/>
              </w:rPr>
              <w:t>27</w:t>
            </w:r>
            <w:r>
              <w:rPr>
                <w:rFonts w:eastAsia="黑体"/>
                <w:color w:val="auto"/>
                <w:sz w:val="24"/>
              </w:rPr>
              <w:t xml:space="preserve"> </w:t>
            </w:r>
            <w:r>
              <w:rPr>
                <w:rFonts w:hint="eastAsia" w:eastAsia="黑体"/>
                <w:color w:val="auto"/>
                <w:sz w:val="24"/>
              </w:rPr>
              <w:t xml:space="preserve"> </w:t>
            </w:r>
            <w:r>
              <w:rPr>
                <w:rFonts w:hint="eastAsia" w:eastAsia="黑体"/>
                <w:color w:val="auto"/>
                <w:kern w:val="0"/>
                <w:sz w:val="24"/>
              </w:rPr>
              <w:t>无组织</w:t>
            </w:r>
            <w:r>
              <w:rPr>
                <w:rFonts w:hAnsi="黑体" w:eastAsia="黑体"/>
                <w:color w:val="auto"/>
                <w:kern w:val="0"/>
                <w:sz w:val="24"/>
              </w:rPr>
              <w:t>废气检测结果统计</w:t>
            </w:r>
          </w:p>
          <w:tbl>
            <w:tblPr>
              <w:tblStyle w:val="35"/>
              <w:tblW w:w="822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2122"/>
              <w:gridCol w:w="2072"/>
              <w:gridCol w:w="2014"/>
            </w:tblGrid>
            <w:tr w14:paraId="7E1B5C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19" w:type="dxa"/>
                  <w:vMerge w:val="restart"/>
                  <w:vAlign w:val="center"/>
                </w:tcPr>
                <w:p w14:paraId="073219A4">
                  <w:pPr>
                    <w:spacing w:line="276" w:lineRule="auto"/>
                    <w:jc w:val="center"/>
                    <w:rPr>
                      <w:b/>
                      <w:color w:val="auto"/>
                      <w:kern w:val="0"/>
                      <w:szCs w:val="21"/>
                    </w:rPr>
                  </w:pPr>
                  <w:r>
                    <w:rPr>
                      <w:rFonts w:hAnsi="宋体"/>
                      <w:b/>
                      <w:color w:val="auto"/>
                      <w:kern w:val="0"/>
                      <w:szCs w:val="21"/>
                    </w:rPr>
                    <w:t>监测点位</w:t>
                  </w:r>
                </w:p>
              </w:tc>
              <w:tc>
                <w:tcPr>
                  <w:tcW w:w="4194" w:type="dxa"/>
                  <w:gridSpan w:val="2"/>
                  <w:vAlign w:val="center"/>
                </w:tcPr>
                <w:p w14:paraId="7F0792E1">
                  <w:pPr>
                    <w:spacing w:line="276" w:lineRule="auto"/>
                    <w:jc w:val="center"/>
                    <w:rPr>
                      <w:b/>
                      <w:color w:val="auto"/>
                      <w:kern w:val="0"/>
                      <w:szCs w:val="21"/>
                    </w:rPr>
                  </w:pPr>
                  <w:r>
                    <w:rPr>
                      <w:rFonts w:hAnsi="宋体"/>
                      <w:b/>
                      <w:color w:val="auto"/>
                      <w:kern w:val="0"/>
                      <w:szCs w:val="21"/>
                    </w:rPr>
                    <w:t>采样时间</w:t>
                  </w:r>
                  <w:r>
                    <w:rPr>
                      <w:rFonts w:hint="eastAsia" w:hAnsi="宋体"/>
                      <w:b/>
                      <w:color w:val="auto"/>
                      <w:kern w:val="0"/>
                      <w:szCs w:val="21"/>
                    </w:rPr>
                    <w:t>2024.03.08</w:t>
                  </w:r>
                </w:p>
              </w:tc>
              <w:tc>
                <w:tcPr>
                  <w:tcW w:w="2014" w:type="dxa"/>
                  <w:vMerge w:val="restart"/>
                  <w:vAlign w:val="center"/>
                </w:tcPr>
                <w:p w14:paraId="1BD8B578">
                  <w:pPr>
                    <w:spacing w:line="276" w:lineRule="auto"/>
                    <w:jc w:val="center"/>
                    <w:rPr>
                      <w:b/>
                      <w:color w:val="auto"/>
                      <w:kern w:val="0"/>
                      <w:szCs w:val="21"/>
                    </w:rPr>
                  </w:pPr>
                  <w:r>
                    <w:rPr>
                      <w:rFonts w:hAnsi="宋体"/>
                      <w:b/>
                      <w:color w:val="auto"/>
                      <w:kern w:val="0"/>
                      <w:szCs w:val="21"/>
                    </w:rPr>
                    <w:t>监测数据</w:t>
                  </w:r>
                </w:p>
              </w:tc>
            </w:tr>
            <w:tr w14:paraId="35E84C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26FF3256">
                  <w:pPr>
                    <w:spacing w:line="276" w:lineRule="auto"/>
                    <w:jc w:val="center"/>
                    <w:rPr>
                      <w:b/>
                      <w:color w:val="auto"/>
                      <w:kern w:val="0"/>
                      <w:szCs w:val="21"/>
                    </w:rPr>
                  </w:pPr>
                </w:p>
              </w:tc>
              <w:tc>
                <w:tcPr>
                  <w:tcW w:w="2122" w:type="dxa"/>
                  <w:vAlign w:val="center"/>
                </w:tcPr>
                <w:p w14:paraId="5C5F0399">
                  <w:pPr>
                    <w:spacing w:line="276" w:lineRule="auto"/>
                    <w:jc w:val="center"/>
                    <w:rPr>
                      <w:b/>
                      <w:color w:val="auto"/>
                      <w:kern w:val="0"/>
                      <w:szCs w:val="21"/>
                    </w:rPr>
                  </w:pPr>
                  <w:r>
                    <w:rPr>
                      <w:rFonts w:hAnsi="宋体"/>
                      <w:b/>
                      <w:color w:val="auto"/>
                      <w:kern w:val="0"/>
                      <w:szCs w:val="21"/>
                    </w:rPr>
                    <w:t>检测项目</w:t>
                  </w:r>
                </w:p>
              </w:tc>
              <w:tc>
                <w:tcPr>
                  <w:tcW w:w="2072" w:type="dxa"/>
                  <w:vAlign w:val="center"/>
                </w:tcPr>
                <w:p w14:paraId="4DC97D6A">
                  <w:pPr>
                    <w:spacing w:line="276" w:lineRule="auto"/>
                    <w:jc w:val="center"/>
                    <w:rPr>
                      <w:b/>
                      <w:color w:val="auto"/>
                      <w:kern w:val="0"/>
                      <w:szCs w:val="21"/>
                    </w:rPr>
                  </w:pPr>
                  <w:r>
                    <w:rPr>
                      <w:rFonts w:hAnsi="宋体"/>
                      <w:b/>
                      <w:color w:val="auto"/>
                      <w:kern w:val="0"/>
                      <w:szCs w:val="21"/>
                    </w:rPr>
                    <w:t>检测频次</w:t>
                  </w:r>
                </w:p>
              </w:tc>
              <w:tc>
                <w:tcPr>
                  <w:tcW w:w="2014" w:type="dxa"/>
                  <w:vMerge w:val="continue"/>
                  <w:vAlign w:val="center"/>
                </w:tcPr>
                <w:p w14:paraId="051C9194">
                  <w:pPr>
                    <w:spacing w:line="276" w:lineRule="auto"/>
                    <w:jc w:val="center"/>
                    <w:rPr>
                      <w:color w:val="auto"/>
                      <w:kern w:val="0"/>
                      <w:szCs w:val="21"/>
                    </w:rPr>
                  </w:pPr>
                </w:p>
              </w:tc>
            </w:tr>
            <w:tr w14:paraId="55190B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19" w:type="dxa"/>
                  <w:vMerge w:val="restart"/>
                  <w:vAlign w:val="center"/>
                </w:tcPr>
                <w:p w14:paraId="6FF6B145">
                  <w:pPr>
                    <w:spacing w:line="276" w:lineRule="auto"/>
                    <w:jc w:val="center"/>
                    <w:rPr>
                      <w:color w:val="auto"/>
                      <w:kern w:val="0"/>
                      <w:szCs w:val="21"/>
                    </w:rPr>
                  </w:pPr>
                  <w:r>
                    <w:rPr>
                      <w:color w:val="auto"/>
                      <w:kern w:val="0"/>
                      <w:szCs w:val="21"/>
                    </w:rPr>
                    <w:t>厂界上风向</w:t>
                  </w:r>
                  <w:r>
                    <w:rPr>
                      <w:rFonts w:hint="eastAsia"/>
                      <w:color w:val="auto"/>
                      <w:kern w:val="0"/>
                      <w:szCs w:val="21"/>
                    </w:rPr>
                    <w:t>G1</w:t>
                  </w:r>
                </w:p>
              </w:tc>
              <w:tc>
                <w:tcPr>
                  <w:tcW w:w="2122" w:type="dxa"/>
                  <w:vMerge w:val="restart"/>
                  <w:vAlign w:val="center"/>
                </w:tcPr>
                <w:p w14:paraId="1D53A4BE">
                  <w:pPr>
                    <w:spacing w:line="276" w:lineRule="auto"/>
                    <w:jc w:val="center"/>
                    <w:rPr>
                      <w:color w:val="auto"/>
                      <w:kern w:val="0"/>
                      <w:szCs w:val="21"/>
                    </w:rPr>
                  </w:pPr>
                  <w:r>
                    <w:rPr>
                      <w:color w:val="auto"/>
                      <w:kern w:val="0"/>
                      <w:szCs w:val="21"/>
                    </w:rPr>
                    <w:t>颗粒物（μg</w:t>
                  </w:r>
                  <w:r>
                    <w:rPr>
                      <w:rFonts w:hint="eastAsia"/>
                      <w:color w:val="auto"/>
                      <w:kern w:val="0"/>
                      <w:szCs w:val="21"/>
                    </w:rPr>
                    <w:t>/m</w:t>
                  </w:r>
                  <w:r>
                    <w:rPr>
                      <w:rFonts w:hint="eastAsia"/>
                      <w:color w:val="auto"/>
                      <w:kern w:val="0"/>
                      <w:szCs w:val="21"/>
                      <w:vertAlign w:val="superscript"/>
                    </w:rPr>
                    <w:t>3</w:t>
                  </w:r>
                  <w:r>
                    <w:rPr>
                      <w:color w:val="auto"/>
                      <w:kern w:val="0"/>
                      <w:szCs w:val="21"/>
                    </w:rPr>
                    <w:t>）</w:t>
                  </w:r>
                </w:p>
              </w:tc>
              <w:tc>
                <w:tcPr>
                  <w:tcW w:w="2072" w:type="dxa"/>
                  <w:vAlign w:val="center"/>
                </w:tcPr>
                <w:p w14:paraId="39AE2D96">
                  <w:pPr>
                    <w:spacing w:line="276" w:lineRule="auto"/>
                    <w:jc w:val="center"/>
                    <w:rPr>
                      <w:color w:val="auto"/>
                      <w:kern w:val="0"/>
                      <w:szCs w:val="21"/>
                    </w:rPr>
                  </w:pPr>
                  <w:r>
                    <w:rPr>
                      <w:color w:val="auto"/>
                      <w:kern w:val="0"/>
                      <w:szCs w:val="21"/>
                    </w:rPr>
                    <w:t>第一次</w:t>
                  </w:r>
                </w:p>
              </w:tc>
              <w:tc>
                <w:tcPr>
                  <w:tcW w:w="2014" w:type="dxa"/>
                  <w:vAlign w:val="center"/>
                </w:tcPr>
                <w:p w14:paraId="0686179F">
                  <w:pPr>
                    <w:spacing w:line="276" w:lineRule="auto"/>
                    <w:jc w:val="center"/>
                    <w:rPr>
                      <w:color w:val="auto"/>
                      <w:kern w:val="0"/>
                      <w:szCs w:val="21"/>
                    </w:rPr>
                  </w:pPr>
                  <w:r>
                    <w:rPr>
                      <w:rFonts w:hint="eastAsia"/>
                      <w:color w:val="auto"/>
                      <w:kern w:val="0"/>
                      <w:szCs w:val="21"/>
                    </w:rPr>
                    <w:t>197</w:t>
                  </w:r>
                </w:p>
              </w:tc>
            </w:tr>
            <w:tr w14:paraId="00B838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652AEA68">
                  <w:pPr>
                    <w:spacing w:line="276" w:lineRule="auto"/>
                    <w:jc w:val="center"/>
                    <w:rPr>
                      <w:color w:val="auto"/>
                      <w:kern w:val="0"/>
                      <w:szCs w:val="21"/>
                    </w:rPr>
                  </w:pPr>
                </w:p>
              </w:tc>
              <w:tc>
                <w:tcPr>
                  <w:tcW w:w="2122" w:type="dxa"/>
                  <w:vMerge w:val="continue"/>
                  <w:vAlign w:val="center"/>
                </w:tcPr>
                <w:p w14:paraId="03AD6C23">
                  <w:pPr>
                    <w:spacing w:line="276" w:lineRule="auto"/>
                    <w:jc w:val="center"/>
                    <w:rPr>
                      <w:color w:val="auto"/>
                      <w:kern w:val="0"/>
                      <w:szCs w:val="21"/>
                    </w:rPr>
                  </w:pPr>
                </w:p>
              </w:tc>
              <w:tc>
                <w:tcPr>
                  <w:tcW w:w="2072" w:type="dxa"/>
                  <w:vAlign w:val="center"/>
                </w:tcPr>
                <w:p w14:paraId="05F3193D">
                  <w:pPr>
                    <w:spacing w:line="276" w:lineRule="auto"/>
                    <w:jc w:val="center"/>
                    <w:rPr>
                      <w:color w:val="auto"/>
                      <w:kern w:val="0"/>
                      <w:szCs w:val="21"/>
                    </w:rPr>
                  </w:pPr>
                  <w:r>
                    <w:rPr>
                      <w:color w:val="auto"/>
                      <w:kern w:val="0"/>
                      <w:szCs w:val="21"/>
                    </w:rPr>
                    <w:t>第二次</w:t>
                  </w:r>
                </w:p>
              </w:tc>
              <w:tc>
                <w:tcPr>
                  <w:tcW w:w="2014" w:type="dxa"/>
                  <w:vAlign w:val="center"/>
                </w:tcPr>
                <w:p w14:paraId="02A1252C">
                  <w:pPr>
                    <w:spacing w:line="276" w:lineRule="auto"/>
                    <w:jc w:val="center"/>
                    <w:rPr>
                      <w:color w:val="auto"/>
                      <w:kern w:val="0"/>
                      <w:szCs w:val="21"/>
                    </w:rPr>
                  </w:pPr>
                  <w:r>
                    <w:rPr>
                      <w:rFonts w:hint="eastAsia"/>
                      <w:color w:val="auto"/>
                      <w:kern w:val="0"/>
                      <w:szCs w:val="21"/>
                    </w:rPr>
                    <w:t>175</w:t>
                  </w:r>
                </w:p>
              </w:tc>
            </w:tr>
            <w:tr w14:paraId="722B24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3843408D">
                  <w:pPr>
                    <w:spacing w:line="276" w:lineRule="auto"/>
                    <w:jc w:val="center"/>
                    <w:rPr>
                      <w:color w:val="auto"/>
                      <w:kern w:val="0"/>
                      <w:szCs w:val="21"/>
                    </w:rPr>
                  </w:pPr>
                </w:p>
              </w:tc>
              <w:tc>
                <w:tcPr>
                  <w:tcW w:w="2122" w:type="dxa"/>
                  <w:vMerge w:val="continue"/>
                  <w:vAlign w:val="center"/>
                </w:tcPr>
                <w:p w14:paraId="41073E82">
                  <w:pPr>
                    <w:spacing w:line="276" w:lineRule="auto"/>
                    <w:jc w:val="center"/>
                    <w:rPr>
                      <w:color w:val="auto"/>
                      <w:kern w:val="0"/>
                      <w:szCs w:val="21"/>
                    </w:rPr>
                  </w:pPr>
                </w:p>
              </w:tc>
              <w:tc>
                <w:tcPr>
                  <w:tcW w:w="2072" w:type="dxa"/>
                  <w:vAlign w:val="center"/>
                </w:tcPr>
                <w:p w14:paraId="2FF770D5">
                  <w:pPr>
                    <w:spacing w:line="276" w:lineRule="auto"/>
                    <w:jc w:val="center"/>
                    <w:rPr>
                      <w:color w:val="auto"/>
                      <w:kern w:val="0"/>
                      <w:szCs w:val="21"/>
                    </w:rPr>
                  </w:pPr>
                  <w:r>
                    <w:rPr>
                      <w:color w:val="auto"/>
                      <w:kern w:val="0"/>
                      <w:szCs w:val="21"/>
                    </w:rPr>
                    <w:t>第三次</w:t>
                  </w:r>
                </w:p>
              </w:tc>
              <w:tc>
                <w:tcPr>
                  <w:tcW w:w="2014" w:type="dxa"/>
                  <w:vAlign w:val="center"/>
                </w:tcPr>
                <w:p w14:paraId="693E16D6">
                  <w:pPr>
                    <w:spacing w:line="276" w:lineRule="auto"/>
                    <w:jc w:val="center"/>
                    <w:rPr>
                      <w:color w:val="auto"/>
                      <w:kern w:val="0"/>
                      <w:szCs w:val="21"/>
                    </w:rPr>
                  </w:pPr>
                  <w:r>
                    <w:rPr>
                      <w:rFonts w:hint="eastAsia"/>
                      <w:color w:val="auto"/>
                      <w:kern w:val="0"/>
                      <w:szCs w:val="21"/>
                    </w:rPr>
                    <w:t>192</w:t>
                  </w:r>
                </w:p>
              </w:tc>
            </w:tr>
            <w:tr w14:paraId="34C8FB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3564FBEF">
                  <w:pPr>
                    <w:spacing w:line="276" w:lineRule="auto"/>
                    <w:jc w:val="center"/>
                    <w:rPr>
                      <w:color w:val="auto"/>
                      <w:kern w:val="0"/>
                      <w:szCs w:val="21"/>
                    </w:rPr>
                  </w:pPr>
                </w:p>
              </w:tc>
              <w:tc>
                <w:tcPr>
                  <w:tcW w:w="2122" w:type="dxa"/>
                  <w:vMerge w:val="restart"/>
                  <w:vAlign w:val="center"/>
                </w:tcPr>
                <w:p w14:paraId="16875B99">
                  <w:pPr>
                    <w:spacing w:line="276" w:lineRule="auto"/>
                    <w:jc w:val="center"/>
                    <w:rPr>
                      <w:color w:val="auto"/>
                      <w:kern w:val="0"/>
                      <w:szCs w:val="21"/>
                    </w:rPr>
                  </w:pPr>
                  <w:r>
                    <w:rPr>
                      <w:color w:val="auto"/>
                      <w:kern w:val="0"/>
                      <w:szCs w:val="21"/>
                    </w:rPr>
                    <w:t>非甲烷总烃（mg</w:t>
                  </w:r>
                  <w:r>
                    <w:rPr>
                      <w:rFonts w:hint="eastAsia"/>
                      <w:color w:val="auto"/>
                      <w:kern w:val="0"/>
                      <w:szCs w:val="21"/>
                    </w:rPr>
                    <w:t>/m</w:t>
                  </w:r>
                  <w:r>
                    <w:rPr>
                      <w:rFonts w:hint="eastAsia"/>
                      <w:color w:val="auto"/>
                      <w:kern w:val="0"/>
                      <w:szCs w:val="21"/>
                      <w:vertAlign w:val="superscript"/>
                    </w:rPr>
                    <w:t>3</w:t>
                  </w:r>
                  <w:r>
                    <w:rPr>
                      <w:color w:val="auto"/>
                      <w:kern w:val="0"/>
                      <w:szCs w:val="21"/>
                    </w:rPr>
                    <w:t>）</w:t>
                  </w:r>
                </w:p>
              </w:tc>
              <w:tc>
                <w:tcPr>
                  <w:tcW w:w="2072" w:type="dxa"/>
                  <w:vAlign w:val="center"/>
                </w:tcPr>
                <w:p w14:paraId="1898FF27">
                  <w:pPr>
                    <w:spacing w:line="276" w:lineRule="auto"/>
                    <w:jc w:val="center"/>
                    <w:rPr>
                      <w:color w:val="auto"/>
                      <w:kern w:val="0"/>
                      <w:szCs w:val="21"/>
                    </w:rPr>
                  </w:pPr>
                  <w:r>
                    <w:rPr>
                      <w:color w:val="auto"/>
                      <w:kern w:val="0"/>
                      <w:szCs w:val="21"/>
                    </w:rPr>
                    <w:t>第一次</w:t>
                  </w:r>
                </w:p>
              </w:tc>
              <w:tc>
                <w:tcPr>
                  <w:tcW w:w="2014" w:type="dxa"/>
                  <w:vAlign w:val="center"/>
                </w:tcPr>
                <w:p w14:paraId="15383515">
                  <w:pPr>
                    <w:spacing w:line="276" w:lineRule="auto"/>
                    <w:jc w:val="center"/>
                    <w:rPr>
                      <w:color w:val="auto"/>
                      <w:kern w:val="0"/>
                      <w:szCs w:val="21"/>
                    </w:rPr>
                  </w:pPr>
                  <w:r>
                    <w:rPr>
                      <w:rFonts w:hint="eastAsia"/>
                      <w:color w:val="auto"/>
                      <w:kern w:val="0"/>
                      <w:szCs w:val="21"/>
                    </w:rPr>
                    <w:t>0.90</w:t>
                  </w:r>
                </w:p>
              </w:tc>
            </w:tr>
            <w:tr w14:paraId="0D4EA4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6F3B0409">
                  <w:pPr>
                    <w:spacing w:line="276" w:lineRule="auto"/>
                    <w:jc w:val="center"/>
                    <w:rPr>
                      <w:color w:val="auto"/>
                      <w:kern w:val="0"/>
                      <w:szCs w:val="21"/>
                    </w:rPr>
                  </w:pPr>
                </w:p>
              </w:tc>
              <w:tc>
                <w:tcPr>
                  <w:tcW w:w="2122" w:type="dxa"/>
                  <w:vMerge w:val="continue"/>
                  <w:vAlign w:val="center"/>
                </w:tcPr>
                <w:p w14:paraId="45938C95">
                  <w:pPr>
                    <w:spacing w:line="276" w:lineRule="auto"/>
                    <w:jc w:val="center"/>
                    <w:rPr>
                      <w:color w:val="auto"/>
                      <w:kern w:val="0"/>
                      <w:szCs w:val="21"/>
                    </w:rPr>
                  </w:pPr>
                </w:p>
              </w:tc>
              <w:tc>
                <w:tcPr>
                  <w:tcW w:w="2072" w:type="dxa"/>
                  <w:vAlign w:val="center"/>
                </w:tcPr>
                <w:p w14:paraId="2B1690DF">
                  <w:pPr>
                    <w:spacing w:line="276" w:lineRule="auto"/>
                    <w:jc w:val="center"/>
                    <w:rPr>
                      <w:color w:val="auto"/>
                      <w:kern w:val="0"/>
                      <w:szCs w:val="21"/>
                    </w:rPr>
                  </w:pPr>
                  <w:r>
                    <w:rPr>
                      <w:color w:val="auto"/>
                      <w:kern w:val="0"/>
                      <w:szCs w:val="21"/>
                    </w:rPr>
                    <w:t>第二次</w:t>
                  </w:r>
                </w:p>
              </w:tc>
              <w:tc>
                <w:tcPr>
                  <w:tcW w:w="2014" w:type="dxa"/>
                  <w:vAlign w:val="center"/>
                </w:tcPr>
                <w:p w14:paraId="45535030">
                  <w:pPr>
                    <w:spacing w:line="276" w:lineRule="auto"/>
                    <w:jc w:val="center"/>
                    <w:rPr>
                      <w:color w:val="auto"/>
                      <w:kern w:val="0"/>
                      <w:szCs w:val="21"/>
                    </w:rPr>
                  </w:pPr>
                  <w:r>
                    <w:rPr>
                      <w:rFonts w:hint="eastAsia"/>
                      <w:color w:val="auto"/>
                      <w:kern w:val="0"/>
                      <w:szCs w:val="21"/>
                    </w:rPr>
                    <w:t>0.66</w:t>
                  </w:r>
                </w:p>
              </w:tc>
            </w:tr>
            <w:tr w14:paraId="48E89F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5062E140">
                  <w:pPr>
                    <w:spacing w:line="276" w:lineRule="auto"/>
                    <w:jc w:val="center"/>
                    <w:rPr>
                      <w:color w:val="auto"/>
                      <w:kern w:val="0"/>
                      <w:szCs w:val="21"/>
                    </w:rPr>
                  </w:pPr>
                </w:p>
              </w:tc>
              <w:tc>
                <w:tcPr>
                  <w:tcW w:w="2122" w:type="dxa"/>
                  <w:vMerge w:val="continue"/>
                  <w:vAlign w:val="center"/>
                </w:tcPr>
                <w:p w14:paraId="04C66301">
                  <w:pPr>
                    <w:spacing w:line="276" w:lineRule="auto"/>
                    <w:jc w:val="center"/>
                    <w:rPr>
                      <w:color w:val="auto"/>
                      <w:kern w:val="0"/>
                      <w:szCs w:val="21"/>
                    </w:rPr>
                  </w:pPr>
                </w:p>
              </w:tc>
              <w:tc>
                <w:tcPr>
                  <w:tcW w:w="2072" w:type="dxa"/>
                  <w:vAlign w:val="center"/>
                </w:tcPr>
                <w:p w14:paraId="2728D2E7">
                  <w:pPr>
                    <w:spacing w:line="276" w:lineRule="auto"/>
                    <w:jc w:val="center"/>
                    <w:rPr>
                      <w:color w:val="auto"/>
                      <w:kern w:val="0"/>
                      <w:szCs w:val="21"/>
                    </w:rPr>
                  </w:pPr>
                  <w:r>
                    <w:rPr>
                      <w:color w:val="auto"/>
                      <w:kern w:val="0"/>
                      <w:szCs w:val="21"/>
                    </w:rPr>
                    <w:t>第三次</w:t>
                  </w:r>
                </w:p>
              </w:tc>
              <w:tc>
                <w:tcPr>
                  <w:tcW w:w="2014" w:type="dxa"/>
                  <w:vAlign w:val="center"/>
                </w:tcPr>
                <w:p w14:paraId="36CBD6B8">
                  <w:pPr>
                    <w:spacing w:line="276" w:lineRule="auto"/>
                    <w:jc w:val="center"/>
                    <w:rPr>
                      <w:color w:val="auto"/>
                      <w:kern w:val="0"/>
                      <w:szCs w:val="21"/>
                    </w:rPr>
                  </w:pPr>
                  <w:r>
                    <w:rPr>
                      <w:rFonts w:hint="eastAsia"/>
                      <w:color w:val="auto"/>
                      <w:kern w:val="0"/>
                      <w:szCs w:val="21"/>
                    </w:rPr>
                    <w:t>0.77</w:t>
                  </w:r>
                </w:p>
              </w:tc>
            </w:tr>
            <w:tr w14:paraId="4FF733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2019" w:type="dxa"/>
                  <w:vMerge w:val="restart"/>
                  <w:vAlign w:val="center"/>
                </w:tcPr>
                <w:p w14:paraId="73ABC5C9">
                  <w:pPr>
                    <w:spacing w:line="276" w:lineRule="auto"/>
                    <w:jc w:val="center"/>
                    <w:rPr>
                      <w:color w:val="auto"/>
                      <w:kern w:val="0"/>
                      <w:szCs w:val="21"/>
                    </w:rPr>
                  </w:pPr>
                  <w:r>
                    <w:rPr>
                      <w:color w:val="auto"/>
                      <w:kern w:val="0"/>
                      <w:szCs w:val="21"/>
                    </w:rPr>
                    <w:t>厂界</w:t>
                  </w:r>
                  <w:r>
                    <w:rPr>
                      <w:rFonts w:hint="eastAsia"/>
                      <w:color w:val="auto"/>
                      <w:kern w:val="0"/>
                      <w:szCs w:val="21"/>
                    </w:rPr>
                    <w:t>下</w:t>
                  </w:r>
                  <w:r>
                    <w:rPr>
                      <w:color w:val="auto"/>
                      <w:kern w:val="0"/>
                      <w:szCs w:val="21"/>
                    </w:rPr>
                    <w:t>风向</w:t>
                  </w:r>
                  <w:r>
                    <w:rPr>
                      <w:rFonts w:hint="eastAsia"/>
                      <w:color w:val="auto"/>
                      <w:kern w:val="0"/>
                      <w:szCs w:val="21"/>
                    </w:rPr>
                    <w:t>G2</w:t>
                  </w:r>
                </w:p>
              </w:tc>
              <w:tc>
                <w:tcPr>
                  <w:tcW w:w="2122" w:type="dxa"/>
                  <w:vMerge w:val="restart"/>
                  <w:vAlign w:val="center"/>
                </w:tcPr>
                <w:p w14:paraId="5C5A9111">
                  <w:pPr>
                    <w:spacing w:line="276" w:lineRule="auto"/>
                    <w:jc w:val="center"/>
                    <w:rPr>
                      <w:color w:val="auto"/>
                      <w:kern w:val="0"/>
                      <w:szCs w:val="21"/>
                    </w:rPr>
                  </w:pPr>
                  <w:r>
                    <w:rPr>
                      <w:color w:val="auto"/>
                      <w:kern w:val="0"/>
                      <w:szCs w:val="21"/>
                    </w:rPr>
                    <w:t>颗粒物（μg</w:t>
                  </w:r>
                  <w:r>
                    <w:rPr>
                      <w:rFonts w:hint="eastAsia"/>
                      <w:color w:val="auto"/>
                      <w:kern w:val="0"/>
                      <w:szCs w:val="21"/>
                    </w:rPr>
                    <w:t>/m</w:t>
                  </w:r>
                  <w:r>
                    <w:rPr>
                      <w:rFonts w:hint="eastAsia"/>
                      <w:color w:val="auto"/>
                      <w:kern w:val="0"/>
                      <w:szCs w:val="21"/>
                      <w:vertAlign w:val="superscript"/>
                    </w:rPr>
                    <w:t>3</w:t>
                  </w:r>
                  <w:r>
                    <w:rPr>
                      <w:color w:val="auto"/>
                      <w:kern w:val="0"/>
                      <w:szCs w:val="21"/>
                    </w:rPr>
                    <w:t>）</w:t>
                  </w:r>
                </w:p>
              </w:tc>
              <w:tc>
                <w:tcPr>
                  <w:tcW w:w="2072" w:type="dxa"/>
                  <w:vAlign w:val="center"/>
                </w:tcPr>
                <w:p w14:paraId="2AE1369E">
                  <w:pPr>
                    <w:spacing w:line="276" w:lineRule="auto"/>
                    <w:jc w:val="center"/>
                    <w:rPr>
                      <w:color w:val="auto"/>
                      <w:kern w:val="0"/>
                      <w:szCs w:val="21"/>
                    </w:rPr>
                  </w:pPr>
                  <w:r>
                    <w:rPr>
                      <w:color w:val="auto"/>
                      <w:kern w:val="0"/>
                      <w:szCs w:val="21"/>
                    </w:rPr>
                    <w:t>第一次</w:t>
                  </w:r>
                </w:p>
              </w:tc>
              <w:tc>
                <w:tcPr>
                  <w:tcW w:w="2014" w:type="dxa"/>
                  <w:vAlign w:val="center"/>
                </w:tcPr>
                <w:p w14:paraId="305D3278">
                  <w:pPr>
                    <w:spacing w:line="276" w:lineRule="auto"/>
                    <w:jc w:val="center"/>
                    <w:rPr>
                      <w:color w:val="auto"/>
                      <w:kern w:val="0"/>
                      <w:szCs w:val="21"/>
                    </w:rPr>
                  </w:pPr>
                  <w:r>
                    <w:rPr>
                      <w:rFonts w:hint="eastAsia"/>
                      <w:color w:val="auto"/>
                      <w:kern w:val="0"/>
                      <w:szCs w:val="21"/>
                    </w:rPr>
                    <w:t>253</w:t>
                  </w:r>
                </w:p>
              </w:tc>
            </w:tr>
            <w:tr w14:paraId="3B945D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292A0203">
                  <w:pPr>
                    <w:spacing w:line="276" w:lineRule="auto"/>
                    <w:jc w:val="center"/>
                    <w:rPr>
                      <w:color w:val="auto"/>
                      <w:kern w:val="0"/>
                      <w:szCs w:val="21"/>
                    </w:rPr>
                  </w:pPr>
                </w:p>
              </w:tc>
              <w:tc>
                <w:tcPr>
                  <w:tcW w:w="2122" w:type="dxa"/>
                  <w:vMerge w:val="continue"/>
                  <w:vAlign w:val="center"/>
                </w:tcPr>
                <w:p w14:paraId="46EFD960">
                  <w:pPr>
                    <w:spacing w:line="276" w:lineRule="auto"/>
                    <w:jc w:val="center"/>
                    <w:rPr>
                      <w:color w:val="auto"/>
                      <w:kern w:val="0"/>
                      <w:szCs w:val="21"/>
                    </w:rPr>
                  </w:pPr>
                </w:p>
              </w:tc>
              <w:tc>
                <w:tcPr>
                  <w:tcW w:w="2072" w:type="dxa"/>
                  <w:vAlign w:val="center"/>
                </w:tcPr>
                <w:p w14:paraId="4B260C56">
                  <w:pPr>
                    <w:spacing w:line="276" w:lineRule="auto"/>
                    <w:jc w:val="center"/>
                    <w:rPr>
                      <w:color w:val="auto"/>
                      <w:kern w:val="0"/>
                      <w:szCs w:val="21"/>
                    </w:rPr>
                  </w:pPr>
                  <w:r>
                    <w:rPr>
                      <w:color w:val="auto"/>
                      <w:kern w:val="0"/>
                      <w:szCs w:val="21"/>
                    </w:rPr>
                    <w:t>第二次</w:t>
                  </w:r>
                </w:p>
              </w:tc>
              <w:tc>
                <w:tcPr>
                  <w:tcW w:w="2014" w:type="dxa"/>
                  <w:vAlign w:val="center"/>
                </w:tcPr>
                <w:p w14:paraId="059072F2">
                  <w:pPr>
                    <w:spacing w:line="276" w:lineRule="auto"/>
                    <w:jc w:val="center"/>
                    <w:rPr>
                      <w:color w:val="auto"/>
                      <w:kern w:val="0"/>
                      <w:szCs w:val="21"/>
                    </w:rPr>
                  </w:pPr>
                  <w:r>
                    <w:rPr>
                      <w:rFonts w:hint="eastAsia"/>
                      <w:color w:val="auto"/>
                      <w:kern w:val="0"/>
                      <w:szCs w:val="21"/>
                    </w:rPr>
                    <w:t>280</w:t>
                  </w:r>
                </w:p>
              </w:tc>
            </w:tr>
            <w:tr w14:paraId="1E1E0A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20E91C22">
                  <w:pPr>
                    <w:spacing w:line="276" w:lineRule="auto"/>
                    <w:jc w:val="center"/>
                    <w:rPr>
                      <w:color w:val="auto"/>
                      <w:kern w:val="0"/>
                      <w:szCs w:val="21"/>
                    </w:rPr>
                  </w:pPr>
                </w:p>
              </w:tc>
              <w:tc>
                <w:tcPr>
                  <w:tcW w:w="2122" w:type="dxa"/>
                  <w:vMerge w:val="continue"/>
                  <w:vAlign w:val="center"/>
                </w:tcPr>
                <w:p w14:paraId="027D38AA">
                  <w:pPr>
                    <w:spacing w:line="276" w:lineRule="auto"/>
                    <w:jc w:val="center"/>
                    <w:rPr>
                      <w:color w:val="auto"/>
                      <w:kern w:val="0"/>
                      <w:szCs w:val="21"/>
                    </w:rPr>
                  </w:pPr>
                </w:p>
              </w:tc>
              <w:tc>
                <w:tcPr>
                  <w:tcW w:w="2072" w:type="dxa"/>
                  <w:vAlign w:val="center"/>
                </w:tcPr>
                <w:p w14:paraId="5CBDC154">
                  <w:pPr>
                    <w:spacing w:line="276" w:lineRule="auto"/>
                    <w:jc w:val="center"/>
                    <w:rPr>
                      <w:color w:val="auto"/>
                      <w:kern w:val="0"/>
                      <w:szCs w:val="21"/>
                    </w:rPr>
                  </w:pPr>
                  <w:r>
                    <w:rPr>
                      <w:color w:val="auto"/>
                      <w:kern w:val="0"/>
                      <w:szCs w:val="21"/>
                    </w:rPr>
                    <w:t>第三次</w:t>
                  </w:r>
                </w:p>
              </w:tc>
              <w:tc>
                <w:tcPr>
                  <w:tcW w:w="2014" w:type="dxa"/>
                  <w:vAlign w:val="center"/>
                </w:tcPr>
                <w:p w14:paraId="53C4C92F">
                  <w:pPr>
                    <w:spacing w:line="276" w:lineRule="auto"/>
                    <w:jc w:val="center"/>
                    <w:rPr>
                      <w:color w:val="auto"/>
                      <w:kern w:val="0"/>
                      <w:szCs w:val="21"/>
                    </w:rPr>
                  </w:pPr>
                  <w:r>
                    <w:rPr>
                      <w:rFonts w:hint="eastAsia"/>
                      <w:color w:val="auto"/>
                      <w:kern w:val="0"/>
                      <w:szCs w:val="21"/>
                    </w:rPr>
                    <w:t>277</w:t>
                  </w:r>
                </w:p>
              </w:tc>
            </w:tr>
            <w:tr w14:paraId="6EB349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3E9FEBEB">
                  <w:pPr>
                    <w:spacing w:line="276" w:lineRule="auto"/>
                    <w:jc w:val="center"/>
                    <w:rPr>
                      <w:color w:val="auto"/>
                      <w:kern w:val="0"/>
                      <w:szCs w:val="21"/>
                    </w:rPr>
                  </w:pPr>
                </w:p>
              </w:tc>
              <w:tc>
                <w:tcPr>
                  <w:tcW w:w="2122" w:type="dxa"/>
                  <w:vMerge w:val="restart"/>
                  <w:vAlign w:val="center"/>
                </w:tcPr>
                <w:p w14:paraId="5407F7E6">
                  <w:pPr>
                    <w:spacing w:line="276" w:lineRule="auto"/>
                    <w:jc w:val="center"/>
                    <w:rPr>
                      <w:color w:val="auto"/>
                      <w:kern w:val="0"/>
                      <w:szCs w:val="21"/>
                    </w:rPr>
                  </w:pPr>
                  <w:r>
                    <w:rPr>
                      <w:color w:val="auto"/>
                      <w:kern w:val="0"/>
                      <w:szCs w:val="21"/>
                    </w:rPr>
                    <w:t>非甲烷总烃（mg</w:t>
                  </w:r>
                  <w:r>
                    <w:rPr>
                      <w:rFonts w:hint="eastAsia"/>
                      <w:color w:val="auto"/>
                      <w:kern w:val="0"/>
                      <w:szCs w:val="21"/>
                    </w:rPr>
                    <w:t>/m</w:t>
                  </w:r>
                  <w:r>
                    <w:rPr>
                      <w:rFonts w:hint="eastAsia"/>
                      <w:color w:val="auto"/>
                      <w:kern w:val="0"/>
                      <w:szCs w:val="21"/>
                      <w:vertAlign w:val="superscript"/>
                    </w:rPr>
                    <w:t>3</w:t>
                  </w:r>
                  <w:r>
                    <w:rPr>
                      <w:color w:val="auto"/>
                      <w:kern w:val="0"/>
                      <w:szCs w:val="21"/>
                    </w:rPr>
                    <w:t>）</w:t>
                  </w:r>
                </w:p>
              </w:tc>
              <w:tc>
                <w:tcPr>
                  <w:tcW w:w="2072" w:type="dxa"/>
                  <w:vAlign w:val="center"/>
                </w:tcPr>
                <w:p w14:paraId="0FB9D811">
                  <w:pPr>
                    <w:spacing w:line="276" w:lineRule="auto"/>
                    <w:jc w:val="center"/>
                    <w:rPr>
                      <w:color w:val="auto"/>
                      <w:kern w:val="0"/>
                      <w:szCs w:val="21"/>
                    </w:rPr>
                  </w:pPr>
                  <w:r>
                    <w:rPr>
                      <w:color w:val="auto"/>
                      <w:kern w:val="0"/>
                      <w:szCs w:val="21"/>
                    </w:rPr>
                    <w:t>第一次</w:t>
                  </w:r>
                </w:p>
              </w:tc>
              <w:tc>
                <w:tcPr>
                  <w:tcW w:w="2014" w:type="dxa"/>
                  <w:vAlign w:val="center"/>
                </w:tcPr>
                <w:p w14:paraId="1782336C">
                  <w:pPr>
                    <w:spacing w:line="276" w:lineRule="auto"/>
                    <w:jc w:val="center"/>
                    <w:rPr>
                      <w:color w:val="auto"/>
                      <w:kern w:val="0"/>
                      <w:szCs w:val="21"/>
                    </w:rPr>
                  </w:pPr>
                  <w:r>
                    <w:rPr>
                      <w:rFonts w:hint="eastAsia"/>
                      <w:color w:val="auto"/>
                      <w:kern w:val="0"/>
                      <w:szCs w:val="21"/>
                    </w:rPr>
                    <w:t>1.26</w:t>
                  </w:r>
                </w:p>
              </w:tc>
            </w:tr>
            <w:tr w14:paraId="64A082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695B5E6A">
                  <w:pPr>
                    <w:spacing w:line="276" w:lineRule="auto"/>
                    <w:jc w:val="center"/>
                    <w:rPr>
                      <w:color w:val="auto"/>
                      <w:kern w:val="0"/>
                      <w:szCs w:val="21"/>
                    </w:rPr>
                  </w:pPr>
                </w:p>
              </w:tc>
              <w:tc>
                <w:tcPr>
                  <w:tcW w:w="2122" w:type="dxa"/>
                  <w:vMerge w:val="continue"/>
                  <w:vAlign w:val="center"/>
                </w:tcPr>
                <w:p w14:paraId="2F870F6C">
                  <w:pPr>
                    <w:spacing w:line="276" w:lineRule="auto"/>
                    <w:jc w:val="center"/>
                    <w:rPr>
                      <w:color w:val="auto"/>
                      <w:kern w:val="0"/>
                      <w:szCs w:val="21"/>
                    </w:rPr>
                  </w:pPr>
                </w:p>
              </w:tc>
              <w:tc>
                <w:tcPr>
                  <w:tcW w:w="2072" w:type="dxa"/>
                  <w:vAlign w:val="center"/>
                </w:tcPr>
                <w:p w14:paraId="6E93AC00">
                  <w:pPr>
                    <w:spacing w:line="276" w:lineRule="auto"/>
                    <w:jc w:val="center"/>
                    <w:rPr>
                      <w:color w:val="auto"/>
                      <w:kern w:val="0"/>
                      <w:szCs w:val="21"/>
                    </w:rPr>
                  </w:pPr>
                  <w:r>
                    <w:rPr>
                      <w:color w:val="auto"/>
                      <w:kern w:val="0"/>
                      <w:szCs w:val="21"/>
                    </w:rPr>
                    <w:t>第二次</w:t>
                  </w:r>
                </w:p>
              </w:tc>
              <w:tc>
                <w:tcPr>
                  <w:tcW w:w="2014" w:type="dxa"/>
                  <w:vAlign w:val="center"/>
                </w:tcPr>
                <w:p w14:paraId="612084AF">
                  <w:pPr>
                    <w:spacing w:line="276" w:lineRule="auto"/>
                    <w:jc w:val="center"/>
                    <w:rPr>
                      <w:color w:val="auto"/>
                      <w:kern w:val="0"/>
                      <w:szCs w:val="21"/>
                    </w:rPr>
                  </w:pPr>
                  <w:r>
                    <w:rPr>
                      <w:rFonts w:hint="eastAsia"/>
                      <w:color w:val="auto"/>
                      <w:kern w:val="0"/>
                      <w:szCs w:val="21"/>
                    </w:rPr>
                    <w:t>1.18</w:t>
                  </w:r>
                </w:p>
              </w:tc>
            </w:tr>
            <w:tr w14:paraId="381D4D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5FE1987F">
                  <w:pPr>
                    <w:spacing w:line="276" w:lineRule="auto"/>
                    <w:jc w:val="center"/>
                    <w:rPr>
                      <w:color w:val="auto"/>
                      <w:kern w:val="0"/>
                      <w:szCs w:val="21"/>
                    </w:rPr>
                  </w:pPr>
                </w:p>
              </w:tc>
              <w:tc>
                <w:tcPr>
                  <w:tcW w:w="2122" w:type="dxa"/>
                  <w:vMerge w:val="continue"/>
                  <w:vAlign w:val="center"/>
                </w:tcPr>
                <w:p w14:paraId="30ED1200">
                  <w:pPr>
                    <w:spacing w:line="276" w:lineRule="auto"/>
                    <w:jc w:val="center"/>
                    <w:rPr>
                      <w:color w:val="auto"/>
                      <w:kern w:val="0"/>
                      <w:szCs w:val="21"/>
                    </w:rPr>
                  </w:pPr>
                </w:p>
              </w:tc>
              <w:tc>
                <w:tcPr>
                  <w:tcW w:w="2072" w:type="dxa"/>
                  <w:vAlign w:val="center"/>
                </w:tcPr>
                <w:p w14:paraId="15D266EA">
                  <w:pPr>
                    <w:spacing w:line="276" w:lineRule="auto"/>
                    <w:jc w:val="center"/>
                    <w:rPr>
                      <w:color w:val="auto"/>
                      <w:kern w:val="0"/>
                      <w:szCs w:val="21"/>
                    </w:rPr>
                  </w:pPr>
                  <w:r>
                    <w:rPr>
                      <w:color w:val="auto"/>
                      <w:kern w:val="0"/>
                      <w:szCs w:val="21"/>
                    </w:rPr>
                    <w:t>第三次</w:t>
                  </w:r>
                </w:p>
              </w:tc>
              <w:tc>
                <w:tcPr>
                  <w:tcW w:w="2014" w:type="dxa"/>
                  <w:vAlign w:val="center"/>
                </w:tcPr>
                <w:p w14:paraId="0B8EB663">
                  <w:pPr>
                    <w:spacing w:line="276" w:lineRule="auto"/>
                    <w:jc w:val="center"/>
                    <w:rPr>
                      <w:color w:val="auto"/>
                      <w:kern w:val="0"/>
                      <w:szCs w:val="21"/>
                    </w:rPr>
                  </w:pPr>
                  <w:r>
                    <w:rPr>
                      <w:rFonts w:hint="eastAsia"/>
                      <w:color w:val="auto"/>
                      <w:kern w:val="0"/>
                      <w:szCs w:val="21"/>
                    </w:rPr>
                    <w:t>0.90</w:t>
                  </w:r>
                </w:p>
              </w:tc>
            </w:tr>
            <w:tr w14:paraId="2F139F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restart"/>
                  <w:vAlign w:val="center"/>
                </w:tcPr>
                <w:p w14:paraId="3011FA97">
                  <w:pPr>
                    <w:spacing w:line="276" w:lineRule="auto"/>
                    <w:jc w:val="center"/>
                    <w:rPr>
                      <w:color w:val="auto"/>
                      <w:kern w:val="0"/>
                      <w:szCs w:val="21"/>
                    </w:rPr>
                  </w:pPr>
                  <w:r>
                    <w:rPr>
                      <w:color w:val="auto"/>
                      <w:kern w:val="0"/>
                      <w:szCs w:val="21"/>
                    </w:rPr>
                    <w:t>厂界</w:t>
                  </w:r>
                  <w:r>
                    <w:rPr>
                      <w:rFonts w:hint="eastAsia"/>
                      <w:color w:val="auto"/>
                      <w:kern w:val="0"/>
                      <w:szCs w:val="21"/>
                    </w:rPr>
                    <w:t>下</w:t>
                  </w:r>
                  <w:r>
                    <w:rPr>
                      <w:color w:val="auto"/>
                      <w:kern w:val="0"/>
                      <w:szCs w:val="21"/>
                    </w:rPr>
                    <w:t>风向</w:t>
                  </w:r>
                  <w:r>
                    <w:rPr>
                      <w:rFonts w:hint="eastAsia"/>
                      <w:color w:val="auto"/>
                      <w:kern w:val="0"/>
                      <w:szCs w:val="21"/>
                    </w:rPr>
                    <w:t>G3</w:t>
                  </w:r>
                </w:p>
              </w:tc>
              <w:tc>
                <w:tcPr>
                  <w:tcW w:w="2122" w:type="dxa"/>
                  <w:vMerge w:val="restart"/>
                  <w:vAlign w:val="center"/>
                </w:tcPr>
                <w:p w14:paraId="5049D49D">
                  <w:pPr>
                    <w:spacing w:line="276" w:lineRule="auto"/>
                    <w:jc w:val="center"/>
                    <w:rPr>
                      <w:color w:val="auto"/>
                      <w:kern w:val="0"/>
                      <w:szCs w:val="21"/>
                    </w:rPr>
                  </w:pPr>
                  <w:r>
                    <w:rPr>
                      <w:color w:val="auto"/>
                      <w:kern w:val="0"/>
                      <w:szCs w:val="21"/>
                    </w:rPr>
                    <w:t>颗粒物（μg</w:t>
                  </w:r>
                  <w:r>
                    <w:rPr>
                      <w:rFonts w:hint="eastAsia"/>
                      <w:color w:val="auto"/>
                      <w:kern w:val="0"/>
                      <w:szCs w:val="21"/>
                    </w:rPr>
                    <w:t>/m</w:t>
                  </w:r>
                  <w:r>
                    <w:rPr>
                      <w:rFonts w:hint="eastAsia"/>
                      <w:color w:val="auto"/>
                      <w:kern w:val="0"/>
                      <w:szCs w:val="21"/>
                      <w:vertAlign w:val="superscript"/>
                    </w:rPr>
                    <w:t>3</w:t>
                  </w:r>
                  <w:r>
                    <w:rPr>
                      <w:color w:val="auto"/>
                      <w:kern w:val="0"/>
                      <w:szCs w:val="21"/>
                    </w:rPr>
                    <w:t>）</w:t>
                  </w:r>
                </w:p>
              </w:tc>
              <w:tc>
                <w:tcPr>
                  <w:tcW w:w="2072" w:type="dxa"/>
                  <w:vAlign w:val="center"/>
                </w:tcPr>
                <w:p w14:paraId="2468637A">
                  <w:pPr>
                    <w:spacing w:line="276" w:lineRule="auto"/>
                    <w:jc w:val="center"/>
                    <w:rPr>
                      <w:color w:val="auto"/>
                      <w:kern w:val="0"/>
                      <w:szCs w:val="21"/>
                    </w:rPr>
                  </w:pPr>
                  <w:r>
                    <w:rPr>
                      <w:color w:val="auto"/>
                      <w:kern w:val="0"/>
                      <w:szCs w:val="21"/>
                    </w:rPr>
                    <w:t>第一次</w:t>
                  </w:r>
                </w:p>
              </w:tc>
              <w:tc>
                <w:tcPr>
                  <w:tcW w:w="2014" w:type="dxa"/>
                  <w:vAlign w:val="center"/>
                </w:tcPr>
                <w:p w14:paraId="24038F02">
                  <w:pPr>
                    <w:spacing w:line="276" w:lineRule="auto"/>
                    <w:jc w:val="center"/>
                    <w:rPr>
                      <w:color w:val="auto"/>
                      <w:kern w:val="0"/>
                      <w:szCs w:val="21"/>
                    </w:rPr>
                  </w:pPr>
                  <w:r>
                    <w:rPr>
                      <w:rFonts w:hint="eastAsia"/>
                      <w:color w:val="auto"/>
                      <w:kern w:val="0"/>
                      <w:szCs w:val="21"/>
                    </w:rPr>
                    <w:t>215</w:t>
                  </w:r>
                </w:p>
              </w:tc>
            </w:tr>
            <w:tr w14:paraId="673284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73289E7D">
                  <w:pPr>
                    <w:spacing w:line="276" w:lineRule="auto"/>
                    <w:jc w:val="center"/>
                    <w:rPr>
                      <w:color w:val="auto"/>
                      <w:kern w:val="0"/>
                      <w:szCs w:val="21"/>
                    </w:rPr>
                  </w:pPr>
                </w:p>
              </w:tc>
              <w:tc>
                <w:tcPr>
                  <w:tcW w:w="2122" w:type="dxa"/>
                  <w:vMerge w:val="continue"/>
                  <w:vAlign w:val="center"/>
                </w:tcPr>
                <w:p w14:paraId="676C09FD">
                  <w:pPr>
                    <w:spacing w:line="276" w:lineRule="auto"/>
                    <w:jc w:val="center"/>
                    <w:rPr>
                      <w:color w:val="auto"/>
                      <w:kern w:val="0"/>
                      <w:szCs w:val="21"/>
                    </w:rPr>
                  </w:pPr>
                </w:p>
              </w:tc>
              <w:tc>
                <w:tcPr>
                  <w:tcW w:w="2072" w:type="dxa"/>
                  <w:vAlign w:val="center"/>
                </w:tcPr>
                <w:p w14:paraId="6BD86FF3">
                  <w:pPr>
                    <w:spacing w:line="276" w:lineRule="auto"/>
                    <w:jc w:val="center"/>
                    <w:rPr>
                      <w:color w:val="auto"/>
                      <w:kern w:val="0"/>
                      <w:szCs w:val="21"/>
                    </w:rPr>
                  </w:pPr>
                  <w:r>
                    <w:rPr>
                      <w:color w:val="auto"/>
                      <w:kern w:val="0"/>
                      <w:szCs w:val="21"/>
                    </w:rPr>
                    <w:t>第二次</w:t>
                  </w:r>
                </w:p>
              </w:tc>
              <w:tc>
                <w:tcPr>
                  <w:tcW w:w="2014" w:type="dxa"/>
                  <w:vAlign w:val="center"/>
                </w:tcPr>
                <w:p w14:paraId="07B3AA6D">
                  <w:pPr>
                    <w:spacing w:line="276" w:lineRule="auto"/>
                    <w:jc w:val="center"/>
                    <w:rPr>
                      <w:color w:val="auto"/>
                      <w:kern w:val="0"/>
                      <w:szCs w:val="21"/>
                    </w:rPr>
                  </w:pPr>
                  <w:r>
                    <w:rPr>
                      <w:rFonts w:hint="eastAsia"/>
                      <w:color w:val="auto"/>
                      <w:kern w:val="0"/>
                      <w:szCs w:val="21"/>
                    </w:rPr>
                    <w:t>215</w:t>
                  </w:r>
                </w:p>
              </w:tc>
            </w:tr>
            <w:tr w14:paraId="073581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14F67B49">
                  <w:pPr>
                    <w:spacing w:line="276" w:lineRule="auto"/>
                    <w:jc w:val="center"/>
                    <w:rPr>
                      <w:color w:val="auto"/>
                      <w:kern w:val="0"/>
                      <w:szCs w:val="21"/>
                    </w:rPr>
                  </w:pPr>
                </w:p>
              </w:tc>
              <w:tc>
                <w:tcPr>
                  <w:tcW w:w="2122" w:type="dxa"/>
                  <w:vMerge w:val="continue"/>
                  <w:vAlign w:val="center"/>
                </w:tcPr>
                <w:p w14:paraId="3DDDDB72">
                  <w:pPr>
                    <w:spacing w:line="276" w:lineRule="auto"/>
                    <w:jc w:val="center"/>
                    <w:rPr>
                      <w:color w:val="auto"/>
                      <w:kern w:val="0"/>
                      <w:szCs w:val="21"/>
                    </w:rPr>
                  </w:pPr>
                </w:p>
              </w:tc>
              <w:tc>
                <w:tcPr>
                  <w:tcW w:w="2072" w:type="dxa"/>
                  <w:vAlign w:val="center"/>
                </w:tcPr>
                <w:p w14:paraId="769BDA76">
                  <w:pPr>
                    <w:spacing w:line="276" w:lineRule="auto"/>
                    <w:jc w:val="center"/>
                    <w:rPr>
                      <w:color w:val="auto"/>
                      <w:kern w:val="0"/>
                      <w:szCs w:val="21"/>
                    </w:rPr>
                  </w:pPr>
                  <w:r>
                    <w:rPr>
                      <w:color w:val="auto"/>
                      <w:kern w:val="0"/>
                      <w:szCs w:val="21"/>
                    </w:rPr>
                    <w:t>第三次</w:t>
                  </w:r>
                </w:p>
              </w:tc>
              <w:tc>
                <w:tcPr>
                  <w:tcW w:w="2014" w:type="dxa"/>
                  <w:vAlign w:val="center"/>
                </w:tcPr>
                <w:p w14:paraId="2817A9F1">
                  <w:pPr>
                    <w:spacing w:line="276" w:lineRule="auto"/>
                    <w:jc w:val="center"/>
                    <w:rPr>
                      <w:color w:val="auto"/>
                      <w:kern w:val="0"/>
                      <w:szCs w:val="21"/>
                    </w:rPr>
                  </w:pPr>
                  <w:r>
                    <w:rPr>
                      <w:rFonts w:hint="eastAsia"/>
                      <w:color w:val="auto"/>
                      <w:kern w:val="0"/>
                      <w:szCs w:val="21"/>
                    </w:rPr>
                    <w:t>240</w:t>
                  </w:r>
                </w:p>
              </w:tc>
            </w:tr>
            <w:tr w14:paraId="575C51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1079C0FE">
                  <w:pPr>
                    <w:spacing w:line="276" w:lineRule="auto"/>
                    <w:jc w:val="center"/>
                    <w:rPr>
                      <w:color w:val="auto"/>
                      <w:kern w:val="0"/>
                      <w:szCs w:val="21"/>
                    </w:rPr>
                  </w:pPr>
                </w:p>
              </w:tc>
              <w:tc>
                <w:tcPr>
                  <w:tcW w:w="2122" w:type="dxa"/>
                  <w:vMerge w:val="restart"/>
                  <w:vAlign w:val="center"/>
                </w:tcPr>
                <w:p w14:paraId="76D75F7F">
                  <w:pPr>
                    <w:spacing w:line="276" w:lineRule="auto"/>
                    <w:jc w:val="center"/>
                    <w:rPr>
                      <w:color w:val="auto"/>
                      <w:kern w:val="0"/>
                      <w:szCs w:val="21"/>
                    </w:rPr>
                  </w:pPr>
                  <w:r>
                    <w:rPr>
                      <w:color w:val="auto"/>
                      <w:kern w:val="0"/>
                      <w:szCs w:val="21"/>
                    </w:rPr>
                    <w:t>非甲烷总烃（mg</w:t>
                  </w:r>
                  <w:r>
                    <w:rPr>
                      <w:rFonts w:hint="eastAsia"/>
                      <w:color w:val="auto"/>
                      <w:kern w:val="0"/>
                      <w:szCs w:val="21"/>
                    </w:rPr>
                    <w:t>/m</w:t>
                  </w:r>
                  <w:r>
                    <w:rPr>
                      <w:rFonts w:hint="eastAsia"/>
                      <w:color w:val="auto"/>
                      <w:kern w:val="0"/>
                      <w:szCs w:val="21"/>
                      <w:vertAlign w:val="superscript"/>
                    </w:rPr>
                    <w:t>3</w:t>
                  </w:r>
                  <w:r>
                    <w:rPr>
                      <w:color w:val="auto"/>
                      <w:kern w:val="0"/>
                      <w:szCs w:val="21"/>
                    </w:rPr>
                    <w:t>）</w:t>
                  </w:r>
                </w:p>
              </w:tc>
              <w:tc>
                <w:tcPr>
                  <w:tcW w:w="2072" w:type="dxa"/>
                  <w:vAlign w:val="center"/>
                </w:tcPr>
                <w:p w14:paraId="51D81C97">
                  <w:pPr>
                    <w:spacing w:line="276" w:lineRule="auto"/>
                    <w:jc w:val="center"/>
                    <w:rPr>
                      <w:color w:val="auto"/>
                      <w:kern w:val="0"/>
                      <w:szCs w:val="21"/>
                    </w:rPr>
                  </w:pPr>
                  <w:r>
                    <w:rPr>
                      <w:color w:val="auto"/>
                      <w:kern w:val="0"/>
                      <w:szCs w:val="21"/>
                    </w:rPr>
                    <w:t>第一次</w:t>
                  </w:r>
                </w:p>
              </w:tc>
              <w:tc>
                <w:tcPr>
                  <w:tcW w:w="2014" w:type="dxa"/>
                  <w:vAlign w:val="center"/>
                </w:tcPr>
                <w:p w14:paraId="3E30A611">
                  <w:pPr>
                    <w:spacing w:line="276" w:lineRule="auto"/>
                    <w:jc w:val="center"/>
                    <w:rPr>
                      <w:color w:val="auto"/>
                      <w:kern w:val="0"/>
                      <w:szCs w:val="21"/>
                    </w:rPr>
                  </w:pPr>
                  <w:r>
                    <w:rPr>
                      <w:rFonts w:hint="eastAsia"/>
                      <w:color w:val="auto"/>
                      <w:kern w:val="0"/>
                      <w:szCs w:val="21"/>
                    </w:rPr>
                    <w:t>1.00</w:t>
                  </w:r>
                </w:p>
              </w:tc>
            </w:tr>
            <w:tr w14:paraId="289F64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703888ED">
                  <w:pPr>
                    <w:spacing w:line="276" w:lineRule="auto"/>
                    <w:jc w:val="center"/>
                    <w:rPr>
                      <w:color w:val="auto"/>
                      <w:kern w:val="0"/>
                      <w:szCs w:val="21"/>
                    </w:rPr>
                  </w:pPr>
                </w:p>
              </w:tc>
              <w:tc>
                <w:tcPr>
                  <w:tcW w:w="2122" w:type="dxa"/>
                  <w:vMerge w:val="continue"/>
                  <w:vAlign w:val="center"/>
                </w:tcPr>
                <w:p w14:paraId="4C3BF5D0">
                  <w:pPr>
                    <w:spacing w:line="276" w:lineRule="auto"/>
                    <w:jc w:val="center"/>
                    <w:rPr>
                      <w:color w:val="auto"/>
                      <w:kern w:val="0"/>
                      <w:szCs w:val="21"/>
                    </w:rPr>
                  </w:pPr>
                </w:p>
              </w:tc>
              <w:tc>
                <w:tcPr>
                  <w:tcW w:w="2072" w:type="dxa"/>
                  <w:vAlign w:val="center"/>
                </w:tcPr>
                <w:p w14:paraId="36E6136E">
                  <w:pPr>
                    <w:spacing w:line="276" w:lineRule="auto"/>
                    <w:jc w:val="center"/>
                    <w:rPr>
                      <w:color w:val="auto"/>
                      <w:kern w:val="0"/>
                      <w:szCs w:val="21"/>
                    </w:rPr>
                  </w:pPr>
                  <w:r>
                    <w:rPr>
                      <w:color w:val="auto"/>
                      <w:kern w:val="0"/>
                      <w:szCs w:val="21"/>
                    </w:rPr>
                    <w:t>第二次</w:t>
                  </w:r>
                </w:p>
              </w:tc>
              <w:tc>
                <w:tcPr>
                  <w:tcW w:w="2014" w:type="dxa"/>
                  <w:vAlign w:val="center"/>
                </w:tcPr>
                <w:p w14:paraId="3530107C">
                  <w:pPr>
                    <w:spacing w:line="276" w:lineRule="auto"/>
                    <w:jc w:val="center"/>
                    <w:rPr>
                      <w:color w:val="auto"/>
                      <w:kern w:val="0"/>
                      <w:szCs w:val="21"/>
                    </w:rPr>
                  </w:pPr>
                  <w:r>
                    <w:rPr>
                      <w:rFonts w:hint="eastAsia"/>
                      <w:color w:val="auto"/>
                      <w:kern w:val="0"/>
                      <w:szCs w:val="21"/>
                    </w:rPr>
                    <w:t>0.98</w:t>
                  </w:r>
                </w:p>
              </w:tc>
            </w:tr>
            <w:tr w14:paraId="1B8225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29D787F0">
                  <w:pPr>
                    <w:spacing w:line="276" w:lineRule="auto"/>
                    <w:jc w:val="center"/>
                    <w:rPr>
                      <w:color w:val="auto"/>
                      <w:kern w:val="0"/>
                      <w:szCs w:val="21"/>
                    </w:rPr>
                  </w:pPr>
                </w:p>
              </w:tc>
              <w:tc>
                <w:tcPr>
                  <w:tcW w:w="2122" w:type="dxa"/>
                  <w:vMerge w:val="continue"/>
                  <w:vAlign w:val="center"/>
                </w:tcPr>
                <w:p w14:paraId="315743B3">
                  <w:pPr>
                    <w:spacing w:line="276" w:lineRule="auto"/>
                    <w:jc w:val="center"/>
                    <w:rPr>
                      <w:color w:val="auto"/>
                      <w:kern w:val="0"/>
                      <w:szCs w:val="21"/>
                    </w:rPr>
                  </w:pPr>
                </w:p>
              </w:tc>
              <w:tc>
                <w:tcPr>
                  <w:tcW w:w="2072" w:type="dxa"/>
                  <w:vAlign w:val="center"/>
                </w:tcPr>
                <w:p w14:paraId="3C9DA4A6">
                  <w:pPr>
                    <w:spacing w:line="276" w:lineRule="auto"/>
                    <w:jc w:val="center"/>
                    <w:rPr>
                      <w:color w:val="auto"/>
                      <w:kern w:val="0"/>
                      <w:szCs w:val="21"/>
                    </w:rPr>
                  </w:pPr>
                  <w:r>
                    <w:rPr>
                      <w:color w:val="auto"/>
                      <w:kern w:val="0"/>
                      <w:szCs w:val="21"/>
                    </w:rPr>
                    <w:t>第三次</w:t>
                  </w:r>
                </w:p>
              </w:tc>
              <w:tc>
                <w:tcPr>
                  <w:tcW w:w="2014" w:type="dxa"/>
                  <w:vAlign w:val="center"/>
                </w:tcPr>
                <w:p w14:paraId="4D13346A">
                  <w:pPr>
                    <w:spacing w:line="276" w:lineRule="auto"/>
                    <w:jc w:val="center"/>
                    <w:rPr>
                      <w:color w:val="auto"/>
                      <w:kern w:val="0"/>
                      <w:szCs w:val="21"/>
                    </w:rPr>
                  </w:pPr>
                  <w:r>
                    <w:rPr>
                      <w:rFonts w:hint="eastAsia"/>
                      <w:color w:val="auto"/>
                      <w:kern w:val="0"/>
                      <w:szCs w:val="21"/>
                    </w:rPr>
                    <w:t>1.03</w:t>
                  </w:r>
                </w:p>
              </w:tc>
            </w:tr>
            <w:tr w14:paraId="325FEE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restart"/>
                  <w:vAlign w:val="center"/>
                </w:tcPr>
                <w:p w14:paraId="11AA78BB">
                  <w:pPr>
                    <w:spacing w:line="276" w:lineRule="auto"/>
                    <w:jc w:val="center"/>
                    <w:rPr>
                      <w:color w:val="auto"/>
                      <w:kern w:val="0"/>
                      <w:szCs w:val="21"/>
                    </w:rPr>
                  </w:pPr>
                  <w:r>
                    <w:rPr>
                      <w:color w:val="auto"/>
                      <w:kern w:val="0"/>
                      <w:szCs w:val="21"/>
                    </w:rPr>
                    <w:t>厂界</w:t>
                  </w:r>
                  <w:r>
                    <w:rPr>
                      <w:rFonts w:hint="eastAsia"/>
                      <w:color w:val="auto"/>
                      <w:kern w:val="0"/>
                      <w:szCs w:val="21"/>
                    </w:rPr>
                    <w:t>下</w:t>
                  </w:r>
                  <w:r>
                    <w:rPr>
                      <w:color w:val="auto"/>
                      <w:kern w:val="0"/>
                      <w:szCs w:val="21"/>
                    </w:rPr>
                    <w:t>风向</w:t>
                  </w:r>
                  <w:r>
                    <w:rPr>
                      <w:rFonts w:hint="eastAsia"/>
                      <w:color w:val="auto"/>
                      <w:kern w:val="0"/>
                      <w:szCs w:val="21"/>
                    </w:rPr>
                    <w:t>G4</w:t>
                  </w:r>
                </w:p>
              </w:tc>
              <w:tc>
                <w:tcPr>
                  <w:tcW w:w="2122" w:type="dxa"/>
                  <w:vMerge w:val="restart"/>
                  <w:vAlign w:val="center"/>
                </w:tcPr>
                <w:p w14:paraId="33EB6474">
                  <w:pPr>
                    <w:spacing w:line="276" w:lineRule="auto"/>
                    <w:jc w:val="center"/>
                    <w:rPr>
                      <w:color w:val="auto"/>
                      <w:kern w:val="0"/>
                      <w:szCs w:val="21"/>
                    </w:rPr>
                  </w:pPr>
                  <w:r>
                    <w:rPr>
                      <w:color w:val="auto"/>
                      <w:kern w:val="0"/>
                      <w:szCs w:val="21"/>
                    </w:rPr>
                    <w:t>颗粒物（μg</w:t>
                  </w:r>
                  <w:r>
                    <w:rPr>
                      <w:rFonts w:hint="eastAsia"/>
                      <w:color w:val="auto"/>
                      <w:kern w:val="0"/>
                      <w:szCs w:val="21"/>
                    </w:rPr>
                    <w:t>/m</w:t>
                  </w:r>
                  <w:r>
                    <w:rPr>
                      <w:rFonts w:hint="eastAsia"/>
                      <w:color w:val="auto"/>
                      <w:kern w:val="0"/>
                      <w:szCs w:val="21"/>
                      <w:vertAlign w:val="superscript"/>
                    </w:rPr>
                    <w:t>3</w:t>
                  </w:r>
                  <w:r>
                    <w:rPr>
                      <w:color w:val="auto"/>
                      <w:kern w:val="0"/>
                      <w:szCs w:val="21"/>
                    </w:rPr>
                    <w:t>）</w:t>
                  </w:r>
                </w:p>
              </w:tc>
              <w:tc>
                <w:tcPr>
                  <w:tcW w:w="2072" w:type="dxa"/>
                  <w:vAlign w:val="center"/>
                </w:tcPr>
                <w:p w14:paraId="08E0C243">
                  <w:pPr>
                    <w:spacing w:line="276" w:lineRule="auto"/>
                    <w:jc w:val="center"/>
                    <w:rPr>
                      <w:color w:val="auto"/>
                      <w:kern w:val="0"/>
                      <w:szCs w:val="21"/>
                    </w:rPr>
                  </w:pPr>
                  <w:r>
                    <w:rPr>
                      <w:color w:val="auto"/>
                      <w:kern w:val="0"/>
                      <w:szCs w:val="21"/>
                    </w:rPr>
                    <w:t>第一次</w:t>
                  </w:r>
                </w:p>
              </w:tc>
              <w:tc>
                <w:tcPr>
                  <w:tcW w:w="2014" w:type="dxa"/>
                  <w:vAlign w:val="center"/>
                </w:tcPr>
                <w:p w14:paraId="5B68BE2E">
                  <w:pPr>
                    <w:spacing w:line="276" w:lineRule="auto"/>
                    <w:jc w:val="center"/>
                    <w:rPr>
                      <w:color w:val="auto"/>
                      <w:kern w:val="0"/>
                      <w:szCs w:val="21"/>
                    </w:rPr>
                  </w:pPr>
                  <w:r>
                    <w:rPr>
                      <w:rFonts w:hint="eastAsia"/>
                      <w:color w:val="auto"/>
                      <w:kern w:val="0"/>
                      <w:szCs w:val="21"/>
                    </w:rPr>
                    <w:t>278</w:t>
                  </w:r>
                </w:p>
              </w:tc>
            </w:tr>
            <w:tr w14:paraId="1D49A1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74291131">
                  <w:pPr>
                    <w:spacing w:line="276" w:lineRule="auto"/>
                    <w:jc w:val="center"/>
                    <w:rPr>
                      <w:color w:val="auto"/>
                      <w:kern w:val="0"/>
                      <w:szCs w:val="21"/>
                    </w:rPr>
                  </w:pPr>
                </w:p>
              </w:tc>
              <w:tc>
                <w:tcPr>
                  <w:tcW w:w="2122" w:type="dxa"/>
                  <w:vMerge w:val="continue"/>
                  <w:vAlign w:val="center"/>
                </w:tcPr>
                <w:p w14:paraId="41A2D491">
                  <w:pPr>
                    <w:spacing w:line="276" w:lineRule="auto"/>
                    <w:jc w:val="center"/>
                    <w:rPr>
                      <w:color w:val="auto"/>
                      <w:kern w:val="0"/>
                      <w:szCs w:val="21"/>
                    </w:rPr>
                  </w:pPr>
                </w:p>
              </w:tc>
              <w:tc>
                <w:tcPr>
                  <w:tcW w:w="2072" w:type="dxa"/>
                  <w:vAlign w:val="center"/>
                </w:tcPr>
                <w:p w14:paraId="680B8919">
                  <w:pPr>
                    <w:spacing w:line="276" w:lineRule="auto"/>
                    <w:jc w:val="center"/>
                    <w:rPr>
                      <w:color w:val="auto"/>
                      <w:kern w:val="0"/>
                      <w:szCs w:val="21"/>
                    </w:rPr>
                  </w:pPr>
                  <w:r>
                    <w:rPr>
                      <w:color w:val="auto"/>
                      <w:kern w:val="0"/>
                      <w:szCs w:val="21"/>
                    </w:rPr>
                    <w:t>第二次</w:t>
                  </w:r>
                </w:p>
              </w:tc>
              <w:tc>
                <w:tcPr>
                  <w:tcW w:w="2014" w:type="dxa"/>
                  <w:vAlign w:val="center"/>
                </w:tcPr>
                <w:p w14:paraId="0C115BD0">
                  <w:pPr>
                    <w:spacing w:line="276" w:lineRule="auto"/>
                    <w:jc w:val="center"/>
                    <w:rPr>
                      <w:color w:val="auto"/>
                      <w:kern w:val="0"/>
                      <w:szCs w:val="21"/>
                    </w:rPr>
                  </w:pPr>
                  <w:r>
                    <w:rPr>
                      <w:rFonts w:hint="eastAsia"/>
                      <w:color w:val="auto"/>
                      <w:kern w:val="0"/>
                      <w:szCs w:val="21"/>
                    </w:rPr>
                    <w:t>243</w:t>
                  </w:r>
                </w:p>
              </w:tc>
            </w:tr>
            <w:tr w14:paraId="70A71C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28E08AA7">
                  <w:pPr>
                    <w:spacing w:line="276" w:lineRule="auto"/>
                    <w:jc w:val="center"/>
                    <w:rPr>
                      <w:color w:val="auto"/>
                      <w:kern w:val="0"/>
                      <w:szCs w:val="21"/>
                    </w:rPr>
                  </w:pPr>
                </w:p>
              </w:tc>
              <w:tc>
                <w:tcPr>
                  <w:tcW w:w="2122" w:type="dxa"/>
                  <w:vMerge w:val="continue"/>
                  <w:vAlign w:val="center"/>
                </w:tcPr>
                <w:p w14:paraId="7A96CD66">
                  <w:pPr>
                    <w:spacing w:line="276" w:lineRule="auto"/>
                    <w:jc w:val="center"/>
                    <w:rPr>
                      <w:color w:val="auto"/>
                      <w:kern w:val="0"/>
                      <w:szCs w:val="21"/>
                    </w:rPr>
                  </w:pPr>
                </w:p>
              </w:tc>
              <w:tc>
                <w:tcPr>
                  <w:tcW w:w="2072" w:type="dxa"/>
                  <w:vAlign w:val="center"/>
                </w:tcPr>
                <w:p w14:paraId="6D97585F">
                  <w:pPr>
                    <w:spacing w:line="276" w:lineRule="auto"/>
                    <w:jc w:val="center"/>
                    <w:rPr>
                      <w:color w:val="auto"/>
                      <w:kern w:val="0"/>
                      <w:szCs w:val="21"/>
                    </w:rPr>
                  </w:pPr>
                  <w:r>
                    <w:rPr>
                      <w:color w:val="auto"/>
                      <w:kern w:val="0"/>
                      <w:szCs w:val="21"/>
                    </w:rPr>
                    <w:t>第三次</w:t>
                  </w:r>
                </w:p>
              </w:tc>
              <w:tc>
                <w:tcPr>
                  <w:tcW w:w="2014" w:type="dxa"/>
                  <w:vAlign w:val="center"/>
                </w:tcPr>
                <w:p w14:paraId="4E0B141D">
                  <w:pPr>
                    <w:spacing w:line="276" w:lineRule="auto"/>
                    <w:jc w:val="center"/>
                    <w:rPr>
                      <w:color w:val="auto"/>
                      <w:kern w:val="0"/>
                      <w:szCs w:val="21"/>
                    </w:rPr>
                  </w:pPr>
                  <w:r>
                    <w:rPr>
                      <w:rFonts w:hint="eastAsia"/>
                      <w:color w:val="auto"/>
                      <w:kern w:val="0"/>
                      <w:szCs w:val="21"/>
                    </w:rPr>
                    <w:t>260</w:t>
                  </w:r>
                </w:p>
              </w:tc>
            </w:tr>
            <w:tr w14:paraId="31B611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6EB8E1D3">
                  <w:pPr>
                    <w:spacing w:line="276" w:lineRule="auto"/>
                    <w:jc w:val="center"/>
                    <w:rPr>
                      <w:color w:val="auto"/>
                      <w:kern w:val="0"/>
                      <w:szCs w:val="21"/>
                    </w:rPr>
                  </w:pPr>
                </w:p>
              </w:tc>
              <w:tc>
                <w:tcPr>
                  <w:tcW w:w="2122" w:type="dxa"/>
                  <w:vMerge w:val="restart"/>
                  <w:vAlign w:val="center"/>
                </w:tcPr>
                <w:p w14:paraId="66C99A46">
                  <w:pPr>
                    <w:spacing w:line="276" w:lineRule="auto"/>
                    <w:jc w:val="center"/>
                    <w:rPr>
                      <w:color w:val="auto"/>
                      <w:kern w:val="0"/>
                      <w:szCs w:val="21"/>
                    </w:rPr>
                  </w:pPr>
                  <w:r>
                    <w:rPr>
                      <w:color w:val="auto"/>
                      <w:kern w:val="0"/>
                      <w:szCs w:val="21"/>
                    </w:rPr>
                    <w:t>非甲烷总烃（mg</w:t>
                  </w:r>
                  <w:r>
                    <w:rPr>
                      <w:rFonts w:hint="eastAsia"/>
                      <w:color w:val="auto"/>
                      <w:kern w:val="0"/>
                      <w:szCs w:val="21"/>
                    </w:rPr>
                    <w:t>/m</w:t>
                  </w:r>
                  <w:r>
                    <w:rPr>
                      <w:rFonts w:hint="eastAsia"/>
                      <w:color w:val="auto"/>
                      <w:kern w:val="0"/>
                      <w:szCs w:val="21"/>
                      <w:vertAlign w:val="superscript"/>
                    </w:rPr>
                    <w:t>3</w:t>
                  </w:r>
                  <w:r>
                    <w:rPr>
                      <w:color w:val="auto"/>
                      <w:kern w:val="0"/>
                      <w:szCs w:val="21"/>
                    </w:rPr>
                    <w:t>）</w:t>
                  </w:r>
                </w:p>
              </w:tc>
              <w:tc>
                <w:tcPr>
                  <w:tcW w:w="2072" w:type="dxa"/>
                  <w:vAlign w:val="center"/>
                </w:tcPr>
                <w:p w14:paraId="2BA468DA">
                  <w:pPr>
                    <w:spacing w:line="276" w:lineRule="auto"/>
                    <w:jc w:val="center"/>
                    <w:rPr>
                      <w:color w:val="auto"/>
                      <w:kern w:val="0"/>
                      <w:szCs w:val="21"/>
                    </w:rPr>
                  </w:pPr>
                  <w:r>
                    <w:rPr>
                      <w:color w:val="auto"/>
                      <w:kern w:val="0"/>
                      <w:szCs w:val="21"/>
                    </w:rPr>
                    <w:t>第一次</w:t>
                  </w:r>
                </w:p>
              </w:tc>
              <w:tc>
                <w:tcPr>
                  <w:tcW w:w="2014" w:type="dxa"/>
                  <w:vAlign w:val="center"/>
                </w:tcPr>
                <w:p w14:paraId="7E6FD0E7">
                  <w:pPr>
                    <w:spacing w:line="276" w:lineRule="auto"/>
                    <w:jc w:val="center"/>
                    <w:rPr>
                      <w:color w:val="auto"/>
                      <w:kern w:val="0"/>
                      <w:szCs w:val="21"/>
                    </w:rPr>
                  </w:pPr>
                  <w:r>
                    <w:rPr>
                      <w:rFonts w:hint="eastAsia"/>
                      <w:color w:val="auto"/>
                      <w:kern w:val="0"/>
                      <w:szCs w:val="21"/>
                    </w:rPr>
                    <w:t>1.11</w:t>
                  </w:r>
                </w:p>
              </w:tc>
            </w:tr>
            <w:tr w14:paraId="04EA85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5B003977">
                  <w:pPr>
                    <w:spacing w:line="276" w:lineRule="auto"/>
                    <w:jc w:val="center"/>
                    <w:rPr>
                      <w:color w:val="auto"/>
                      <w:kern w:val="0"/>
                      <w:szCs w:val="21"/>
                    </w:rPr>
                  </w:pPr>
                </w:p>
              </w:tc>
              <w:tc>
                <w:tcPr>
                  <w:tcW w:w="2122" w:type="dxa"/>
                  <w:vMerge w:val="continue"/>
                  <w:vAlign w:val="center"/>
                </w:tcPr>
                <w:p w14:paraId="4080458D">
                  <w:pPr>
                    <w:spacing w:line="276" w:lineRule="auto"/>
                    <w:jc w:val="center"/>
                    <w:rPr>
                      <w:color w:val="auto"/>
                      <w:kern w:val="0"/>
                      <w:szCs w:val="21"/>
                    </w:rPr>
                  </w:pPr>
                </w:p>
              </w:tc>
              <w:tc>
                <w:tcPr>
                  <w:tcW w:w="2072" w:type="dxa"/>
                  <w:vAlign w:val="center"/>
                </w:tcPr>
                <w:p w14:paraId="79081AAB">
                  <w:pPr>
                    <w:spacing w:line="276" w:lineRule="auto"/>
                    <w:jc w:val="center"/>
                    <w:rPr>
                      <w:color w:val="auto"/>
                      <w:kern w:val="0"/>
                      <w:szCs w:val="21"/>
                    </w:rPr>
                  </w:pPr>
                  <w:r>
                    <w:rPr>
                      <w:color w:val="auto"/>
                      <w:kern w:val="0"/>
                      <w:szCs w:val="21"/>
                    </w:rPr>
                    <w:t>第二次</w:t>
                  </w:r>
                </w:p>
              </w:tc>
              <w:tc>
                <w:tcPr>
                  <w:tcW w:w="2014" w:type="dxa"/>
                  <w:vAlign w:val="center"/>
                </w:tcPr>
                <w:p w14:paraId="1687997C">
                  <w:pPr>
                    <w:spacing w:line="276" w:lineRule="auto"/>
                    <w:jc w:val="center"/>
                    <w:rPr>
                      <w:color w:val="auto"/>
                      <w:kern w:val="0"/>
                      <w:szCs w:val="21"/>
                    </w:rPr>
                  </w:pPr>
                  <w:r>
                    <w:rPr>
                      <w:rFonts w:hint="eastAsia"/>
                      <w:color w:val="auto"/>
                      <w:kern w:val="0"/>
                      <w:szCs w:val="21"/>
                    </w:rPr>
                    <w:t>0.97</w:t>
                  </w:r>
                </w:p>
              </w:tc>
            </w:tr>
            <w:tr w14:paraId="393DAF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79D0BB91">
                  <w:pPr>
                    <w:spacing w:line="276" w:lineRule="auto"/>
                    <w:jc w:val="center"/>
                    <w:rPr>
                      <w:color w:val="auto"/>
                      <w:kern w:val="0"/>
                      <w:szCs w:val="21"/>
                    </w:rPr>
                  </w:pPr>
                </w:p>
              </w:tc>
              <w:tc>
                <w:tcPr>
                  <w:tcW w:w="2122" w:type="dxa"/>
                  <w:vMerge w:val="continue"/>
                  <w:vAlign w:val="center"/>
                </w:tcPr>
                <w:p w14:paraId="14337BA4">
                  <w:pPr>
                    <w:spacing w:line="276" w:lineRule="auto"/>
                    <w:jc w:val="center"/>
                    <w:rPr>
                      <w:color w:val="auto"/>
                      <w:kern w:val="0"/>
                      <w:szCs w:val="21"/>
                    </w:rPr>
                  </w:pPr>
                </w:p>
              </w:tc>
              <w:tc>
                <w:tcPr>
                  <w:tcW w:w="2072" w:type="dxa"/>
                  <w:vAlign w:val="center"/>
                </w:tcPr>
                <w:p w14:paraId="064D4E3A">
                  <w:pPr>
                    <w:spacing w:line="276" w:lineRule="auto"/>
                    <w:jc w:val="center"/>
                    <w:rPr>
                      <w:color w:val="auto"/>
                      <w:kern w:val="0"/>
                      <w:szCs w:val="21"/>
                    </w:rPr>
                  </w:pPr>
                  <w:r>
                    <w:rPr>
                      <w:color w:val="auto"/>
                      <w:kern w:val="0"/>
                      <w:szCs w:val="21"/>
                    </w:rPr>
                    <w:t>第三次</w:t>
                  </w:r>
                </w:p>
              </w:tc>
              <w:tc>
                <w:tcPr>
                  <w:tcW w:w="2014" w:type="dxa"/>
                  <w:vAlign w:val="center"/>
                </w:tcPr>
                <w:p w14:paraId="2552AE1B">
                  <w:pPr>
                    <w:spacing w:line="276" w:lineRule="auto"/>
                    <w:jc w:val="center"/>
                    <w:rPr>
                      <w:color w:val="auto"/>
                      <w:kern w:val="0"/>
                      <w:szCs w:val="21"/>
                    </w:rPr>
                  </w:pPr>
                  <w:r>
                    <w:rPr>
                      <w:rFonts w:hint="eastAsia"/>
                      <w:color w:val="auto"/>
                      <w:kern w:val="0"/>
                      <w:szCs w:val="21"/>
                    </w:rPr>
                    <w:t>1.02</w:t>
                  </w:r>
                </w:p>
              </w:tc>
            </w:tr>
            <w:tr w14:paraId="7DF3D8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19" w:type="dxa"/>
                  <w:vMerge w:val="restart"/>
                  <w:vAlign w:val="center"/>
                </w:tcPr>
                <w:p w14:paraId="48676531">
                  <w:pPr>
                    <w:spacing w:line="276" w:lineRule="auto"/>
                    <w:jc w:val="center"/>
                    <w:rPr>
                      <w:color w:val="auto"/>
                      <w:kern w:val="0"/>
                      <w:szCs w:val="21"/>
                    </w:rPr>
                  </w:pPr>
                  <w:r>
                    <w:rPr>
                      <w:rFonts w:hint="eastAsia"/>
                      <w:color w:val="auto"/>
                      <w:kern w:val="0"/>
                      <w:szCs w:val="21"/>
                    </w:rPr>
                    <w:t>DA004排气筒附近G5</w:t>
                  </w:r>
                </w:p>
              </w:tc>
              <w:tc>
                <w:tcPr>
                  <w:tcW w:w="2122" w:type="dxa"/>
                  <w:vMerge w:val="restart"/>
                  <w:vAlign w:val="center"/>
                </w:tcPr>
                <w:p w14:paraId="2B541E92">
                  <w:pPr>
                    <w:spacing w:line="276" w:lineRule="auto"/>
                    <w:jc w:val="center"/>
                    <w:rPr>
                      <w:color w:val="auto"/>
                      <w:kern w:val="0"/>
                      <w:szCs w:val="21"/>
                    </w:rPr>
                  </w:pPr>
                  <w:r>
                    <w:rPr>
                      <w:color w:val="auto"/>
                      <w:kern w:val="0"/>
                      <w:szCs w:val="21"/>
                    </w:rPr>
                    <w:t>非甲烷总烃（mg</w:t>
                  </w:r>
                  <w:r>
                    <w:rPr>
                      <w:rFonts w:hint="eastAsia"/>
                      <w:color w:val="auto"/>
                      <w:kern w:val="0"/>
                      <w:szCs w:val="21"/>
                    </w:rPr>
                    <w:t>/m</w:t>
                  </w:r>
                  <w:r>
                    <w:rPr>
                      <w:rFonts w:hint="eastAsia"/>
                      <w:color w:val="auto"/>
                      <w:kern w:val="0"/>
                      <w:szCs w:val="21"/>
                      <w:vertAlign w:val="superscript"/>
                    </w:rPr>
                    <w:t>3</w:t>
                  </w:r>
                  <w:r>
                    <w:rPr>
                      <w:color w:val="auto"/>
                      <w:kern w:val="0"/>
                      <w:szCs w:val="21"/>
                    </w:rPr>
                    <w:t>）</w:t>
                  </w:r>
                </w:p>
              </w:tc>
              <w:tc>
                <w:tcPr>
                  <w:tcW w:w="2072" w:type="dxa"/>
                  <w:vAlign w:val="center"/>
                </w:tcPr>
                <w:p w14:paraId="0F69111D">
                  <w:pPr>
                    <w:spacing w:line="276" w:lineRule="auto"/>
                    <w:jc w:val="center"/>
                    <w:rPr>
                      <w:color w:val="auto"/>
                      <w:kern w:val="0"/>
                      <w:szCs w:val="21"/>
                    </w:rPr>
                  </w:pPr>
                  <w:r>
                    <w:rPr>
                      <w:color w:val="auto"/>
                      <w:kern w:val="0"/>
                      <w:szCs w:val="21"/>
                    </w:rPr>
                    <w:t>第一次</w:t>
                  </w:r>
                </w:p>
              </w:tc>
              <w:tc>
                <w:tcPr>
                  <w:tcW w:w="2014" w:type="dxa"/>
                  <w:vAlign w:val="center"/>
                </w:tcPr>
                <w:p w14:paraId="2CBE9705">
                  <w:pPr>
                    <w:spacing w:line="276" w:lineRule="auto"/>
                    <w:jc w:val="center"/>
                    <w:rPr>
                      <w:color w:val="auto"/>
                      <w:kern w:val="0"/>
                      <w:szCs w:val="21"/>
                    </w:rPr>
                  </w:pPr>
                  <w:r>
                    <w:rPr>
                      <w:rFonts w:hint="eastAsia"/>
                      <w:color w:val="auto"/>
                      <w:kern w:val="0"/>
                      <w:szCs w:val="21"/>
                    </w:rPr>
                    <w:t>0.91</w:t>
                  </w:r>
                </w:p>
              </w:tc>
            </w:tr>
            <w:tr w14:paraId="206FA2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656CE9E0">
                  <w:pPr>
                    <w:spacing w:line="276" w:lineRule="auto"/>
                    <w:jc w:val="center"/>
                    <w:rPr>
                      <w:color w:val="auto"/>
                      <w:kern w:val="0"/>
                      <w:szCs w:val="21"/>
                    </w:rPr>
                  </w:pPr>
                </w:p>
              </w:tc>
              <w:tc>
                <w:tcPr>
                  <w:tcW w:w="2122" w:type="dxa"/>
                  <w:vMerge w:val="continue"/>
                  <w:vAlign w:val="center"/>
                </w:tcPr>
                <w:p w14:paraId="06277F3A">
                  <w:pPr>
                    <w:spacing w:line="276" w:lineRule="auto"/>
                    <w:jc w:val="center"/>
                    <w:rPr>
                      <w:color w:val="auto"/>
                      <w:kern w:val="0"/>
                      <w:szCs w:val="21"/>
                    </w:rPr>
                  </w:pPr>
                </w:p>
              </w:tc>
              <w:tc>
                <w:tcPr>
                  <w:tcW w:w="2072" w:type="dxa"/>
                  <w:vAlign w:val="center"/>
                </w:tcPr>
                <w:p w14:paraId="4914D56A">
                  <w:pPr>
                    <w:spacing w:line="276" w:lineRule="auto"/>
                    <w:jc w:val="center"/>
                    <w:rPr>
                      <w:color w:val="auto"/>
                      <w:kern w:val="0"/>
                      <w:szCs w:val="21"/>
                    </w:rPr>
                  </w:pPr>
                  <w:r>
                    <w:rPr>
                      <w:color w:val="auto"/>
                      <w:kern w:val="0"/>
                      <w:szCs w:val="21"/>
                    </w:rPr>
                    <w:t>第二次</w:t>
                  </w:r>
                </w:p>
              </w:tc>
              <w:tc>
                <w:tcPr>
                  <w:tcW w:w="2014" w:type="dxa"/>
                  <w:vAlign w:val="center"/>
                </w:tcPr>
                <w:p w14:paraId="14DD16C4">
                  <w:pPr>
                    <w:spacing w:line="276" w:lineRule="auto"/>
                    <w:jc w:val="center"/>
                    <w:rPr>
                      <w:color w:val="auto"/>
                      <w:kern w:val="0"/>
                      <w:szCs w:val="21"/>
                    </w:rPr>
                  </w:pPr>
                  <w:r>
                    <w:rPr>
                      <w:rFonts w:hint="eastAsia"/>
                      <w:color w:val="auto"/>
                      <w:kern w:val="0"/>
                      <w:szCs w:val="21"/>
                    </w:rPr>
                    <w:t>0.78</w:t>
                  </w:r>
                </w:p>
              </w:tc>
            </w:tr>
            <w:tr w14:paraId="4F437E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0E8C7B60">
                  <w:pPr>
                    <w:spacing w:line="276" w:lineRule="auto"/>
                    <w:jc w:val="center"/>
                    <w:rPr>
                      <w:color w:val="auto"/>
                      <w:kern w:val="0"/>
                      <w:szCs w:val="21"/>
                    </w:rPr>
                  </w:pPr>
                </w:p>
              </w:tc>
              <w:tc>
                <w:tcPr>
                  <w:tcW w:w="2122" w:type="dxa"/>
                  <w:vMerge w:val="continue"/>
                  <w:vAlign w:val="center"/>
                </w:tcPr>
                <w:p w14:paraId="3DDE4301">
                  <w:pPr>
                    <w:spacing w:line="276" w:lineRule="auto"/>
                    <w:jc w:val="center"/>
                    <w:rPr>
                      <w:color w:val="auto"/>
                      <w:kern w:val="0"/>
                      <w:szCs w:val="21"/>
                    </w:rPr>
                  </w:pPr>
                </w:p>
              </w:tc>
              <w:tc>
                <w:tcPr>
                  <w:tcW w:w="2072" w:type="dxa"/>
                  <w:vAlign w:val="center"/>
                </w:tcPr>
                <w:p w14:paraId="26A28433">
                  <w:pPr>
                    <w:spacing w:line="276" w:lineRule="auto"/>
                    <w:jc w:val="center"/>
                    <w:rPr>
                      <w:color w:val="auto"/>
                      <w:kern w:val="0"/>
                      <w:szCs w:val="21"/>
                    </w:rPr>
                  </w:pPr>
                  <w:r>
                    <w:rPr>
                      <w:color w:val="auto"/>
                      <w:kern w:val="0"/>
                      <w:szCs w:val="21"/>
                    </w:rPr>
                    <w:t>第三次</w:t>
                  </w:r>
                </w:p>
              </w:tc>
              <w:tc>
                <w:tcPr>
                  <w:tcW w:w="2014" w:type="dxa"/>
                  <w:vAlign w:val="center"/>
                </w:tcPr>
                <w:p w14:paraId="771470F0">
                  <w:pPr>
                    <w:spacing w:line="276" w:lineRule="auto"/>
                    <w:jc w:val="center"/>
                    <w:rPr>
                      <w:color w:val="auto"/>
                      <w:kern w:val="0"/>
                      <w:szCs w:val="21"/>
                    </w:rPr>
                  </w:pPr>
                  <w:r>
                    <w:rPr>
                      <w:rFonts w:hint="eastAsia"/>
                      <w:color w:val="auto"/>
                      <w:kern w:val="0"/>
                      <w:szCs w:val="21"/>
                    </w:rPr>
                    <w:t>0.82</w:t>
                  </w:r>
                </w:p>
              </w:tc>
            </w:tr>
            <w:tr w14:paraId="58D870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19" w:type="dxa"/>
                  <w:vMerge w:val="restart"/>
                  <w:vAlign w:val="center"/>
                </w:tcPr>
                <w:p w14:paraId="5BB806D6">
                  <w:pPr>
                    <w:spacing w:line="276" w:lineRule="auto"/>
                    <w:jc w:val="center"/>
                    <w:rPr>
                      <w:color w:val="auto"/>
                      <w:kern w:val="0"/>
                      <w:szCs w:val="21"/>
                    </w:rPr>
                  </w:pPr>
                  <w:r>
                    <w:rPr>
                      <w:color w:val="auto"/>
                      <w:kern w:val="0"/>
                      <w:szCs w:val="21"/>
                    </w:rPr>
                    <w:t>工业炉窑车间厂房</w:t>
                  </w:r>
                  <w:r>
                    <w:rPr>
                      <w:rFonts w:hint="eastAsia"/>
                      <w:color w:val="auto"/>
                      <w:kern w:val="0"/>
                      <w:szCs w:val="21"/>
                    </w:rPr>
                    <w:t>附近G6</w:t>
                  </w:r>
                </w:p>
              </w:tc>
              <w:tc>
                <w:tcPr>
                  <w:tcW w:w="2122" w:type="dxa"/>
                  <w:vMerge w:val="restart"/>
                  <w:vAlign w:val="center"/>
                </w:tcPr>
                <w:p w14:paraId="41EC5072">
                  <w:pPr>
                    <w:spacing w:line="276" w:lineRule="auto"/>
                    <w:jc w:val="center"/>
                    <w:rPr>
                      <w:color w:val="auto"/>
                      <w:kern w:val="0"/>
                      <w:szCs w:val="21"/>
                    </w:rPr>
                  </w:pPr>
                  <w:r>
                    <w:rPr>
                      <w:color w:val="auto"/>
                      <w:kern w:val="0"/>
                      <w:szCs w:val="21"/>
                    </w:rPr>
                    <w:t>颗粒物（μg</w:t>
                  </w:r>
                  <w:r>
                    <w:rPr>
                      <w:rFonts w:hint="eastAsia"/>
                      <w:color w:val="auto"/>
                      <w:kern w:val="0"/>
                      <w:szCs w:val="21"/>
                    </w:rPr>
                    <w:t>/m</w:t>
                  </w:r>
                  <w:r>
                    <w:rPr>
                      <w:rFonts w:hint="eastAsia"/>
                      <w:color w:val="auto"/>
                      <w:kern w:val="0"/>
                      <w:szCs w:val="21"/>
                      <w:vertAlign w:val="superscript"/>
                    </w:rPr>
                    <w:t>3</w:t>
                  </w:r>
                  <w:r>
                    <w:rPr>
                      <w:color w:val="auto"/>
                      <w:kern w:val="0"/>
                      <w:szCs w:val="21"/>
                    </w:rPr>
                    <w:t>）</w:t>
                  </w:r>
                </w:p>
              </w:tc>
              <w:tc>
                <w:tcPr>
                  <w:tcW w:w="2072" w:type="dxa"/>
                  <w:vAlign w:val="center"/>
                </w:tcPr>
                <w:p w14:paraId="43B6D941">
                  <w:pPr>
                    <w:spacing w:line="276" w:lineRule="auto"/>
                    <w:jc w:val="center"/>
                    <w:rPr>
                      <w:color w:val="auto"/>
                      <w:kern w:val="0"/>
                      <w:szCs w:val="21"/>
                    </w:rPr>
                  </w:pPr>
                  <w:r>
                    <w:rPr>
                      <w:color w:val="auto"/>
                      <w:kern w:val="0"/>
                      <w:szCs w:val="21"/>
                    </w:rPr>
                    <w:t>第一次</w:t>
                  </w:r>
                </w:p>
              </w:tc>
              <w:tc>
                <w:tcPr>
                  <w:tcW w:w="2014" w:type="dxa"/>
                  <w:vAlign w:val="center"/>
                </w:tcPr>
                <w:p w14:paraId="2D58A901">
                  <w:pPr>
                    <w:spacing w:line="276" w:lineRule="auto"/>
                    <w:jc w:val="center"/>
                    <w:rPr>
                      <w:color w:val="auto"/>
                      <w:kern w:val="0"/>
                      <w:szCs w:val="21"/>
                    </w:rPr>
                  </w:pPr>
                  <w:r>
                    <w:rPr>
                      <w:rFonts w:hint="eastAsia"/>
                      <w:color w:val="auto"/>
                      <w:kern w:val="0"/>
                      <w:szCs w:val="21"/>
                    </w:rPr>
                    <w:t>278</w:t>
                  </w:r>
                </w:p>
              </w:tc>
            </w:tr>
            <w:tr w14:paraId="479C20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234326B2">
                  <w:pPr>
                    <w:spacing w:line="276" w:lineRule="auto"/>
                    <w:jc w:val="center"/>
                    <w:rPr>
                      <w:color w:val="auto"/>
                      <w:kern w:val="0"/>
                      <w:szCs w:val="21"/>
                    </w:rPr>
                  </w:pPr>
                </w:p>
              </w:tc>
              <w:tc>
                <w:tcPr>
                  <w:tcW w:w="2122" w:type="dxa"/>
                  <w:vMerge w:val="continue"/>
                  <w:vAlign w:val="center"/>
                </w:tcPr>
                <w:p w14:paraId="050FBF79">
                  <w:pPr>
                    <w:spacing w:line="276" w:lineRule="auto"/>
                    <w:jc w:val="center"/>
                    <w:rPr>
                      <w:color w:val="auto"/>
                      <w:kern w:val="0"/>
                      <w:szCs w:val="21"/>
                    </w:rPr>
                  </w:pPr>
                </w:p>
              </w:tc>
              <w:tc>
                <w:tcPr>
                  <w:tcW w:w="2072" w:type="dxa"/>
                  <w:vAlign w:val="center"/>
                </w:tcPr>
                <w:p w14:paraId="12D561EC">
                  <w:pPr>
                    <w:spacing w:line="276" w:lineRule="auto"/>
                    <w:jc w:val="center"/>
                    <w:rPr>
                      <w:color w:val="auto"/>
                      <w:kern w:val="0"/>
                      <w:szCs w:val="21"/>
                    </w:rPr>
                  </w:pPr>
                  <w:r>
                    <w:rPr>
                      <w:color w:val="auto"/>
                      <w:kern w:val="0"/>
                      <w:szCs w:val="21"/>
                    </w:rPr>
                    <w:t>第二次</w:t>
                  </w:r>
                </w:p>
              </w:tc>
              <w:tc>
                <w:tcPr>
                  <w:tcW w:w="2014" w:type="dxa"/>
                  <w:vAlign w:val="center"/>
                </w:tcPr>
                <w:p w14:paraId="442EB8B5">
                  <w:pPr>
                    <w:spacing w:line="276" w:lineRule="auto"/>
                    <w:jc w:val="center"/>
                    <w:rPr>
                      <w:color w:val="auto"/>
                      <w:kern w:val="0"/>
                      <w:szCs w:val="21"/>
                    </w:rPr>
                  </w:pPr>
                  <w:r>
                    <w:rPr>
                      <w:rFonts w:hint="eastAsia"/>
                      <w:color w:val="auto"/>
                      <w:kern w:val="0"/>
                      <w:szCs w:val="21"/>
                    </w:rPr>
                    <w:t>292</w:t>
                  </w:r>
                </w:p>
              </w:tc>
            </w:tr>
            <w:tr w14:paraId="1DCE72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4ABF9336">
                  <w:pPr>
                    <w:spacing w:line="276" w:lineRule="auto"/>
                    <w:jc w:val="center"/>
                    <w:rPr>
                      <w:color w:val="auto"/>
                      <w:kern w:val="0"/>
                      <w:szCs w:val="21"/>
                    </w:rPr>
                  </w:pPr>
                </w:p>
              </w:tc>
              <w:tc>
                <w:tcPr>
                  <w:tcW w:w="2122" w:type="dxa"/>
                  <w:vMerge w:val="continue"/>
                  <w:vAlign w:val="center"/>
                </w:tcPr>
                <w:p w14:paraId="4141FAE2">
                  <w:pPr>
                    <w:spacing w:line="276" w:lineRule="auto"/>
                    <w:jc w:val="center"/>
                    <w:rPr>
                      <w:color w:val="auto"/>
                      <w:kern w:val="0"/>
                      <w:szCs w:val="21"/>
                    </w:rPr>
                  </w:pPr>
                </w:p>
              </w:tc>
              <w:tc>
                <w:tcPr>
                  <w:tcW w:w="2072" w:type="dxa"/>
                  <w:vAlign w:val="center"/>
                </w:tcPr>
                <w:p w14:paraId="21A3CF62">
                  <w:pPr>
                    <w:spacing w:line="276" w:lineRule="auto"/>
                    <w:jc w:val="center"/>
                    <w:rPr>
                      <w:color w:val="auto"/>
                      <w:kern w:val="0"/>
                      <w:szCs w:val="21"/>
                    </w:rPr>
                  </w:pPr>
                  <w:r>
                    <w:rPr>
                      <w:color w:val="auto"/>
                      <w:kern w:val="0"/>
                      <w:szCs w:val="21"/>
                    </w:rPr>
                    <w:t>第三次</w:t>
                  </w:r>
                </w:p>
              </w:tc>
              <w:tc>
                <w:tcPr>
                  <w:tcW w:w="2014" w:type="dxa"/>
                  <w:vAlign w:val="center"/>
                </w:tcPr>
                <w:p w14:paraId="71048BAC">
                  <w:pPr>
                    <w:spacing w:line="276" w:lineRule="auto"/>
                    <w:jc w:val="center"/>
                    <w:rPr>
                      <w:color w:val="auto"/>
                      <w:kern w:val="0"/>
                      <w:szCs w:val="21"/>
                    </w:rPr>
                  </w:pPr>
                  <w:r>
                    <w:rPr>
                      <w:rFonts w:hint="eastAsia"/>
                      <w:color w:val="auto"/>
                      <w:kern w:val="0"/>
                      <w:szCs w:val="21"/>
                    </w:rPr>
                    <w:t>282</w:t>
                  </w:r>
                </w:p>
              </w:tc>
            </w:tr>
            <w:tr w14:paraId="77CDEB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19" w:type="dxa"/>
                  <w:vMerge w:val="restart"/>
                  <w:vAlign w:val="center"/>
                </w:tcPr>
                <w:p w14:paraId="32640763">
                  <w:pPr>
                    <w:spacing w:line="276" w:lineRule="auto"/>
                    <w:jc w:val="center"/>
                    <w:rPr>
                      <w:color w:val="auto"/>
                      <w:kern w:val="0"/>
                      <w:szCs w:val="21"/>
                    </w:rPr>
                  </w:pPr>
                  <w:r>
                    <w:rPr>
                      <w:color w:val="auto"/>
                      <w:kern w:val="0"/>
                      <w:szCs w:val="21"/>
                    </w:rPr>
                    <w:t>工业炉窑车间厂房</w:t>
                  </w:r>
                  <w:r>
                    <w:rPr>
                      <w:rFonts w:hint="eastAsia"/>
                      <w:color w:val="auto"/>
                      <w:kern w:val="0"/>
                      <w:szCs w:val="21"/>
                    </w:rPr>
                    <w:t>附近G7</w:t>
                  </w:r>
                </w:p>
              </w:tc>
              <w:tc>
                <w:tcPr>
                  <w:tcW w:w="2122" w:type="dxa"/>
                  <w:vMerge w:val="restart"/>
                  <w:vAlign w:val="center"/>
                </w:tcPr>
                <w:p w14:paraId="6B42A670">
                  <w:pPr>
                    <w:spacing w:line="276" w:lineRule="auto"/>
                    <w:jc w:val="center"/>
                    <w:rPr>
                      <w:color w:val="auto"/>
                      <w:kern w:val="0"/>
                      <w:szCs w:val="21"/>
                    </w:rPr>
                  </w:pPr>
                  <w:r>
                    <w:rPr>
                      <w:color w:val="auto"/>
                      <w:kern w:val="0"/>
                      <w:szCs w:val="21"/>
                    </w:rPr>
                    <w:t>颗粒物（μg</w:t>
                  </w:r>
                  <w:r>
                    <w:rPr>
                      <w:rFonts w:hint="eastAsia"/>
                      <w:color w:val="auto"/>
                      <w:kern w:val="0"/>
                      <w:szCs w:val="21"/>
                    </w:rPr>
                    <w:t>/m</w:t>
                  </w:r>
                  <w:r>
                    <w:rPr>
                      <w:rFonts w:hint="eastAsia"/>
                      <w:color w:val="auto"/>
                      <w:kern w:val="0"/>
                      <w:szCs w:val="21"/>
                      <w:vertAlign w:val="superscript"/>
                    </w:rPr>
                    <w:t>3</w:t>
                  </w:r>
                  <w:r>
                    <w:rPr>
                      <w:color w:val="auto"/>
                      <w:kern w:val="0"/>
                      <w:szCs w:val="21"/>
                    </w:rPr>
                    <w:t>）</w:t>
                  </w:r>
                </w:p>
              </w:tc>
              <w:tc>
                <w:tcPr>
                  <w:tcW w:w="2072" w:type="dxa"/>
                  <w:vAlign w:val="center"/>
                </w:tcPr>
                <w:p w14:paraId="4AC6FD21">
                  <w:pPr>
                    <w:spacing w:line="276" w:lineRule="auto"/>
                    <w:jc w:val="center"/>
                    <w:rPr>
                      <w:color w:val="auto"/>
                      <w:kern w:val="0"/>
                      <w:szCs w:val="21"/>
                    </w:rPr>
                  </w:pPr>
                  <w:r>
                    <w:rPr>
                      <w:color w:val="auto"/>
                      <w:kern w:val="0"/>
                      <w:szCs w:val="21"/>
                    </w:rPr>
                    <w:t>第一次</w:t>
                  </w:r>
                </w:p>
              </w:tc>
              <w:tc>
                <w:tcPr>
                  <w:tcW w:w="2014" w:type="dxa"/>
                  <w:vAlign w:val="center"/>
                </w:tcPr>
                <w:p w14:paraId="01AC2721">
                  <w:pPr>
                    <w:spacing w:line="276" w:lineRule="auto"/>
                    <w:jc w:val="center"/>
                    <w:rPr>
                      <w:color w:val="auto"/>
                      <w:kern w:val="0"/>
                      <w:szCs w:val="21"/>
                    </w:rPr>
                  </w:pPr>
                  <w:r>
                    <w:rPr>
                      <w:rFonts w:hint="eastAsia"/>
                      <w:color w:val="auto"/>
                      <w:kern w:val="0"/>
                      <w:szCs w:val="21"/>
                    </w:rPr>
                    <w:t>288</w:t>
                  </w:r>
                </w:p>
              </w:tc>
            </w:tr>
            <w:tr w14:paraId="3B509A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5F25BFEC">
                  <w:pPr>
                    <w:spacing w:line="276" w:lineRule="auto"/>
                    <w:jc w:val="center"/>
                    <w:rPr>
                      <w:color w:val="auto"/>
                      <w:kern w:val="0"/>
                      <w:szCs w:val="21"/>
                    </w:rPr>
                  </w:pPr>
                </w:p>
              </w:tc>
              <w:tc>
                <w:tcPr>
                  <w:tcW w:w="2122" w:type="dxa"/>
                  <w:vMerge w:val="continue"/>
                  <w:vAlign w:val="center"/>
                </w:tcPr>
                <w:p w14:paraId="72257B7C">
                  <w:pPr>
                    <w:spacing w:line="276" w:lineRule="auto"/>
                    <w:jc w:val="center"/>
                    <w:rPr>
                      <w:color w:val="auto"/>
                      <w:kern w:val="0"/>
                      <w:szCs w:val="21"/>
                    </w:rPr>
                  </w:pPr>
                </w:p>
              </w:tc>
              <w:tc>
                <w:tcPr>
                  <w:tcW w:w="2072" w:type="dxa"/>
                  <w:vAlign w:val="center"/>
                </w:tcPr>
                <w:p w14:paraId="3F5AC243">
                  <w:pPr>
                    <w:spacing w:line="276" w:lineRule="auto"/>
                    <w:jc w:val="center"/>
                    <w:rPr>
                      <w:color w:val="auto"/>
                      <w:kern w:val="0"/>
                      <w:szCs w:val="21"/>
                    </w:rPr>
                  </w:pPr>
                  <w:r>
                    <w:rPr>
                      <w:color w:val="auto"/>
                      <w:kern w:val="0"/>
                      <w:szCs w:val="21"/>
                    </w:rPr>
                    <w:t>第二次</w:t>
                  </w:r>
                </w:p>
              </w:tc>
              <w:tc>
                <w:tcPr>
                  <w:tcW w:w="2014" w:type="dxa"/>
                  <w:vAlign w:val="center"/>
                </w:tcPr>
                <w:p w14:paraId="322ED963">
                  <w:pPr>
                    <w:spacing w:line="276" w:lineRule="auto"/>
                    <w:jc w:val="center"/>
                    <w:rPr>
                      <w:color w:val="auto"/>
                      <w:kern w:val="0"/>
                      <w:szCs w:val="21"/>
                    </w:rPr>
                  </w:pPr>
                  <w:r>
                    <w:rPr>
                      <w:rFonts w:hint="eastAsia"/>
                      <w:color w:val="auto"/>
                      <w:kern w:val="0"/>
                      <w:szCs w:val="21"/>
                    </w:rPr>
                    <w:t>267</w:t>
                  </w:r>
                </w:p>
              </w:tc>
            </w:tr>
            <w:tr w14:paraId="2371E5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7F128902">
                  <w:pPr>
                    <w:spacing w:line="276" w:lineRule="auto"/>
                    <w:jc w:val="center"/>
                    <w:rPr>
                      <w:color w:val="auto"/>
                      <w:kern w:val="0"/>
                      <w:szCs w:val="21"/>
                    </w:rPr>
                  </w:pPr>
                </w:p>
              </w:tc>
              <w:tc>
                <w:tcPr>
                  <w:tcW w:w="2122" w:type="dxa"/>
                  <w:vMerge w:val="continue"/>
                  <w:vAlign w:val="center"/>
                </w:tcPr>
                <w:p w14:paraId="48CD2695">
                  <w:pPr>
                    <w:spacing w:line="276" w:lineRule="auto"/>
                    <w:jc w:val="center"/>
                    <w:rPr>
                      <w:color w:val="auto"/>
                      <w:kern w:val="0"/>
                      <w:szCs w:val="21"/>
                    </w:rPr>
                  </w:pPr>
                </w:p>
              </w:tc>
              <w:tc>
                <w:tcPr>
                  <w:tcW w:w="2072" w:type="dxa"/>
                  <w:vAlign w:val="center"/>
                </w:tcPr>
                <w:p w14:paraId="0B2101AE">
                  <w:pPr>
                    <w:spacing w:line="276" w:lineRule="auto"/>
                    <w:jc w:val="center"/>
                    <w:rPr>
                      <w:color w:val="auto"/>
                      <w:kern w:val="0"/>
                      <w:szCs w:val="21"/>
                    </w:rPr>
                  </w:pPr>
                  <w:r>
                    <w:rPr>
                      <w:color w:val="auto"/>
                      <w:kern w:val="0"/>
                      <w:szCs w:val="21"/>
                    </w:rPr>
                    <w:t>第三次</w:t>
                  </w:r>
                </w:p>
              </w:tc>
              <w:tc>
                <w:tcPr>
                  <w:tcW w:w="2014" w:type="dxa"/>
                  <w:vAlign w:val="center"/>
                </w:tcPr>
                <w:p w14:paraId="7D711F73">
                  <w:pPr>
                    <w:spacing w:line="276" w:lineRule="auto"/>
                    <w:jc w:val="center"/>
                    <w:rPr>
                      <w:color w:val="auto"/>
                      <w:kern w:val="0"/>
                      <w:szCs w:val="21"/>
                    </w:rPr>
                  </w:pPr>
                  <w:r>
                    <w:rPr>
                      <w:rFonts w:hint="eastAsia"/>
                      <w:color w:val="auto"/>
                      <w:kern w:val="0"/>
                      <w:szCs w:val="21"/>
                    </w:rPr>
                    <w:t>285</w:t>
                  </w:r>
                </w:p>
              </w:tc>
            </w:tr>
            <w:tr w14:paraId="55F2B6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restart"/>
                  <w:vAlign w:val="center"/>
                </w:tcPr>
                <w:p w14:paraId="4861007A">
                  <w:pPr>
                    <w:spacing w:line="276" w:lineRule="auto"/>
                    <w:jc w:val="center"/>
                    <w:rPr>
                      <w:color w:val="auto"/>
                      <w:kern w:val="0"/>
                      <w:szCs w:val="21"/>
                    </w:rPr>
                  </w:pPr>
                  <w:r>
                    <w:rPr>
                      <w:color w:val="auto"/>
                      <w:kern w:val="0"/>
                      <w:szCs w:val="21"/>
                    </w:rPr>
                    <w:t>工业炉窑车间厂房</w:t>
                  </w:r>
                  <w:r>
                    <w:rPr>
                      <w:rFonts w:hint="eastAsia"/>
                      <w:color w:val="auto"/>
                      <w:kern w:val="0"/>
                      <w:szCs w:val="21"/>
                    </w:rPr>
                    <w:t>附近G8</w:t>
                  </w:r>
                </w:p>
              </w:tc>
              <w:tc>
                <w:tcPr>
                  <w:tcW w:w="2122" w:type="dxa"/>
                  <w:vMerge w:val="restart"/>
                  <w:vAlign w:val="center"/>
                </w:tcPr>
                <w:p w14:paraId="4912C10C">
                  <w:pPr>
                    <w:spacing w:line="276" w:lineRule="auto"/>
                    <w:jc w:val="center"/>
                    <w:rPr>
                      <w:color w:val="auto"/>
                      <w:kern w:val="0"/>
                      <w:szCs w:val="21"/>
                    </w:rPr>
                  </w:pPr>
                  <w:r>
                    <w:rPr>
                      <w:color w:val="auto"/>
                      <w:kern w:val="0"/>
                      <w:szCs w:val="21"/>
                    </w:rPr>
                    <w:t>颗粒物（μg</w:t>
                  </w:r>
                  <w:r>
                    <w:rPr>
                      <w:rFonts w:hint="eastAsia"/>
                      <w:color w:val="auto"/>
                      <w:kern w:val="0"/>
                      <w:szCs w:val="21"/>
                    </w:rPr>
                    <w:t>/m</w:t>
                  </w:r>
                  <w:r>
                    <w:rPr>
                      <w:rFonts w:hint="eastAsia"/>
                      <w:color w:val="auto"/>
                      <w:kern w:val="0"/>
                      <w:szCs w:val="21"/>
                      <w:vertAlign w:val="superscript"/>
                    </w:rPr>
                    <w:t>3</w:t>
                  </w:r>
                  <w:r>
                    <w:rPr>
                      <w:color w:val="auto"/>
                      <w:kern w:val="0"/>
                      <w:szCs w:val="21"/>
                    </w:rPr>
                    <w:t>）</w:t>
                  </w:r>
                </w:p>
              </w:tc>
              <w:tc>
                <w:tcPr>
                  <w:tcW w:w="2072" w:type="dxa"/>
                  <w:vAlign w:val="center"/>
                </w:tcPr>
                <w:p w14:paraId="44D5F652">
                  <w:pPr>
                    <w:spacing w:line="276" w:lineRule="auto"/>
                    <w:jc w:val="center"/>
                    <w:rPr>
                      <w:color w:val="auto"/>
                      <w:kern w:val="0"/>
                      <w:szCs w:val="21"/>
                    </w:rPr>
                  </w:pPr>
                  <w:r>
                    <w:rPr>
                      <w:color w:val="auto"/>
                      <w:kern w:val="0"/>
                      <w:szCs w:val="21"/>
                    </w:rPr>
                    <w:t>第一次</w:t>
                  </w:r>
                </w:p>
              </w:tc>
              <w:tc>
                <w:tcPr>
                  <w:tcW w:w="2014" w:type="dxa"/>
                  <w:vAlign w:val="center"/>
                </w:tcPr>
                <w:p w14:paraId="2E6E3AA9">
                  <w:pPr>
                    <w:spacing w:line="276" w:lineRule="auto"/>
                    <w:jc w:val="center"/>
                    <w:rPr>
                      <w:color w:val="auto"/>
                      <w:kern w:val="0"/>
                      <w:szCs w:val="21"/>
                    </w:rPr>
                  </w:pPr>
                  <w:r>
                    <w:rPr>
                      <w:rFonts w:hint="eastAsia"/>
                      <w:color w:val="auto"/>
                      <w:kern w:val="0"/>
                      <w:szCs w:val="21"/>
                    </w:rPr>
                    <w:t>218</w:t>
                  </w:r>
                </w:p>
              </w:tc>
            </w:tr>
            <w:tr w14:paraId="4CE425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04A3FE63">
                  <w:pPr>
                    <w:spacing w:line="276" w:lineRule="auto"/>
                    <w:jc w:val="center"/>
                    <w:rPr>
                      <w:color w:val="auto"/>
                      <w:kern w:val="0"/>
                      <w:szCs w:val="21"/>
                    </w:rPr>
                  </w:pPr>
                </w:p>
              </w:tc>
              <w:tc>
                <w:tcPr>
                  <w:tcW w:w="2122" w:type="dxa"/>
                  <w:vMerge w:val="continue"/>
                  <w:vAlign w:val="center"/>
                </w:tcPr>
                <w:p w14:paraId="1BF3725D">
                  <w:pPr>
                    <w:spacing w:line="276" w:lineRule="auto"/>
                    <w:jc w:val="center"/>
                    <w:rPr>
                      <w:color w:val="auto"/>
                      <w:kern w:val="0"/>
                      <w:szCs w:val="21"/>
                    </w:rPr>
                  </w:pPr>
                </w:p>
              </w:tc>
              <w:tc>
                <w:tcPr>
                  <w:tcW w:w="2072" w:type="dxa"/>
                  <w:vAlign w:val="center"/>
                </w:tcPr>
                <w:p w14:paraId="16BB9ADF">
                  <w:pPr>
                    <w:spacing w:line="276" w:lineRule="auto"/>
                    <w:jc w:val="center"/>
                    <w:rPr>
                      <w:color w:val="auto"/>
                      <w:kern w:val="0"/>
                      <w:szCs w:val="21"/>
                    </w:rPr>
                  </w:pPr>
                  <w:r>
                    <w:rPr>
                      <w:color w:val="auto"/>
                      <w:kern w:val="0"/>
                      <w:szCs w:val="21"/>
                    </w:rPr>
                    <w:t>第二次</w:t>
                  </w:r>
                </w:p>
              </w:tc>
              <w:tc>
                <w:tcPr>
                  <w:tcW w:w="2014" w:type="dxa"/>
                  <w:vAlign w:val="center"/>
                </w:tcPr>
                <w:p w14:paraId="06D5126F">
                  <w:pPr>
                    <w:spacing w:line="276" w:lineRule="auto"/>
                    <w:jc w:val="center"/>
                    <w:rPr>
                      <w:color w:val="auto"/>
                      <w:kern w:val="0"/>
                      <w:szCs w:val="21"/>
                    </w:rPr>
                  </w:pPr>
                  <w:r>
                    <w:rPr>
                      <w:rFonts w:hint="eastAsia"/>
                      <w:color w:val="auto"/>
                      <w:kern w:val="0"/>
                      <w:szCs w:val="21"/>
                    </w:rPr>
                    <w:t>208</w:t>
                  </w:r>
                </w:p>
              </w:tc>
            </w:tr>
            <w:tr w14:paraId="6A8377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2019" w:type="dxa"/>
                  <w:vMerge w:val="continue"/>
                  <w:vAlign w:val="center"/>
                </w:tcPr>
                <w:p w14:paraId="0D23369F">
                  <w:pPr>
                    <w:spacing w:line="276" w:lineRule="auto"/>
                    <w:jc w:val="center"/>
                    <w:rPr>
                      <w:color w:val="auto"/>
                      <w:kern w:val="0"/>
                      <w:szCs w:val="21"/>
                    </w:rPr>
                  </w:pPr>
                </w:p>
              </w:tc>
              <w:tc>
                <w:tcPr>
                  <w:tcW w:w="2122" w:type="dxa"/>
                  <w:vMerge w:val="continue"/>
                  <w:vAlign w:val="center"/>
                </w:tcPr>
                <w:p w14:paraId="08909218">
                  <w:pPr>
                    <w:spacing w:line="276" w:lineRule="auto"/>
                    <w:jc w:val="center"/>
                    <w:rPr>
                      <w:color w:val="auto"/>
                      <w:kern w:val="0"/>
                      <w:szCs w:val="21"/>
                    </w:rPr>
                  </w:pPr>
                </w:p>
              </w:tc>
              <w:tc>
                <w:tcPr>
                  <w:tcW w:w="2072" w:type="dxa"/>
                  <w:vAlign w:val="center"/>
                </w:tcPr>
                <w:p w14:paraId="7EAE9040">
                  <w:pPr>
                    <w:spacing w:line="276" w:lineRule="auto"/>
                    <w:jc w:val="center"/>
                    <w:rPr>
                      <w:color w:val="auto"/>
                      <w:kern w:val="0"/>
                      <w:szCs w:val="21"/>
                    </w:rPr>
                  </w:pPr>
                  <w:r>
                    <w:rPr>
                      <w:color w:val="auto"/>
                      <w:kern w:val="0"/>
                      <w:szCs w:val="21"/>
                    </w:rPr>
                    <w:t>第三次</w:t>
                  </w:r>
                </w:p>
              </w:tc>
              <w:tc>
                <w:tcPr>
                  <w:tcW w:w="2014" w:type="dxa"/>
                  <w:vAlign w:val="center"/>
                </w:tcPr>
                <w:p w14:paraId="61FA1611">
                  <w:pPr>
                    <w:spacing w:line="276" w:lineRule="auto"/>
                    <w:jc w:val="center"/>
                    <w:rPr>
                      <w:color w:val="auto"/>
                      <w:kern w:val="0"/>
                      <w:szCs w:val="21"/>
                    </w:rPr>
                  </w:pPr>
                  <w:r>
                    <w:rPr>
                      <w:rFonts w:hint="eastAsia"/>
                      <w:color w:val="auto"/>
                      <w:kern w:val="0"/>
                      <w:szCs w:val="21"/>
                    </w:rPr>
                    <w:t>217</w:t>
                  </w:r>
                </w:p>
              </w:tc>
            </w:tr>
          </w:tbl>
          <w:p w14:paraId="6CAE4255">
            <w:pPr>
              <w:pStyle w:val="219"/>
              <w:ind w:firstLine="480" w:firstLineChars="200"/>
              <w:rPr>
                <w:color w:val="auto"/>
                <w:kern w:val="0"/>
              </w:rPr>
            </w:pPr>
            <w:r>
              <w:rPr>
                <w:rFonts w:hint="eastAsia"/>
                <w:color w:val="auto"/>
              </w:rPr>
              <w:t>厂界上、下风向颗粒物最大浓度差值为0.105</w:t>
            </w:r>
            <w:r>
              <w:rPr>
                <w:color w:val="auto"/>
              </w:rPr>
              <w:t>mg/m</w:t>
            </w:r>
            <w:r>
              <w:rPr>
                <w:color w:val="auto"/>
                <w:vertAlign w:val="superscript"/>
              </w:rPr>
              <w:t>3</w:t>
            </w:r>
            <w:r>
              <w:rPr>
                <w:color w:val="auto"/>
              </w:rPr>
              <w:t>＜</w:t>
            </w:r>
            <w:r>
              <w:rPr>
                <w:rFonts w:hint="eastAsia"/>
                <w:color w:val="auto"/>
              </w:rPr>
              <w:t>1.0</w:t>
            </w:r>
            <w:r>
              <w:rPr>
                <w:color w:val="auto"/>
              </w:rPr>
              <w:t>mg/m</w:t>
            </w:r>
            <w:r>
              <w:rPr>
                <w:color w:val="auto"/>
                <w:vertAlign w:val="superscript"/>
              </w:rPr>
              <w:t>3</w:t>
            </w:r>
            <w:r>
              <w:rPr>
                <w:color w:val="auto"/>
              </w:rPr>
              <w:t>，</w:t>
            </w:r>
            <w:r>
              <w:rPr>
                <w:rFonts w:hint="eastAsia"/>
                <w:color w:val="auto"/>
              </w:rPr>
              <w:t>满足</w:t>
            </w:r>
            <w:r>
              <w:rPr>
                <w:color w:val="auto"/>
              </w:rPr>
              <w:t>《大气污染物综合排放标准》（</w:t>
            </w:r>
            <w:r>
              <w:rPr>
                <w:rFonts w:hint="eastAsia"/>
                <w:color w:val="auto"/>
              </w:rPr>
              <w:t>GB16297-1996</w:t>
            </w:r>
            <w:r>
              <w:rPr>
                <w:color w:val="auto"/>
              </w:rPr>
              <w:t>）表</w:t>
            </w:r>
            <w:r>
              <w:rPr>
                <w:rFonts w:hint="eastAsia"/>
                <w:color w:val="auto"/>
              </w:rPr>
              <w:t>2相关标准限值要求（颗粒物：1.0</w:t>
            </w:r>
            <w:r>
              <w:rPr>
                <w:color w:val="auto"/>
              </w:rPr>
              <w:t>mg/m</w:t>
            </w:r>
            <w:r>
              <w:rPr>
                <w:color w:val="auto"/>
                <w:vertAlign w:val="superscript"/>
              </w:rPr>
              <w:t>3</w:t>
            </w:r>
            <w:r>
              <w:rPr>
                <w:rFonts w:hint="eastAsia"/>
                <w:color w:val="auto"/>
              </w:rPr>
              <w:t>），</w:t>
            </w:r>
            <w:r>
              <w:rPr>
                <w:rFonts w:hint="eastAsia" w:ascii="宋体" w:hAnsi="宋体"/>
                <w:color w:val="auto"/>
                <w:szCs w:val="24"/>
              </w:rPr>
              <w:t>也可满足《安徽省玻璃工业大气污染物排放标准》（</w:t>
            </w:r>
            <w:r>
              <w:rPr>
                <w:rFonts w:hint="eastAsia"/>
                <w:color w:val="auto"/>
                <w:szCs w:val="24"/>
              </w:rPr>
              <w:t>DB34/4295-2022</w:t>
            </w:r>
            <w:r>
              <w:rPr>
                <w:rFonts w:hint="eastAsia" w:ascii="宋体" w:hAnsi="宋体"/>
                <w:color w:val="auto"/>
                <w:szCs w:val="24"/>
              </w:rPr>
              <w:t>）表</w:t>
            </w:r>
            <w:r>
              <w:rPr>
                <w:rFonts w:hint="eastAsia"/>
                <w:color w:val="auto"/>
                <w:szCs w:val="24"/>
              </w:rPr>
              <w:t>3</w:t>
            </w:r>
            <w:r>
              <w:rPr>
                <w:rFonts w:hint="eastAsia" w:ascii="宋体" w:hAnsi="宋体"/>
                <w:color w:val="auto"/>
                <w:szCs w:val="24"/>
              </w:rPr>
              <w:t>相关限值要求（颗粒物：</w:t>
            </w:r>
            <w:r>
              <w:rPr>
                <w:rFonts w:hint="eastAsia"/>
                <w:color w:val="auto"/>
                <w:szCs w:val="24"/>
              </w:rPr>
              <w:t>1.0</w:t>
            </w:r>
            <w:r>
              <w:rPr>
                <w:color w:val="auto"/>
                <w:szCs w:val="24"/>
              </w:rPr>
              <w:t>mg/m</w:t>
            </w:r>
            <w:r>
              <w:rPr>
                <w:color w:val="auto"/>
                <w:szCs w:val="24"/>
                <w:vertAlign w:val="superscript"/>
              </w:rPr>
              <w:t>3</w:t>
            </w:r>
            <w:r>
              <w:rPr>
                <w:rFonts w:hint="eastAsia" w:ascii="宋体" w:hAnsi="宋体"/>
                <w:color w:val="auto"/>
                <w:szCs w:val="24"/>
              </w:rPr>
              <w:t>）</w:t>
            </w:r>
            <w:r>
              <w:rPr>
                <w:rFonts w:hint="eastAsia"/>
                <w:color w:val="auto"/>
              </w:rPr>
              <w:t>；厂界上、下风向非甲烷总烃最大浓度差值为0.60</w:t>
            </w:r>
            <w:r>
              <w:rPr>
                <w:color w:val="auto"/>
              </w:rPr>
              <w:t>mg/m</w:t>
            </w:r>
            <w:r>
              <w:rPr>
                <w:color w:val="auto"/>
                <w:vertAlign w:val="superscript"/>
              </w:rPr>
              <w:t>3</w:t>
            </w:r>
            <w:r>
              <w:rPr>
                <w:color w:val="auto"/>
              </w:rPr>
              <w:t>＜</w:t>
            </w:r>
            <w:r>
              <w:rPr>
                <w:rFonts w:hint="eastAsia"/>
                <w:color w:val="auto"/>
              </w:rPr>
              <w:t>4.0</w:t>
            </w:r>
            <w:r>
              <w:rPr>
                <w:color w:val="auto"/>
              </w:rPr>
              <w:t>mg/m</w:t>
            </w:r>
            <w:r>
              <w:rPr>
                <w:color w:val="auto"/>
                <w:vertAlign w:val="superscript"/>
              </w:rPr>
              <w:t>3</w:t>
            </w:r>
            <w:r>
              <w:rPr>
                <w:color w:val="auto"/>
              </w:rPr>
              <w:t>，</w:t>
            </w:r>
            <w:r>
              <w:rPr>
                <w:rFonts w:hint="eastAsia"/>
                <w:color w:val="auto"/>
              </w:rPr>
              <w:t>满足</w:t>
            </w:r>
            <w:r>
              <w:rPr>
                <w:color w:val="auto"/>
              </w:rPr>
              <w:t>《大气污染物综合排放标准》（</w:t>
            </w:r>
            <w:r>
              <w:rPr>
                <w:rFonts w:hint="eastAsia"/>
                <w:color w:val="auto"/>
              </w:rPr>
              <w:t>GB16297-1996</w:t>
            </w:r>
            <w:r>
              <w:rPr>
                <w:color w:val="auto"/>
              </w:rPr>
              <w:t>）表</w:t>
            </w:r>
            <w:r>
              <w:rPr>
                <w:rFonts w:hint="eastAsia"/>
                <w:color w:val="auto"/>
              </w:rPr>
              <w:t>2相关标准限值要求（非甲烷总烃：4.0</w:t>
            </w:r>
            <w:r>
              <w:rPr>
                <w:color w:val="auto"/>
              </w:rPr>
              <w:t>mg/m</w:t>
            </w:r>
            <w:r>
              <w:rPr>
                <w:color w:val="auto"/>
                <w:vertAlign w:val="superscript"/>
              </w:rPr>
              <w:t>3</w:t>
            </w:r>
            <w:r>
              <w:rPr>
                <w:rFonts w:hint="eastAsia"/>
                <w:color w:val="auto"/>
              </w:rPr>
              <w:t>）；厂区内非甲烷总烃浓度最大值为0.91</w:t>
            </w:r>
            <w:r>
              <w:rPr>
                <w:color w:val="auto"/>
              </w:rPr>
              <w:t>mg/m</w:t>
            </w:r>
            <w:r>
              <w:rPr>
                <w:color w:val="auto"/>
                <w:vertAlign w:val="superscript"/>
              </w:rPr>
              <w:t>3</w:t>
            </w:r>
            <w:r>
              <w:rPr>
                <w:color w:val="auto"/>
              </w:rPr>
              <w:t>＜</w:t>
            </w:r>
            <w:r>
              <w:rPr>
                <w:rFonts w:hint="eastAsia"/>
                <w:color w:val="auto"/>
              </w:rPr>
              <w:t>6.0</w:t>
            </w:r>
            <w:r>
              <w:rPr>
                <w:color w:val="auto"/>
              </w:rPr>
              <w:t>mg/m</w:t>
            </w:r>
            <w:r>
              <w:rPr>
                <w:color w:val="auto"/>
                <w:vertAlign w:val="superscript"/>
              </w:rPr>
              <w:t>3</w:t>
            </w:r>
            <w:r>
              <w:rPr>
                <w:color w:val="auto"/>
              </w:rPr>
              <w:t>，</w:t>
            </w:r>
            <w:r>
              <w:rPr>
                <w:rFonts w:hint="eastAsia"/>
                <w:color w:val="auto"/>
              </w:rPr>
              <w:t>满足《挥发性有机物无组织排放控制标准》（GB37822-2019）附录A.1中排放限值要求（非甲烷总烃：6.0</w:t>
            </w:r>
            <w:r>
              <w:rPr>
                <w:color w:val="auto"/>
              </w:rPr>
              <w:t>mg/m</w:t>
            </w:r>
            <w:r>
              <w:rPr>
                <w:color w:val="auto"/>
                <w:vertAlign w:val="superscript"/>
              </w:rPr>
              <w:t>3</w:t>
            </w:r>
            <w:r>
              <w:rPr>
                <w:rFonts w:hint="eastAsia"/>
                <w:color w:val="auto"/>
              </w:rPr>
              <w:t>）；厂区内颗粒物浓度最大值为0.292</w:t>
            </w:r>
            <w:r>
              <w:rPr>
                <w:color w:val="auto"/>
              </w:rPr>
              <w:t>mg/m</w:t>
            </w:r>
            <w:r>
              <w:rPr>
                <w:color w:val="auto"/>
                <w:vertAlign w:val="superscript"/>
              </w:rPr>
              <w:t>3</w:t>
            </w:r>
            <w:r>
              <w:rPr>
                <w:color w:val="auto"/>
              </w:rPr>
              <w:t>＜</w:t>
            </w:r>
            <w:r>
              <w:rPr>
                <w:rFonts w:hint="eastAsia"/>
                <w:color w:val="auto"/>
              </w:rPr>
              <w:t>1.0</w:t>
            </w:r>
            <w:r>
              <w:rPr>
                <w:color w:val="auto"/>
              </w:rPr>
              <w:t>mg/m</w:t>
            </w:r>
            <w:r>
              <w:rPr>
                <w:color w:val="auto"/>
                <w:vertAlign w:val="superscript"/>
              </w:rPr>
              <w:t>3</w:t>
            </w:r>
            <w:r>
              <w:rPr>
                <w:color w:val="auto"/>
              </w:rPr>
              <w:t>，</w:t>
            </w:r>
            <w:r>
              <w:rPr>
                <w:rFonts w:hint="eastAsia"/>
                <w:color w:val="auto"/>
              </w:rPr>
              <w:t>满足</w:t>
            </w:r>
            <w:r>
              <w:rPr>
                <w:color w:val="auto"/>
              </w:rPr>
              <w:t>《大气污染物综合排放标准》（</w:t>
            </w:r>
            <w:r>
              <w:rPr>
                <w:rFonts w:hint="eastAsia"/>
                <w:color w:val="auto"/>
              </w:rPr>
              <w:t>GB16297-1996</w:t>
            </w:r>
            <w:r>
              <w:rPr>
                <w:color w:val="auto"/>
              </w:rPr>
              <w:t>）表</w:t>
            </w:r>
            <w:r>
              <w:rPr>
                <w:rFonts w:hint="eastAsia"/>
                <w:color w:val="auto"/>
              </w:rPr>
              <w:t>2相关标准限值要求（颗粒物：1.0</w:t>
            </w:r>
            <w:r>
              <w:rPr>
                <w:color w:val="auto"/>
              </w:rPr>
              <w:t>mg/m</w:t>
            </w:r>
            <w:r>
              <w:rPr>
                <w:color w:val="auto"/>
                <w:vertAlign w:val="superscript"/>
              </w:rPr>
              <w:t>3</w:t>
            </w:r>
            <w:r>
              <w:rPr>
                <w:rFonts w:hint="eastAsia"/>
                <w:color w:val="auto"/>
              </w:rPr>
              <w:t>）。</w:t>
            </w:r>
          </w:p>
          <w:p w14:paraId="085E8108">
            <w:pPr>
              <w:pStyle w:val="16"/>
              <w:spacing w:after="0" w:line="360" w:lineRule="auto"/>
              <w:ind w:left="0" w:leftChars="0" w:firstLine="480" w:firstLineChars="200"/>
              <w:rPr>
                <w:color w:val="auto"/>
                <w:kern w:val="0"/>
                <w:sz w:val="24"/>
              </w:rPr>
            </w:pPr>
            <w:r>
              <w:rPr>
                <w:rFonts w:hint="eastAsia"/>
                <w:color w:val="auto"/>
                <w:kern w:val="0"/>
                <w:sz w:val="24"/>
              </w:rPr>
              <w:t>（3）噪声</w:t>
            </w:r>
          </w:p>
          <w:p w14:paraId="356ED0C8">
            <w:pPr>
              <w:pStyle w:val="16"/>
              <w:spacing w:after="0" w:line="360" w:lineRule="auto"/>
              <w:ind w:left="0" w:leftChars="0" w:firstLine="480" w:firstLineChars="200"/>
              <w:rPr>
                <w:color w:val="auto"/>
                <w:kern w:val="0"/>
                <w:sz w:val="24"/>
              </w:rPr>
            </w:pPr>
            <w:r>
              <w:rPr>
                <w:rFonts w:hint="eastAsia"/>
                <w:color w:val="auto"/>
                <w:kern w:val="0"/>
                <w:sz w:val="24"/>
              </w:rPr>
              <w:t>根据安徽澳林检测技术有限公司于2024年3月8日对厂界噪声监测（报告编号：安澳检[2024]（03048）号），噪声监测结果详见下表。</w:t>
            </w:r>
          </w:p>
          <w:p w14:paraId="36B39E4A">
            <w:pPr>
              <w:pStyle w:val="16"/>
              <w:spacing w:after="0" w:line="360" w:lineRule="auto"/>
              <w:ind w:left="0" w:leftChars="0" w:firstLine="480" w:firstLineChars="200"/>
              <w:jc w:val="center"/>
              <w:rPr>
                <w:color w:val="auto"/>
                <w:kern w:val="0"/>
                <w:sz w:val="24"/>
              </w:rPr>
            </w:pPr>
            <w:r>
              <w:rPr>
                <w:rFonts w:hint="eastAsia" w:hAnsi="黑体" w:eastAsia="黑体"/>
                <w:color w:val="auto"/>
                <w:sz w:val="24"/>
              </w:rPr>
              <w:t xml:space="preserve">表28 </w:t>
            </w:r>
            <w:r>
              <w:rPr>
                <w:rFonts w:hAnsi="黑体" w:eastAsia="黑体"/>
                <w:color w:val="auto"/>
                <w:sz w:val="24"/>
              </w:rPr>
              <w:t xml:space="preserve"> 现有项目</w:t>
            </w:r>
            <w:r>
              <w:rPr>
                <w:rFonts w:hint="eastAsia" w:hAnsi="黑体" w:eastAsia="黑体"/>
                <w:color w:val="auto"/>
                <w:sz w:val="24"/>
              </w:rPr>
              <w:t>污染物</w:t>
            </w:r>
            <w:r>
              <w:rPr>
                <w:rFonts w:hAnsi="黑体" w:eastAsia="黑体"/>
                <w:color w:val="auto"/>
                <w:sz w:val="24"/>
              </w:rPr>
              <w:t>排放情况</w:t>
            </w:r>
            <w:r>
              <w:rPr>
                <w:rFonts w:hint="eastAsia" w:hAnsi="黑体" w:eastAsia="黑体"/>
                <w:color w:val="auto"/>
                <w:sz w:val="24"/>
              </w:rPr>
              <w:t>一览表</w:t>
            </w:r>
          </w:p>
          <w:tbl>
            <w:tblPr>
              <w:tblStyle w:val="35"/>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684"/>
              <w:gridCol w:w="2684"/>
              <w:gridCol w:w="2684"/>
            </w:tblGrid>
            <w:tr w14:paraId="3B3711D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684" w:type="dxa"/>
                  <w:vMerge w:val="restart"/>
                  <w:vAlign w:val="center"/>
                </w:tcPr>
                <w:p w14:paraId="0CFB5CD5">
                  <w:pPr>
                    <w:pStyle w:val="16"/>
                    <w:spacing w:after="0" w:line="276" w:lineRule="auto"/>
                    <w:ind w:left="0" w:leftChars="0"/>
                    <w:jc w:val="center"/>
                    <w:rPr>
                      <w:b/>
                      <w:color w:val="auto"/>
                      <w:kern w:val="0"/>
                      <w:szCs w:val="21"/>
                    </w:rPr>
                  </w:pPr>
                  <w:r>
                    <w:rPr>
                      <w:b/>
                      <w:color w:val="auto"/>
                      <w:kern w:val="0"/>
                      <w:szCs w:val="21"/>
                    </w:rPr>
                    <w:t>监测点位</w:t>
                  </w:r>
                </w:p>
              </w:tc>
              <w:tc>
                <w:tcPr>
                  <w:tcW w:w="5368" w:type="dxa"/>
                  <w:gridSpan w:val="2"/>
                  <w:vAlign w:val="center"/>
                </w:tcPr>
                <w:p w14:paraId="38799103">
                  <w:pPr>
                    <w:pStyle w:val="16"/>
                    <w:spacing w:after="0" w:line="276" w:lineRule="auto"/>
                    <w:ind w:left="0" w:leftChars="0"/>
                    <w:jc w:val="center"/>
                    <w:rPr>
                      <w:b/>
                      <w:color w:val="auto"/>
                      <w:kern w:val="0"/>
                      <w:szCs w:val="21"/>
                    </w:rPr>
                  </w:pPr>
                  <w:r>
                    <w:rPr>
                      <w:b/>
                      <w:color w:val="auto"/>
                      <w:kern w:val="0"/>
                      <w:szCs w:val="21"/>
                    </w:rPr>
                    <w:t>监测</w:t>
                  </w:r>
                  <w:r>
                    <w:rPr>
                      <w:rFonts w:hint="eastAsia"/>
                      <w:b/>
                      <w:color w:val="auto"/>
                      <w:kern w:val="0"/>
                      <w:szCs w:val="21"/>
                    </w:rPr>
                    <w:t>时间2024.03.08</w:t>
                  </w:r>
                </w:p>
              </w:tc>
            </w:tr>
            <w:tr w14:paraId="711624C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684" w:type="dxa"/>
                  <w:vMerge w:val="continue"/>
                  <w:vAlign w:val="center"/>
                </w:tcPr>
                <w:p w14:paraId="57DE694B">
                  <w:pPr>
                    <w:pStyle w:val="16"/>
                    <w:spacing w:after="0" w:line="276" w:lineRule="auto"/>
                    <w:ind w:left="0" w:leftChars="0"/>
                    <w:jc w:val="center"/>
                    <w:rPr>
                      <w:b/>
                      <w:color w:val="auto"/>
                      <w:kern w:val="0"/>
                      <w:szCs w:val="21"/>
                    </w:rPr>
                  </w:pPr>
                </w:p>
              </w:tc>
              <w:tc>
                <w:tcPr>
                  <w:tcW w:w="2684" w:type="dxa"/>
                  <w:vAlign w:val="center"/>
                </w:tcPr>
                <w:p w14:paraId="58D6443F">
                  <w:pPr>
                    <w:pStyle w:val="16"/>
                    <w:spacing w:after="0" w:line="276" w:lineRule="auto"/>
                    <w:ind w:left="0" w:leftChars="0"/>
                    <w:jc w:val="center"/>
                    <w:rPr>
                      <w:b/>
                      <w:color w:val="auto"/>
                      <w:kern w:val="0"/>
                      <w:szCs w:val="21"/>
                    </w:rPr>
                  </w:pPr>
                  <w:r>
                    <w:rPr>
                      <w:b/>
                      <w:color w:val="auto"/>
                      <w:kern w:val="0"/>
                      <w:szCs w:val="21"/>
                    </w:rPr>
                    <w:t>昼间（</w:t>
                  </w:r>
                  <w:r>
                    <w:rPr>
                      <w:rFonts w:hint="eastAsia"/>
                      <w:b/>
                      <w:color w:val="auto"/>
                      <w:kern w:val="0"/>
                      <w:szCs w:val="21"/>
                    </w:rPr>
                    <w:t>14：30~15：00</w:t>
                  </w:r>
                  <w:r>
                    <w:rPr>
                      <w:b/>
                      <w:color w:val="auto"/>
                      <w:kern w:val="0"/>
                      <w:szCs w:val="21"/>
                    </w:rPr>
                    <w:t>）</w:t>
                  </w:r>
                </w:p>
              </w:tc>
              <w:tc>
                <w:tcPr>
                  <w:tcW w:w="2684" w:type="dxa"/>
                  <w:vAlign w:val="center"/>
                </w:tcPr>
                <w:p w14:paraId="70A62B99">
                  <w:pPr>
                    <w:pStyle w:val="16"/>
                    <w:spacing w:after="0" w:line="276" w:lineRule="auto"/>
                    <w:ind w:left="0" w:leftChars="0"/>
                    <w:jc w:val="center"/>
                    <w:rPr>
                      <w:b/>
                      <w:color w:val="auto"/>
                      <w:kern w:val="0"/>
                      <w:szCs w:val="21"/>
                    </w:rPr>
                  </w:pPr>
                  <w:r>
                    <w:rPr>
                      <w:b/>
                      <w:color w:val="auto"/>
                      <w:kern w:val="0"/>
                      <w:szCs w:val="21"/>
                    </w:rPr>
                    <w:t>夜间（</w:t>
                  </w:r>
                  <w:r>
                    <w:rPr>
                      <w:rFonts w:hint="eastAsia"/>
                      <w:b/>
                      <w:color w:val="auto"/>
                      <w:kern w:val="0"/>
                      <w:szCs w:val="21"/>
                    </w:rPr>
                    <w:t>22：00~23：00</w:t>
                  </w:r>
                  <w:r>
                    <w:rPr>
                      <w:b/>
                      <w:color w:val="auto"/>
                      <w:kern w:val="0"/>
                      <w:szCs w:val="21"/>
                    </w:rPr>
                    <w:t>）</w:t>
                  </w:r>
                </w:p>
              </w:tc>
            </w:tr>
            <w:tr w14:paraId="6744AA3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684" w:type="dxa"/>
                  <w:vAlign w:val="center"/>
                </w:tcPr>
                <w:p w14:paraId="0F7C6358">
                  <w:pPr>
                    <w:pStyle w:val="16"/>
                    <w:spacing w:after="0" w:line="276" w:lineRule="auto"/>
                    <w:ind w:left="0" w:leftChars="0"/>
                    <w:jc w:val="center"/>
                    <w:rPr>
                      <w:color w:val="auto"/>
                      <w:kern w:val="0"/>
                      <w:szCs w:val="21"/>
                    </w:rPr>
                  </w:pPr>
                  <w:r>
                    <w:rPr>
                      <w:color w:val="auto"/>
                      <w:kern w:val="0"/>
                      <w:szCs w:val="21"/>
                    </w:rPr>
                    <w:t>东厂</w:t>
                  </w:r>
                  <w:r>
                    <w:rPr>
                      <w:rFonts w:hint="eastAsia"/>
                      <w:color w:val="auto"/>
                      <w:kern w:val="0"/>
                      <w:szCs w:val="21"/>
                    </w:rPr>
                    <w:t>界N1</w:t>
                  </w:r>
                </w:p>
              </w:tc>
              <w:tc>
                <w:tcPr>
                  <w:tcW w:w="2684" w:type="dxa"/>
                  <w:vAlign w:val="center"/>
                </w:tcPr>
                <w:p w14:paraId="353EEE06">
                  <w:pPr>
                    <w:pStyle w:val="16"/>
                    <w:spacing w:after="0" w:line="276" w:lineRule="auto"/>
                    <w:ind w:left="0" w:leftChars="0"/>
                    <w:jc w:val="center"/>
                    <w:rPr>
                      <w:color w:val="auto"/>
                      <w:kern w:val="0"/>
                      <w:szCs w:val="21"/>
                    </w:rPr>
                  </w:pPr>
                  <w:r>
                    <w:rPr>
                      <w:rFonts w:hint="eastAsia"/>
                      <w:color w:val="auto"/>
                      <w:kern w:val="0"/>
                      <w:szCs w:val="21"/>
                    </w:rPr>
                    <w:t>53</w:t>
                  </w:r>
                </w:p>
              </w:tc>
              <w:tc>
                <w:tcPr>
                  <w:tcW w:w="2684" w:type="dxa"/>
                  <w:vAlign w:val="center"/>
                </w:tcPr>
                <w:p w14:paraId="7E88F58F">
                  <w:pPr>
                    <w:pStyle w:val="16"/>
                    <w:spacing w:after="0" w:line="276" w:lineRule="auto"/>
                    <w:ind w:left="0" w:leftChars="0"/>
                    <w:jc w:val="center"/>
                    <w:rPr>
                      <w:color w:val="auto"/>
                      <w:kern w:val="0"/>
                      <w:szCs w:val="21"/>
                    </w:rPr>
                  </w:pPr>
                  <w:r>
                    <w:rPr>
                      <w:rFonts w:hint="eastAsia"/>
                      <w:color w:val="auto"/>
                      <w:kern w:val="0"/>
                      <w:szCs w:val="21"/>
                    </w:rPr>
                    <w:t>47</w:t>
                  </w:r>
                </w:p>
              </w:tc>
            </w:tr>
            <w:tr w14:paraId="2F4BAC9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684" w:type="dxa"/>
                  <w:vAlign w:val="center"/>
                </w:tcPr>
                <w:p w14:paraId="2039D0EF">
                  <w:pPr>
                    <w:pStyle w:val="16"/>
                    <w:spacing w:after="0" w:line="276" w:lineRule="auto"/>
                    <w:ind w:left="0" w:leftChars="0"/>
                    <w:jc w:val="center"/>
                    <w:rPr>
                      <w:color w:val="auto"/>
                      <w:kern w:val="0"/>
                      <w:szCs w:val="21"/>
                    </w:rPr>
                  </w:pPr>
                  <w:r>
                    <w:rPr>
                      <w:color w:val="auto"/>
                      <w:kern w:val="0"/>
                      <w:szCs w:val="21"/>
                    </w:rPr>
                    <w:t>南厂</w:t>
                  </w:r>
                  <w:r>
                    <w:rPr>
                      <w:rFonts w:hint="eastAsia"/>
                      <w:color w:val="auto"/>
                      <w:kern w:val="0"/>
                      <w:szCs w:val="21"/>
                    </w:rPr>
                    <w:t>界N2</w:t>
                  </w:r>
                </w:p>
              </w:tc>
              <w:tc>
                <w:tcPr>
                  <w:tcW w:w="2684" w:type="dxa"/>
                  <w:vAlign w:val="center"/>
                </w:tcPr>
                <w:p w14:paraId="178329C8">
                  <w:pPr>
                    <w:pStyle w:val="16"/>
                    <w:spacing w:after="0" w:line="276" w:lineRule="auto"/>
                    <w:ind w:left="0" w:leftChars="0"/>
                    <w:jc w:val="center"/>
                    <w:rPr>
                      <w:color w:val="auto"/>
                      <w:kern w:val="0"/>
                      <w:szCs w:val="21"/>
                    </w:rPr>
                  </w:pPr>
                  <w:r>
                    <w:rPr>
                      <w:rFonts w:hint="eastAsia"/>
                      <w:color w:val="auto"/>
                      <w:kern w:val="0"/>
                      <w:szCs w:val="21"/>
                    </w:rPr>
                    <w:t>58</w:t>
                  </w:r>
                </w:p>
              </w:tc>
              <w:tc>
                <w:tcPr>
                  <w:tcW w:w="2684" w:type="dxa"/>
                  <w:vAlign w:val="center"/>
                </w:tcPr>
                <w:p w14:paraId="06CADF05">
                  <w:pPr>
                    <w:pStyle w:val="16"/>
                    <w:spacing w:after="0" w:line="276" w:lineRule="auto"/>
                    <w:ind w:left="0" w:leftChars="0"/>
                    <w:jc w:val="center"/>
                    <w:rPr>
                      <w:color w:val="auto"/>
                      <w:kern w:val="0"/>
                      <w:szCs w:val="21"/>
                    </w:rPr>
                  </w:pPr>
                  <w:r>
                    <w:rPr>
                      <w:rFonts w:hint="eastAsia"/>
                      <w:color w:val="auto"/>
                      <w:kern w:val="0"/>
                      <w:szCs w:val="21"/>
                    </w:rPr>
                    <w:t>47</w:t>
                  </w:r>
                </w:p>
              </w:tc>
            </w:tr>
            <w:tr w14:paraId="5889248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684" w:type="dxa"/>
                  <w:vAlign w:val="center"/>
                </w:tcPr>
                <w:p w14:paraId="2A0D666C">
                  <w:pPr>
                    <w:pStyle w:val="16"/>
                    <w:spacing w:after="0" w:line="276" w:lineRule="auto"/>
                    <w:ind w:left="0" w:leftChars="0"/>
                    <w:jc w:val="center"/>
                    <w:rPr>
                      <w:color w:val="auto"/>
                      <w:kern w:val="0"/>
                      <w:szCs w:val="21"/>
                    </w:rPr>
                  </w:pPr>
                  <w:r>
                    <w:rPr>
                      <w:color w:val="auto"/>
                      <w:kern w:val="0"/>
                      <w:szCs w:val="21"/>
                    </w:rPr>
                    <w:t>西厂</w:t>
                  </w:r>
                  <w:r>
                    <w:rPr>
                      <w:rFonts w:hint="eastAsia"/>
                      <w:color w:val="auto"/>
                      <w:kern w:val="0"/>
                      <w:szCs w:val="21"/>
                    </w:rPr>
                    <w:t>界N3</w:t>
                  </w:r>
                </w:p>
              </w:tc>
              <w:tc>
                <w:tcPr>
                  <w:tcW w:w="2684" w:type="dxa"/>
                  <w:vAlign w:val="center"/>
                </w:tcPr>
                <w:p w14:paraId="252F8143">
                  <w:pPr>
                    <w:pStyle w:val="16"/>
                    <w:spacing w:after="0" w:line="276" w:lineRule="auto"/>
                    <w:ind w:left="0" w:leftChars="0"/>
                    <w:jc w:val="center"/>
                    <w:rPr>
                      <w:color w:val="auto"/>
                      <w:kern w:val="0"/>
                      <w:szCs w:val="21"/>
                    </w:rPr>
                  </w:pPr>
                  <w:r>
                    <w:rPr>
                      <w:rFonts w:hint="eastAsia"/>
                      <w:color w:val="auto"/>
                      <w:kern w:val="0"/>
                      <w:szCs w:val="21"/>
                    </w:rPr>
                    <w:t>55</w:t>
                  </w:r>
                </w:p>
              </w:tc>
              <w:tc>
                <w:tcPr>
                  <w:tcW w:w="2684" w:type="dxa"/>
                  <w:vAlign w:val="center"/>
                </w:tcPr>
                <w:p w14:paraId="0E94EFDB">
                  <w:pPr>
                    <w:pStyle w:val="16"/>
                    <w:spacing w:after="0" w:line="276" w:lineRule="auto"/>
                    <w:ind w:left="0" w:leftChars="0"/>
                    <w:jc w:val="center"/>
                    <w:rPr>
                      <w:color w:val="auto"/>
                      <w:kern w:val="0"/>
                      <w:szCs w:val="21"/>
                    </w:rPr>
                  </w:pPr>
                  <w:r>
                    <w:rPr>
                      <w:rFonts w:hint="eastAsia"/>
                      <w:color w:val="auto"/>
                      <w:kern w:val="0"/>
                      <w:szCs w:val="21"/>
                    </w:rPr>
                    <w:t>43</w:t>
                  </w:r>
                </w:p>
              </w:tc>
            </w:tr>
            <w:tr w14:paraId="3252741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684" w:type="dxa"/>
                  <w:vAlign w:val="center"/>
                </w:tcPr>
                <w:p w14:paraId="5EF747B1">
                  <w:pPr>
                    <w:pStyle w:val="16"/>
                    <w:spacing w:after="0" w:line="276" w:lineRule="auto"/>
                    <w:ind w:left="0" w:leftChars="0"/>
                    <w:jc w:val="center"/>
                    <w:rPr>
                      <w:color w:val="auto"/>
                      <w:kern w:val="0"/>
                      <w:szCs w:val="21"/>
                    </w:rPr>
                  </w:pPr>
                  <w:r>
                    <w:rPr>
                      <w:color w:val="auto"/>
                      <w:kern w:val="0"/>
                      <w:szCs w:val="21"/>
                    </w:rPr>
                    <w:t>北厂</w:t>
                  </w:r>
                  <w:r>
                    <w:rPr>
                      <w:rFonts w:hint="eastAsia"/>
                      <w:color w:val="auto"/>
                      <w:kern w:val="0"/>
                      <w:szCs w:val="21"/>
                    </w:rPr>
                    <w:t>界N4</w:t>
                  </w:r>
                </w:p>
              </w:tc>
              <w:tc>
                <w:tcPr>
                  <w:tcW w:w="2684" w:type="dxa"/>
                  <w:vAlign w:val="center"/>
                </w:tcPr>
                <w:p w14:paraId="453E2550">
                  <w:pPr>
                    <w:pStyle w:val="16"/>
                    <w:spacing w:after="0" w:line="276" w:lineRule="auto"/>
                    <w:ind w:left="0" w:leftChars="0"/>
                    <w:jc w:val="center"/>
                    <w:rPr>
                      <w:color w:val="auto"/>
                      <w:kern w:val="0"/>
                      <w:szCs w:val="21"/>
                    </w:rPr>
                  </w:pPr>
                  <w:r>
                    <w:rPr>
                      <w:rFonts w:hint="eastAsia"/>
                      <w:color w:val="auto"/>
                      <w:kern w:val="0"/>
                      <w:szCs w:val="21"/>
                    </w:rPr>
                    <w:t>52</w:t>
                  </w:r>
                </w:p>
              </w:tc>
              <w:tc>
                <w:tcPr>
                  <w:tcW w:w="2684" w:type="dxa"/>
                  <w:vAlign w:val="center"/>
                </w:tcPr>
                <w:p w14:paraId="250A37E4">
                  <w:pPr>
                    <w:pStyle w:val="16"/>
                    <w:spacing w:after="0" w:line="276" w:lineRule="auto"/>
                    <w:ind w:left="0" w:leftChars="0"/>
                    <w:jc w:val="center"/>
                    <w:rPr>
                      <w:color w:val="auto"/>
                      <w:kern w:val="0"/>
                      <w:szCs w:val="21"/>
                    </w:rPr>
                  </w:pPr>
                  <w:r>
                    <w:rPr>
                      <w:rFonts w:hint="eastAsia"/>
                      <w:color w:val="auto"/>
                      <w:kern w:val="0"/>
                      <w:szCs w:val="21"/>
                    </w:rPr>
                    <w:t>45</w:t>
                  </w:r>
                </w:p>
              </w:tc>
            </w:tr>
          </w:tbl>
          <w:p w14:paraId="359E54B8">
            <w:pPr>
              <w:pStyle w:val="16"/>
              <w:spacing w:after="0" w:line="360" w:lineRule="auto"/>
              <w:ind w:left="0" w:leftChars="0" w:firstLine="480" w:firstLineChars="200"/>
              <w:rPr>
                <w:color w:val="auto"/>
                <w:kern w:val="0"/>
                <w:sz w:val="24"/>
              </w:rPr>
            </w:pPr>
            <w:r>
              <w:rPr>
                <w:color w:val="auto"/>
                <w:kern w:val="0"/>
                <w:sz w:val="24"/>
              </w:rPr>
              <w:t>由上表可知，</w:t>
            </w:r>
            <w:r>
              <w:rPr>
                <w:rFonts w:hint="eastAsia"/>
                <w:color w:val="auto"/>
                <w:kern w:val="0"/>
                <w:sz w:val="24"/>
              </w:rPr>
              <w:t>各厂界昼、夜间噪声均满足《工业企业厂界环境噪声排放标准》（GB12348-2008）3类标准限值（昼间：65dB（A）、夜间：55dB（A））。</w:t>
            </w:r>
          </w:p>
          <w:p w14:paraId="0BCBD186">
            <w:pPr>
              <w:pStyle w:val="16"/>
              <w:spacing w:after="0" w:line="360" w:lineRule="auto"/>
              <w:ind w:left="0" w:leftChars="0" w:firstLine="482" w:firstLineChars="200"/>
              <w:rPr>
                <w:b/>
                <w:color w:val="auto"/>
                <w:kern w:val="0"/>
                <w:sz w:val="24"/>
              </w:rPr>
            </w:pPr>
            <w:r>
              <w:rPr>
                <w:rFonts w:hint="eastAsia"/>
                <w:b/>
                <w:color w:val="auto"/>
                <w:kern w:val="0"/>
                <w:sz w:val="24"/>
              </w:rPr>
              <w:t>3、现有工程污染物实际排放总量</w:t>
            </w:r>
          </w:p>
          <w:p w14:paraId="3325B344">
            <w:pPr>
              <w:pStyle w:val="219"/>
              <w:ind w:firstLine="480" w:firstLineChars="200"/>
              <w:rPr>
                <w:color w:val="auto"/>
                <w:kern w:val="0"/>
              </w:rPr>
            </w:pPr>
            <w:r>
              <w:rPr>
                <w:rFonts w:hint="eastAsia"/>
                <w:color w:val="auto"/>
                <w:kern w:val="0"/>
              </w:rPr>
              <w:t>根据建设单位提供的《节能型日用玻璃自动生产线改建项目（一期工程）竣工环境保护验收报告》中1#玻璃窑炉有组织废气检测数据核算出颗粒物、二氧化硫、氮氧化物排放量分别为7.72t/a、2.64t/a、1.54t/a；《利用天然气替代发生炉煤气改造项目（原“节能型日用玻璃自动生产线改建项目”二车间）竣工环境保护验收报告》中2#玻璃窑炉有组织废气检测数据核算出二氧化硫、氮氧化物排放量分别为0.907t/a、5.31t/a，颗粒物未检测，无法核算排放量；《深澄清玻璃窑炉综合节能技术改造项目竣工环境保护验收报告》中3#玻璃窑炉有组织废气检测数据核算出颗粒物、二氧化硫、氮氧化物排放量分别为4.01t/a、0.60t/a、3.07t/a；《高硼硅玻璃制品生产线改造项目建设项目竣工环境保护验收监测报告》中4#全电窑炉有组织废气检测数据核算出颗粒物排放量分别为0.218t/a；《日用玻璃制品深加工生产线项目阶段性竣工环境保护验收监测报告》中有组织废气检测数据核算出颗粒物、二氧化硫、氮氧化物、VOCs排放量分别为0.024t/a、0.072t/a、1.09t/a、0.4137t/a。</w:t>
            </w:r>
          </w:p>
          <w:p w14:paraId="6FB796EB">
            <w:pPr>
              <w:pStyle w:val="16"/>
              <w:spacing w:after="0" w:line="360" w:lineRule="auto"/>
              <w:ind w:left="0" w:leftChars="0" w:firstLine="480" w:firstLineChars="200"/>
              <w:jc w:val="center"/>
              <w:rPr>
                <w:color w:val="auto"/>
                <w:kern w:val="0"/>
                <w:sz w:val="24"/>
              </w:rPr>
            </w:pPr>
            <w:r>
              <w:rPr>
                <w:rFonts w:hint="eastAsia" w:hAnsi="黑体" w:eastAsia="黑体"/>
                <w:color w:val="auto"/>
                <w:sz w:val="24"/>
              </w:rPr>
              <w:t xml:space="preserve">表29 </w:t>
            </w:r>
            <w:r>
              <w:rPr>
                <w:rFonts w:hAnsi="黑体" w:eastAsia="黑体"/>
                <w:color w:val="auto"/>
                <w:sz w:val="24"/>
              </w:rPr>
              <w:t xml:space="preserve"> 现有项目</w:t>
            </w:r>
            <w:r>
              <w:rPr>
                <w:rFonts w:hint="eastAsia" w:hAnsi="黑体" w:eastAsia="黑体"/>
                <w:color w:val="auto"/>
                <w:sz w:val="24"/>
              </w:rPr>
              <w:t>污染物</w:t>
            </w:r>
            <w:r>
              <w:rPr>
                <w:rFonts w:hAnsi="黑体" w:eastAsia="黑体"/>
                <w:color w:val="auto"/>
                <w:sz w:val="24"/>
              </w:rPr>
              <w:t>排放情况</w:t>
            </w:r>
            <w:r>
              <w:rPr>
                <w:rFonts w:hint="eastAsia" w:hAnsi="黑体" w:eastAsia="黑体"/>
                <w:color w:val="auto"/>
                <w:sz w:val="24"/>
              </w:rPr>
              <w:t>一览表</w:t>
            </w:r>
          </w:p>
          <w:tbl>
            <w:tblPr>
              <w:tblStyle w:val="35"/>
              <w:tblW w:w="7980"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045"/>
              <w:gridCol w:w="2122"/>
              <w:gridCol w:w="1785"/>
              <w:gridCol w:w="1383"/>
              <w:gridCol w:w="1645"/>
            </w:tblGrid>
            <w:tr w14:paraId="11F7C62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1045" w:type="dxa"/>
                  <w:vAlign w:val="center"/>
                </w:tcPr>
                <w:p w14:paraId="03593378">
                  <w:pPr>
                    <w:pStyle w:val="16"/>
                    <w:spacing w:after="0" w:line="276" w:lineRule="auto"/>
                    <w:ind w:left="0" w:leftChars="0"/>
                    <w:jc w:val="center"/>
                    <w:rPr>
                      <w:b/>
                      <w:color w:val="auto"/>
                      <w:kern w:val="0"/>
                      <w:szCs w:val="21"/>
                    </w:rPr>
                  </w:pPr>
                  <w:r>
                    <w:rPr>
                      <w:rFonts w:hint="eastAsia"/>
                      <w:b/>
                      <w:color w:val="auto"/>
                      <w:kern w:val="0"/>
                      <w:szCs w:val="21"/>
                    </w:rPr>
                    <w:t>类别</w:t>
                  </w:r>
                </w:p>
              </w:tc>
              <w:tc>
                <w:tcPr>
                  <w:tcW w:w="2122" w:type="dxa"/>
                  <w:vAlign w:val="center"/>
                </w:tcPr>
                <w:p w14:paraId="3C485173">
                  <w:pPr>
                    <w:pStyle w:val="16"/>
                    <w:spacing w:after="0" w:line="276" w:lineRule="auto"/>
                    <w:ind w:left="0" w:leftChars="0"/>
                    <w:jc w:val="center"/>
                    <w:rPr>
                      <w:b/>
                      <w:color w:val="auto"/>
                      <w:kern w:val="0"/>
                      <w:szCs w:val="21"/>
                    </w:rPr>
                  </w:pPr>
                  <w:r>
                    <w:rPr>
                      <w:rFonts w:hint="eastAsia"/>
                      <w:b/>
                      <w:color w:val="auto"/>
                      <w:kern w:val="0"/>
                      <w:szCs w:val="21"/>
                    </w:rPr>
                    <w:t>污染物名称</w:t>
                  </w:r>
                </w:p>
              </w:tc>
              <w:tc>
                <w:tcPr>
                  <w:tcW w:w="1785" w:type="dxa"/>
                  <w:vAlign w:val="center"/>
                </w:tcPr>
                <w:p w14:paraId="614DDE62">
                  <w:pPr>
                    <w:pStyle w:val="16"/>
                    <w:spacing w:after="0" w:line="276" w:lineRule="auto"/>
                    <w:ind w:left="0" w:leftChars="0"/>
                    <w:jc w:val="center"/>
                    <w:rPr>
                      <w:b/>
                      <w:color w:val="auto"/>
                      <w:kern w:val="0"/>
                      <w:szCs w:val="21"/>
                    </w:rPr>
                  </w:pPr>
                  <w:r>
                    <w:rPr>
                      <w:rFonts w:hint="eastAsia"/>
                      <w:b/>
                      <w:color w:val="auto"/>
                      <w:kern w:val="0"/>
                      <w:szCs w:val="21"/>
                    </w:rPr>
                    <w:t>排放量</w:t>
                  </w:r>
                </w:p>
                <w:p w14:paraId="60118E16">
                  <w:pPr>
                    <w:pStyle w:val="16"/>
                    <w:spacing w:after="0" w:line="276" w:lineRule="auto"/>
                    <w:ind w:left="0" w:leftChars="0"/>
                    <w:jc w:val="center"/>
                    <w:rPr>
                      <w:b/>
                      <w:color w:val="auto"/>
                      <w:kern w:val="0"/>
                      <w:szCs w:val="21"/>
                    </w:rPr>
                  </w:pPr>
                  <w:r>
                    <w:rPr>
                      <w:rFonts w:hint="eastAsia"/>
                      <w:b/>
                      <w:color w:val="auto"/>
                      <w:kern w:val="0"/>
                      <w:szCs w:val="21"/>
                    </w:rPr>
                    <w:t>（固废产生量）t/a</w:t>
                  </w:r>
                </w:p>
              </w:tc>
              <w:tc>
                <w:tcPr>
                  <w:tcW w:w="1383" w:type="dxa"/>
                  <w:vAlign w:val="center"/>
                </w:tcPr>
                <w:p w14:paraId="76C87E6B">
                  <w:pPr>
                    <w:pStyle w:val="16"/>
                    <w:spacing w:after="0" w:line="276" w:lineRule="auto"/>
                    <w:ind w:left="0" w:leftChars="0"/>
                    <w:jc w:val="center"/>
                    <w:rPr>
                      <w:b/>
                      <w:color w:val="auto"/>
                      <w:kern w:val="0"/>
                      <w:szCs w:val="21"/>
                    </w:rPr>
                  </w:pPr>
                  <w:r>
                    <w:rPr>
                      <w:rFonts w:hint="eastAsia"/>
                      <w:b/>
                      <w:color w:val="auto"/>
                      <w:kern w:val="0"/>
                      <w:szCs w:val="21"/>
                    </w:rPr>
                    <w:t>环评核算总量</w:t>
                  </w:r>
                </w:p>
                <w:p w14:paraId="2EA95456">
                  <w:pPr>
                    <w:pStyle w:val="16"/>
                    <w:spacing w:after="0" w:line="276" w:lineRule="auto"/>
                    <w:ind w:left="0" w:leftChars="0"/>
                    <w:jc w:val="center"/>
                    <w:rPr>
                      <w:b/>
                      <w:color w:val="auto"/>
                      <w:kern w:val="0"/>
                      <w:szCs w:val="21"/>
                    </w:rPr>
                  </w:pPr>
                  <w:r>
                    <w:rPr>
                      <w:rFonts w:hint="eastAsia"/>
                      <w:b/>
                      <w:color w:val="auto"/>
                      <w:kern w:val="0"/>
                      <w:szCs w:val="21"/>
                    </w:rPr>
                    <w:t>t/a</w:t>
                  </w:r>
                </w:p>
              </w:tc>
              <w:tc>
                <w:tcPr>
                  <w:tcW w:w="1645" w:type="dxa"/>
                  <w:vAlign w:val="center"/>
                </w:tcPr>
                <w:p w14:paraId="7FBB1836">
                  <w:pPr>
                    <w:pStyle w:val="16"/>
                    <w:spacing w:after="0" w:line="276" w:lineRule="auto"/>
                    <w:ind w:left="0" w:leftChars="0"/>
                    <w:jc w:val="center"/>
                    <w:rPr>
                      <w:b/>
                      <w:color w:val="auto"/>
                      <w:kern w:val="0"/>
                      <w:szCs w:val="21"/>
                    </w:rPr>
                  </w:pPr>
                  <w:r>
                    <w:rPr>
                      <w:rFonts w:hint="eastAsia"/>
                      <w:b/>
                      <w:color w:val="auto"/>
                      <w:kern w:val="0"/>
                      <w:szCs w:val="21"/>
                    </w:rPr>
                    <w:t>备注</w:t>
                  </w:r>
                </w:p>
              </w:tc>
            </w:tr>
            <w:tr w14:paraId="4E90BEC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045" w:type="dxa"/>
                  <w:vMerge w:val="restart"/>
                  <w:vAlign w:val="center"/>
                </w:tcPr>
                <w:p w14:paraId="6FE2F424">
                  <w:pPr>
                    <w:pStyle w:val="16"/>
                    <w:spacing w:after="0" w:line="276" w:lineRule="auto"/>
                    <w:ind w:left="0" w:leftChars="0"/>
                    <w:jc w:val="center"/>
                    <w:rPr>
                      <w:color w:val="auto"/>
                      <w:kern w:val="0"/>
                      <w:szCs w:val="21"/>
                    </w:rPr>
                  </w:pPr>
                  <w:r>
                    <w:rPr>
                      <w:rFonts w:hint="eastAsia"/>
                      <w:color w:val="auto"/>
                      <w:kern w:val="0"/>
                      <w:szCs w:val="21"/>
                    </w:rPr>
                    <w:t>废气</w:t>
                  </w:r>
                </w:p>
              </w:tc>
              <w:tc>
                <w:tcPr>
                  <w:tcW w:w="2122" w:type="dxa"/>
                  <w:vAlign w:val="center"/>
                </w:tcPr>
                <w:p w14:paraId="28C9DAC4">
                  <w:pPr>
                    <w:pStyle w:val="16"/>
                    <w:spacing w:after="0" w:line="276" w:lineRule="auto"/>
                    <w:ind w:left="0" w:leftChars="0"/>
                    <w:jc w:val="center"/>
                    <w:rPr>
                      <w:color w:val="auto"/>
                      <w:kern w:val="0"/>
                      <w:szCs w:val="21"/>
                    </w:rPr>
                  </w:pPr>
                  <w:r>
                    <w:rPr>
                      <w:rFonts w:hint="eastAsia"/>
                      <w:color w:val="auto"/>
                      <w:kern w:val="0"/>
                      <w:szCs w:val="21"/>
                    </w:rPr>
                    <w:t>颗粒物</w:t>
                  </w:r>
                </w:p>
              </w:tc>
              <w:tc>
                <w:tcPr>
                  <w:tcW w:w="1785" w:type="dxa"/>
                  <w:vAlign w:val="center"/>
                </w:tcPr>
                <w:p w14:paraId="5F0F332E">
                  <w:pPr>
                    <w:pStyle w:val="16"/>
                    <w:spacing w:after="0" w:line="276" w:lineRule="auto"/>
                    <w:ind w:left="0" w:leftChars="0"/>
                    <w:jc w:val="center"/>
                    <w:rPr>
                      <w:color w:val="auto"/>
                      <w:kern w:val="0"/>
                      <w:szCs w:val="21"/>
                    </w:rPr>
                  </w:pPr>
                  <w:r>
                    <w:rPr>
                      <w:rFonts w:hint="eastAsia"/>
                      <w:color w:val="auto"/>
                      <w:kern w:val="0"/>
                      <w:szCs w:val="21"/>
                    </w:rPr>
                    <w:t>11.972</w:t>
                  </w:r>
                </w:p>
              </w:tc>
              <w:tc>
                <w:tcPr>
                  <w:tcW w:w="1383" w:type="dxa"/>
                  <w:vAlign w:val="center"/>
                </w:tcPr>
                <w:p w14:paraId="04EE9B20">
                  <w:pPr>
                    <w:pStyle w:val="16"/>
                    <w:spacing w:after="0" w:line="276" w:lineRule="auto"/>
                    <w:ind w:left="0" w:leftChars="0"/>
                    <w:jc w:val="center"/>
                    <w:rPr>
                      <w:color w:val="auto"/>
                      <w:kern w:val="0"/>
                      <w:szCs w:val="21"/>
                    </w:rPr>
                  </w:pPr>
                  <w:r>
                    <w:rPr>
                      <w:rFonts w:hint="eastAsia"/>
                      <w:color w:val="auto"/>
                      <w:kern w:val="0"/>
                      <w:szCs w:val="21"/>
                    </w:rPr>
                    <w:t>179.5452</w:t>
                  </w:r>
                </w:p>
              </w:tc>
              <w:tc>
                <w:tcPr>
                  <w:tcW w:w="1645" w:type="dxa"/>
                  <w:vAlign w:val="center"/>
                </w:tcPr>
                <w:p w14:paraId="1661D642">
                  <w:pPr>
                    <w:pStyle w:val="16"/>
                    <w:spacing w:after="0" w:line="276" w:lineRule="auto"/>
                    <w:ind w:left="0" w:leftChars="0"/>
                    <w:jc w:val="center"/>
                    <w:rPr>
                      <w:color w:val="auto"/>
                      <w:kern w:val="0"/>
                      <w:szCs w:val="21"/>
                    </w:rPr>
                  </w:pPr>
                  <w:r>
                    <w:rPr>
                      <w:rFonts w:hint="eastAsia"/>
                      <w:color w:val="auto"/>
                      <w:kern w:val="0"/>
                      <w:szCs w:val="21"/>
                    </w:rPr>
                    <w:t>符合总量要求</w:t>
                  </w:r>
                </w:p>
              </w:tc>
            </w:tr>
            <w:tr w14:paraId="3AC25B3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1045" w:type="dxa"/>
                  <w:vMerge w:val="continue"/>
                  <w:vAlign w:val="center"/>
                </w:tcPr>
                <w:p w14:paraId="043A41E3">
                  <w:pPr>
                    <w:pStyle w:val="16"/>
                    <w:spacing w:after="0" w:line="276" w:lineRule="auto"/>
                    <w:ind w:left="0" w:leftChars="0"/>
                    <w:jc w:val="center"/>
                    <w:rPr>
                      <w:color w:val="auto"/>
                      <w:kern w:val="0"/>
                      <w:szCs w:val="21"/>
                    </w:rPr>
                  </w:pPr>
                </w:p>
              </w:tc>
              <w:tc>
                <w:tcPr>
                  <w:tcW w:w="2122" w:type="dxa"/>
                  <w:vAlign w:val="center"/>
                </w:tcPr>
                <w:p w14:paraId="0E657015">
                  <w:pPr>
                    <w:pStyle w:val="16"/>
                    <w:spacing w:after="0" w:line="276" w:lineRule="auto"/>
                    <w:ind w:left="0" w:leftChars="0"/>
                    <w:jc w:val="center"/>
                    <w:rPr>
                      <w:color w:val="auto"/>
                      <w:kern w:val="0"/>
                      <w:szCs w:val="21"/>
                    </w:rPr>
                  </w:pPr>
                  <w:r>
                    <w:rPr>
                      <w:rFonts w:hint="eastAsia"/>
                      <w:color w:val="auto"/>
                      <w:kern w:val="0"/>
                      <w:szCs w:val="21"/>
                    </w:rPr>
                    <w:t>SO</w:t>
                  </w:r>
                  <w:r>
                    <w:rPr>
                      <w:rFonts w:hint="eastAsia"/>
                      <w:color w:val="auto"/>
                      <w:kern w:val="0"/>
                      <w:szCs w:val="21"/>
                      <w:vertAlign w:val="subscript"/>
                    </w:rPr>
                    <w:t>2</w:t>
                  </w:r>
                </w:p>
              </w:tc>
              <w:tc>
                <w:tcPr>
                  <w:tcW w:w="1785" w:type="dxa"/>
                  <w:vAlign w:val="center"/>
                </w:tcPr>
                <w:p w14:paraId="79CB32F3">
                  <w:pPr>
                    <w:pStyle w:val="16"/>
                    <w:spacing w:after="0" w:line="276" w:lineRule="auto"/>
                    <w:ind w:left="0" w:leftChars="0"/>
                    <w:jc w:val="center"/>
                    <w:rPr>
                      <w:color w:val="auto"/>
                      <w:kern w:val="0"/>
                      <w:szCs w:val="21"/>
                    </w:rPr>
                  </w:pPr>
                  <w:r>
                    <w:rPr>
                      <w:rFonts w:hint="eastAsia"/>
                      <w:color w:val="auto"/>
                      <w:kern w:val="0"/>
                      <w:szCs w:val="21"/>
                    </w:rPr>
                    <w:t>4.219</w:t>
                  </w:r>
                </w:p>
              </w:tc>
              <w:tc>
                <w:tcPr>
                  <w:tcW w:w="1383" w:type="dxa"/>
                  <w:vAlign w:val="center"/>
                </w:tcPr>
                <w:p w14:paraId="4C8CA9B1">
                  <w:pPr>
                    <w:pStyle w:val="16"/>
                    <w:spacing w:after="0" w:line="276" w:lineRule="auto"/>
                    <w:ind w:left="0" w:leftChars="0"/>
                    <w:jc w:val="center"/>
                    <w:rPr>
                      <w:color w:val="auto"/>
                      <w:kern w:val="0"/>
                      <w:szCs w:val="21"/>
                    </w:rPr>
                  </w:pPr>
                  <w:r>
                    <w:rPr>
                      <w:rFonts w:hint="eastAsia"/>
                      <w:color w:val="auto"/>
                      <w:kern w:val="0"/>
                      <w:szCs w:val="21"/>
                    </w:rPr>
                    <w:t>26.9024</w:t>
                  </w:r>
                </w:p>
              </w:tc>
              <w:tc>
                <w:tcPr>
                  <w:tcW w:w="1645" w:type="dxa"/>
                  <w:vAlign w:val="center"/>
                </w:tcPr>
                <w:p w14:paraId="7F0CBC97">
                  <w:pPr>
                    <w:pStyle w:val="16"/>
                    <w:spacing w:after="0" w:line="276" w:lineRule="auto"/>
                    <w:ind w:left="0" w:leftChars="0"/>
                    <w:jc w:val="center"/>
                    <w:rPr>
                      <w:color w:val="auto"/>
                      <w:kern w:val="0"/>
                      <w:szCs w:val="21"/>
                    </w:rPr>
                  </w:pPr>
                  <w:r>
                    <w:rPr>
                      <w:rFonts w:hint="eastAsia"/>
                      <w:color w:val="auto"/>
                      <w:kern w:val="0"/>
                      <w:szCs w:val="21"/>
                    </w:rPr>
                    <w:t>符合总量要求</w:t>
                  </w:r>
                </w:p>
              </w:tc>
            </w:tr>
            <w:tr w14:paraId="1A60122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1045" w:type="dxa"/>
                  <w:vMerge w:val="continue"/>
                  <w:vAlign w:val="center"/>
                </w:tcPr>
                <w:p w14:paraId="3F7BECE3">
                  <w:pPr>
                    <w:pStyle w:val="16"/>
                    <w:spacing w:after="0" w:line="276" w:lineRule="auto"/>
                    <w:ind w:left="0" w:leftChars="0"/>
                    <w:jc w:val="center"/>
                    <w:rPr>
                      <w:color w:val="auto"/>
                      <w:kern w:val="0"/>
                      <w:szCs w:val="21"/>
                    </w:rPr>
                  </w:pPr>
                </w:p>
              </w:tc>
              <w:tc>
                <w:tcPr>
                  <w:tcW w:w="2122" w:type="dxa"/>
                  <w:vAlign w:val="center"/>
                </w:tcPr>
                <w:p w14:paraId="0AC21591">
                  <w:pPr>
                    <w:pStyle w:val="16"/>
                    <w:spacing w:after="0" w:line="276" w:lineRule="auto"/>
                    <w:ind w:left="0" w:leftChars="0"/>
                    <w:jc w:val="center"/>
                    <w:rPr>
                      <w:color w:val="auto"/>
                      <w:kern w:val="0"/>
                      <w:szCs w:val="21"/>
                    </w:rPr>
                  </w:pPr>
                  <w:r>
                    <w:rPr>
                      <w:rFonts w:hint="eastAsia"/>
                      <w:color w:val="auto"/>
                      <w:kern w:val="0"/>
                      <w:szCs w:val="21"/>
                    </w:rPr>
                    <w:t>NOx</w:t>
                  </w:r>
                </w:p>
              </w:tc>
              <w:tc>
                <w:tcPr>
                  <w:tcW w:w="1785" w:type="dxa"/>
                  <w:vAlign w:val="center"/>
                </w:tcPr>
                <w:p w14:paraId="29916F17">
                  <w:pPr>
                    <w:pStyle w:val="16"/>
                    <w:spacing w:after="0" w:line="276" w:lineRule="auto"/>
                    <w:ind w:left="0" w:leftChars="0"/>
                    <w:jc w:val="center"/>
                    <w:rPr>
                      <w:color w:val="auto"/>
                      <w:kern w:val="0"/>
                      <w:szCs w:val="21"/>
                    </w:rPr>
                  </w:pPr>
                  <w:r>
                    <w:rPr>
                      <w:rFonts w:hint="eastAsia"/>
                      <w:color w:val="auto"/>
                      <w:kern w:val="0"/>
                      <w:szCs w:val="21"/>
                    </w:rPr>
                    <w:t>11.01</w:t>
                  </w:r>
                </w:p>
              </w:tc>
              <w:tc>
                <w:tcPr>
                  <w:tcW w:w="1383" w:type="dxa"/>
                  <w:vAlign w:val="center"/>
                </w:tcPr>
                <w:p w14:paraId="5A574C70">
                  <w:pPr>
                    <w:pStyle w:val="16"/>
                    <w:spacing w:after="0" w:line="276" w:lineRule="auto"/>
                    <w:ind w:left="0" w:leftChars="0"/>
                    <w:jc w:val="center"/>
                    <w:rPr>
                      <w:color w:val="auto"/>
                      <w:kern w:val="0"/>
                      <w:szCs w:val="21"/>
                    </w:rPr>
                  </w:pPr>
                  <w:r>
                    <w:rPr>
                      <w:rFonts w:hint="eastAsia"/>
                      <w:color w:val="auto"/>
                      <w:kern w:val="0"/>
                      <w:szCs w:val="21"/>
                    </w:rPr>
                    <w:t>54.457</w:t>
                  </w:r>
                </w:p>
              </w:tc>
              <w:tc>
                <w:tcPr>
                  <w:tcW w:w="1645" w:type="dxa"/>
                  <w:vAlign w:val="center"/>
                </w:tcPr>
                <w:p w14:paraId="5F193231">
                  <w:pPr>
                    <w:pStyle w:val="16"/>
                    <w:spacing w:after="0" w:line="276" w:lineRule="auto"/>
                    <w:ind w:left="0" w:leftChars="0"/>
                    <w:jc w:val="center"/>
                    <w:rPr>
                      <w:color w:val="auto"/>
                      <w:kern w:val="0"/>
                      <w:szCs w:val="21"/>
                    </w:rPr>
                  </w:pPr>
                  <w:r>
                    <w:rPr>
                      <w:rFonts w:hint="eastAsia"/>
                      <w:color w:val="auto"/>
                      <w:kern w:val="0"/>
                      <w:szCs w:val="21"/>
                    </w:rPr>
                    <w:t>符合总量要求</w:t>
                  </w:r>
                </w:p>
              </w:tc>
            </w:tr>
            <w:tr w14:paraId="2A888A2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1045" w:type="dxa"/>
                  <w:vMerge w:val="continue"/>
                  <w:vAlign w:val="center"/>
                </w:tcPr>
                <w:p w14:paraId="14AD66DD">
                  <w:pPr>
                    <w:pStyle w:val="16"/>
                    <w:spacing w:after="0" w:line="276" w:lineRule="auto"/>
                    <w:ind w:left="0" w:leftChars="0"/>
                    <w:jc w:val="center"/>
                    <w:rPr>
                      <w:color w:val="auto"/>
                      <w:kern w:val="0"/>
                      <w:szCs w:val="21"/>
                    </w:rPr>
                  </w:pPr>
                </w:p>
              </w:tc>
              <w:tc>
                <w:tcPr>
                  <w:tcW w:w="2122" w:type="dxa"/>
                  <w:vAlign w:val="center"/>
                </w:tcPr>
                <w:p w14:paraId="793106C0">
                  <w:pPr>
                    <w:pStyle w:val="16"/>
                    <w:spacing w:after="0" w:line="276" w:lineRule="auto"/>
                    <w:ind w:left="0" w:leftChars="0"/>
                    <w:jc w:val="center"/>
                    <w:rPr>
                      <w:color w:val="auto"/>
                      <w:kern w:val="0"/>
                      <w:szCs w:val="21"/>
                    </w:rPr>
                  </w:pPr>
                  <w:r>
                    <w:rPr>
                      <w:rFonts w:hint="eastAsia"/>
                      <w:color w:val="auto"/>
                      <w:kern w:val="0"/>
                      <w:szCs w:val="21"/>
                    </w:rPr>
                    <w:t>非甲烷总烃</w:t>
                  </w:r>
                </w:p>
              </w:tc>
              <w:tc>
                <w:tcPr>
                  <w:tcW w:w="1785" w:type="dxa"/>
                  <w:vAlign w:val="center"/>
                </w:tcPr>
                <w:p w14:paraId="56F0A8BC">
                  <w:pPr>
                    <w:pStyle w:val="16"/>
                    <w:spacing w:after="0" w:line="276" w:lineRule="auto"/>
                    <w:ind w:left="0" w:leftChars="0"/>
                    <w:jc w:val="center"/>
                    <w:rPr>
                      <w:color w:val="auto"/>
                      <w:kern w:val="0"/>
                      <w:szCs w:val="21"/>
                    </w:rPr>
                  </w:pPr>
                  <w:r>
                    <w:rPr>
                      <w:rFonts w:hint="eastAsia"/>
                      <w:color w:val="auto"/>
                      <w:kern w:val="0"/>
                      <w:szCs w:val="21"/>
                    </w:rPr>
                    <w:t>0.4137</w:t>
                  </w:r>
                </w:p>
              </w:tc>
              <w:tc>
                <w:tcPr>
                  <w:tcW w:w="1383" w:type="dxa"/>
                  <w:vAlign w:val="center"/>
                </w:tcPr>
                <w:p w14:paraId="429AC973">
                  <w:pPr>
                    <w:pStyle w:val="16"/>
                    <w:spacing w:after="0" w:line="276" w:lineRule="auto"/>
                    <w:ind w:left="0" w:leftChars="0"/>
                    <w:jc w:val="center"/>
                    <w:rPr>
                      <w:color w:val="auto"/>
                      <w:kern w:val="0"/>
                      <w:szCs w:val="21"/>
                    </w:rPr>
                  </w:pPr>
                  <w:r>
                    <w:rPr>
                      <w:rFonts w:hint="eastAsia"/>
                      <w:color w:val="auto"/>
                      <w:kern w:val="0"/>
                      <w:szCs w:val="21"/>
                    </w:rPr>
                    <w:t>1.0676</w:t>
                  </w:r>
                </w:p>
              </w:tc>
              <w:tc>
                <w:tcPr>
                  <w:tcW w:w="1645" w:type="dxa"/>
                  <w:vAlign w:val="center"/>
                </w:tcPr>
                <w:p w14:paraId="73E3F26E">
                  <w:pPr>
                    <w:pStyle w:val="16"/>
                    <w:spacing w:after="0" w:line="276" w:lineRule="auto"/>
                    <w:ind w:left="0" w:leftChars="0"/>
                    <w:jc w:val="center"/>
                    <w:rPr>
                      <w:color w:val="auto"/>
                      <w:kern w:val="0"/>
                      <w:szCs w:val="21"/>
                    </w:rPr>
                  </w:pPr>
                  <w:r>
                    <w:rPr>
                      <w:rFonts w:hint="eastAsia"/>
                      <w:color w:val="auto"/>
                      <w:kern w:val="0"/>
                      <w:szCs w:val="21"/>
                    </w:rPr>
                    <w:t>符合总量要求</w:t>
                  </w:r>
                </w:p>
              </w:tc>
            </w:tr>
            <w:tr w14:paraId="231CCA8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045" w:type="dxa"/>
                  <w:vMerge w:val="restart"/>
                  <w:vAlign w:val="center"/>
                </w:tcPr>
                <w:p w14:paraId="4DFB0F46">
                  <w:pPr>
                    <w:pStyle w:val="16"/>
                    <w:spacing w:after="0" w:line="276" w:lineRule="auto"/>
                    <w:ind w:left="0" w:leftChars="0"/>
                    <w:jc w:val="center"/>
                    <w:rPr>
                      <w:color w:val="auto"/>
                      <w:kern w:val="0"/>
                      <w:szCs w:val="21"/>
                    </w:rPr>
                  </w:pPr>
                  <w:r>
                    <w:rPr>
                      <w:rFonts w:hint="eastAsia"/>
                      <w:color w:val="auto"/>
                      <w:kern w:val="0"/>
                      <w:szCs w:val="21"/>
                    </w:rPr>
                    <w:t>废水</w:t>
                  </w:r>
                </w:p>
              </w:tc>
              <w:tc>
                <w:tcPr>
                  <w:tcW w:w="2122" w:type="dxa"/>
                  <w:vAlign w:val="center"/>
                </w:tcPr>
                <w:p w14:paraId="1A1E7DE8">
                  <w:pPr>
                    <w:pStyle w:val="16"/>
                    <w:spacing w:after="0" w:line="276" w:lineRule="auto"/>
                    <w:ind w:left="0" w:leftChars="0"/>
                    <w:jc w:val="center"/>
                    <w:rPr>
                      <w:color w:val="auto"/>
                      <w:kern w:val="0"/>
                      <w:szCs w:val="21"/>
                    </w:rPr>
                  </w:pPr>
                  <w:r>
                    <w:rPr>
                      <w:rFonts w:hint="eastAsia"/>
                      <w:color w:val="auto"/>
                      <w:kern w:val="0"/>
                      <w:szCs w:val="21"/>
                    </w:rPr>
                    <w:t>COD</w:t>
                  </w:r>
                </w:p>
              </w:tc>
              <w:tc>
                <w:tcPr>
                  <w:tcW w:w="1785" w:type="dxa"/>
                  <w:vAlign w:val="center"/>
                </w:tcPr>
                <w:p w14:paraId="34B90DCA">
                  <w:pPr>
                    <w:pStyle w:val="16"/>
                    <w:spacing w:after="0" w:line="276" w:lineRule="auto"/>
                    <w:ind w:left="0" w:leftChars="0"/>
                    <w:jc w:val="center"/>
                    <w:rPr>
                      <w:color w:val="auto"/>
                      <w:kern w:val="0"/>
                      <w:szCs w:val="21"/>
                    </w:rPr>
                  </w:pPr>
                  <w:r>
                    <w:rPr>
                      <w:rFonts w:hint="eastAsia"/>
                      <w:color w:val="auto"/>
                      <w:kern w:val="0"/>
                      <w:szCs w:val="21"/>
                    </w:rPr>
                    <w:t>0</w:t>
                  </w:r>
                </w:p>
              </w:tc>
              <w:tc>
                <w:tcPr>
                  <w:tcW w:w="1383" w:type="dxa"/>
                  <w:vAlign w:val="center"/>
                </w:tcPr>
                <w:p w14:paraId="22772BAF">
                  <w:pPr>
                    <w:pStyle w:val="16"/>
                    <w:spacing w:after="0" w:line="276" w:lineRule="auto"/>
                    <w:ind w:left="0" w:leftChars="0"/>
                    <w:jc w:val="center"/>
                    <w:rPr>
                      <w:color w:val="auto"/>
                      <w:kern w:val="0"/>
                      <w:szCs w:val="21"/>
                    </w:rPr>
                  </w:pPr>
                  <w:r>
                    <w:rPr>
                      <w:rFonts w:hint="eastAsia"/>
                      <w:color w:val="auto"/>
                      <w:kern w:val="0"/>
                      <w:szCs w:val="21"/>
                    </w:rPr>
                    <w:t>/</w:t>
                  </w:r>
                </w:p>
              </w:tc>
              <w:tc>
                <w:tcPr>
                  <w:tcW w:w="1645" w:type="dxa"/>
                  <w:vMerge w:val="restart"/>
                  <w:vAlign w:val="center"/>
                </w:tcPr>
                <w:p w14:paraId="0FD8F1FF">
                  <w:pPr>
                    <w:pStyle w:val="16"/>
                    <w:spacing w:after="0" w:line="276" w:lineRule="auto"/>
                    <w:ind w:left="0" w:leftChars="0"/>
                    <w:jc w:val="center"/>
                    <w:rPr>
                      <w:color w:val="auto"/>
                      <w:kern w:val="0"/>
                      <w:szCs w:val="21"/>
                    </w:rPr>
                  </w:pPr>
                  <w:r>
                    <w:rPr>
                      <w:rFonts w:hint="eastAsia"/>
                      <w:color w:val="auto"/>
                      <w:kern w:val="0"/>
                      <w:szCs w:val="21"/>
                    </w:rPr>
                    <w:t>不外排</w:t>
                  </w:r>
                </w:p>
              </w:tc>
            </w:tr>
            <w:tr w14:paraId="2E2B82C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1045" w:type="dxa"/>
                  <w:vMerge w:val="continue"/>
                  <w:vAlign w:val="center"/>
                </w:tcPr>
                <w:p w14:paraId="0B3D8B37">
                  <w:pPr>
                    <w:pStyle w:val="16"/>
                    <w:spacing w:after="0" w:line="276" w:lineRule="auto"/>
                    <w:ind w:left="0" w:leftChars="0"/>
                    <w:jc w:val="center"/>
                    <w:rPr>
                      <w:color w:val="auto"/>
                      <w:kern w:val="0"/>
                      <w:szCs w:val="21"/>
                    </w:rPr>
                  </w:pPr>
                </w:p>
              </w:tc>
              <w:tc>
                <w:tcPr>
                  <w:tcW w:w="2122" w:type="dxa"/>
                  <w:vAlign w:val="center"/>
                </w:tcPr>
                <w:p w14:paraId="75A9690B">
                  <w:pPr>
                    <w:pStyle w:val="16"/>
                    <w:spacing w:after="0" w:line="276" w:lineRule="auto"/>
                    <w:ind w:left="0" w:leftChars="0"/>
                    <w:jc w:val="center"/>
                    <w:rPr>
                      <w:color w:val="auto"/>
                      <w:kern w:val="0"/>
                      <w:szCs w:val="21"/>
                    </w:rPr>
                  </w:pPr>
                  <w:r>
                    <w:rPr>
                      <w:rFonts w:hint="eastAsia"/>
                      <w:color w:val="auto"/>
                      <w:kern w:val="0"/>
                      <w:szCs w:val="21"/>
                    </w:rPr>
                    <w:t>BOD</w:t>
                  </w:r>
                  <w:r>
                    <w:rPr>
                      <w:rFonts w:hint="eastAsia"/>
                      <w:color w:val="auto"/>
                      <w:kern w:val="0"/>
                      <w:szCs w:val="21"/>
                      <w:vertAlign w:val="subscript"/>
                    </w:rPr>
                    <w:t>5</w:t>
                  </w:r>
                </w:p>
              </w:tc>
              <w:tc>
                <w:tcPr>
                  <w:tcW w:w="1785" w:type="dxa"/>
                  <w:vAlign w:val="center"/>
                </w:tcPr>
                <w:p w14:paraId="2A4DBF00">
                  <w:pPr>
                    <w:pStyle w:val="16"/>
                    <w:spacing w:after="0" w:line="276" w:lineRule="auto"/>
                    <w:ind w:left="0" w:leftChars="0"/>
                    <w:jc w:val="center"/>
                    <w:rPr>
                      <w:color w:val="auto"/>
                      <w:kern w:val="0"/>
                      <w:szCs w:val="21"/>
                    </w:rPr>
                  </w:pPr>
                  <w:r>
                    <w:rPr>
                      <w:rFonts w:hint="eastAsia"/>
                      <w:color w:val="auto"/>
                      <w:kern w:val="0"/>
                      <w:szCs w:val="21"/>
                    </w:rPr>
                    <w:t>0</w:t>
                  </w:r>
                </w:p>
              </w:tc>
              <w:tc>
                <w:tcPr>
                  <w:tcW w:w="1383" w:type="dxa"/>
                  <w:vAlign w:val="center"/>
                </w:tcPr>
                <w:p w14:paraId="136FB200">
                  <w:pPr>
                    <w:pStyle w:val="16"/>
                    <w:spacing w:after="0" w:line="276" w:lineRule="auto"/>
                    <w:ind w:left="0" w:leftChars="0"/>
                    <w:jc w:val="center"/>
                    <w:rPr>
                      <w:color w:val="auto"/>
                      <w:kern w:val="0"/>
                      <w:szCs w:val="21"/>
                    </w:rPr>
                  </w:pPr>
                  <w:r>
                    <w:rPr>
                      <w:rFonts w:hint="eastAsia"/>
                      <w:color w:val="auto"/>
                      <w:kern w:val="0"/>
                      <w:szCs w:val="21"/>
                    </w:rPr>
                    <w:t>/</w:t>
                  </w:r>
                </w:p>
              </w:tc>
              <w:tc>
                <w:tcPr>
                  <w:tcW w:w="1645" w:type="dxa"/>
                  <w:vMerge w:val="continue"/>
                  <w:vAlign w:val="center"/>
                </w:tcPr>
                <w:p w14:paraId="66DF6B85">
                  <w:pPr>
                    <w:pStyle w:val="16"/>
                    <w:spacing w:after="0" w:line="276" w:lineRule="auto"/>
                    <w:ind w:left="0" w:leftChars="0"/>
                    <w:jc w:val="center"/>
                    <w:rPr>
                      <w:color w:val="auto"/>
                      <w:kern w:val="0"/>
                      <w:szCs w:val="21"/>
                    </w:rPr>
                  </w:pPr>
                </w:p>
              </w:tc>
            </w:tr>
            <w:tr w14:paraId="6814CCA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1045" w:type="dxa"/>
                  <w:vMerge w:val="continue"/>
                  <w:vAlign w:val="center"/>
                </w:tcPr>
                <w:p w14:paraId="4D130882">
                  <w:pPr>
                    <w:pStyle w:val="16"/>
                    <w:spacing w:after="0" w:line="276" w:lineRule="auto"/>
                    <w:ind w:left="0" w:leftChars="0"/>
                    <w:jc w:val="center"/>
                    <w:rPr>
                      <w:color w:val="auto"/>
                      <w:kern w:val="0"/>
                      <w:szCs w:val="21"/>
                    </w:rPr>
                  </w:pPr>
                </w:p>
              </w:tc>
              <w:tc>
                <w:tcPr>
                  <w:tcW w:w="2122" w:type="dxa"/>
                  <w:vAlign w:val="center"/>
                </w:tcPr>
                <w:p w14:paraId="5C3C0A8E">
                  <w:pPr>
                    <w:pStyle w:val="16"/>
                    <w:spacing w:after="0" w:line="276" w:lineRule="auto"/>
                    <w:ind w:left="0" w:leftChars="0"/>
                    <w:jc w:val="center"/>
                    <w:rPr>
                      <w:color w:val="auto"/>
                      <w:kern w:val="0"/>
                      <w:szCs w:val="21"/>
                    </w:rPr>
                  </w:pPr>
                  <w:r>
                    <w:rPr>
                      <w:rFonts w:hint="eastAsia"/>
                      <w:color w:val="auto"/>
                      <w:kern w:val="0"/>
                      <w:szCs w:val="21"/>
                    </w:rPr>
                    <w:t>NH</w:t>
                  </w:r>
                  <w:r>
                    <w:rPr>
                      <w:rFonts w:hint="eastAsia"/>
                      <w:color w:val="auto"/>
                      <w:kern w:val="0"/>
                      <w:szCs w:val="21"/>
                      <w:vertAlign w:val="subscript"/>
                    </w:rPr>
                    <w:t>3</w:t>
                  </w:r>
                  <w:r>
                    <w:rPr>
                      <w:rFonts w:hint="eastAsia"/>
                      <w:color w:val="auto"/>
                      <w:kern w:val="0"/>
                      <w:szCs w:val="21"/>
                    </w:rPr>
                    <w:t>-N</w:t>
                  </w:r>
                </w:p>
              </w:tc>
              <w:tc>
                <w:tcPr>
                  <w:tcW w:w="1785" w:type="dxa"/>
                  <w:vAlign w:val="center"/>
                </w:tcPr>
                <w:p w14:paraId="780E9314">
                  <w:pPr>
                    <w:pStyle w:val="16"/>
                    <w:spacing w:after="0" w:line="276" w:lineRule="auto"/>
                    <w:ind w:left="0" w:leftChars="0"/>
                    <w:jc w:val="center"/>
                    <w:rPr>
                      <w:color w:val="auto"/>
                      <w:kern w:val="0"/>
                      <w:szCs w:val="21"/>
                    </w:rPr>
                  </w:pPr>
                  <w:r>
                    <w:rPr>
                      <w:rFonts w:hint="eastAsia"/>
                      <w:color w:val="auto"/>
                      <w:kern w:val="0"/>
                      <w:szCs w:val="21"/>
                    </w:rPr>
                    <w:t>0</w:t>
                  </w:r>
                </w:p>
              </w:tc>
              <w:tc>
                <w:tcPr>
                  <w:tcW w:w="1383" w:type="dxa"/>
                  <w:vAlign w:val="center"/>
                </w:tcPr>
                <w:p w14:paraId="32B489F0">
                  <w:pPr>
                    <w:pStyle w:val="16"/>
                    <w:spacing w:after="0" w:line="276" w:lineRule="auto"/>
                    <w:ind w:left="0" w:leftChars="0"/>
                    <w:jc w:val="center"/>
                    <w:rPr>
                      <w:color w:val="auto"/>
                      <w:kern w:val="0"/>
                      <w:szCs w:val="21"/>
                    </w:rPr>
                  </w:pPr>
                  <w:r>
                    <w:rPr>
                      <w:rFonts w:hint="eastAsia"/>
                      <w:color w:val="auto"/>
                      <w:kern w:val="0"/>
                      <w:szCs w:val="21"/>
                    </w:rPr>
                    <w:t>/</w:t>
                  </w:r>
                </w:p>
              </w:tc>
              <w:tc>
                <w:tcPr>
                  <w:tcW w:w="1645" w:type="dxa"/>
                  <w:vMerge w:val="continue"/>
                  <w:vAlign w:val="center"/>
                </w:tcPr>
                <w:p w14:paraId="2B7B3BB8">
                  <w:pPr>
                    <w:pStyle w:val="16"/>
                    <w:spacing w:after="0" w:line="276" w:lineRule="auto"/>
                    <w:ind w:left="0" w:leftChars="0"/>
                    <w:jc w:val="center"/>
                    <w:rPr>
                      <w:color w:val="auto"/>
                      <w:kern w:val="0"/>
                      <w:szCs w:val="21"/>
                    </w:rPr>
                  </w:pPr>
                </w:p>
              </w:tc>
            </w:tr>
            <w:tr w14:paraId="58EB3D9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1045" w:type="dxa"/>
                  <w:vMerge w:val="continue"/>
                  <w:vAlign w:val="center"/>
                </w:tcPr>
                <w:p w14:paraId="2CBBC70B">
                  <w:pPr>
                    <w:pStyle w:val="16"/>
                    <w:spacing w:after="0" w:line="276" w:lineRule="auto"/>
                    <w:ind w:left="0" w:leftChars="0"/>
                    <w:jc w:val="center"/>
                    <w:rPr>
                      <w:color w:val="auto"/>
                      <w:kern w:val="0"/>
                      <w:szCs w:val="21"/>
                    </w:rPr>
                  </w:pPr>
                </w:p>
              </w:tc>
              <w:tc>
                <w:tcPr>
                  <w:tcW w:w="2122" w:type="dxa"/>
                  <w:vAlign w:val="center"/>
                </w:tcPr>
                <w:p w14:paraId="16ADD67D">
                  <w:pPr>
                    <w:pStyle w:val="16"/>
                    <w:spacing w:after="0" w:line="276" w:lineRule="auto"/>
                    <w:ind w:left="0" w:leftChars="0"/>
                    <w:jc w:val="center"/>
                    <w:rPr>
                      <w:color w:val="auto"/>
                      <w:kern w:val="0"/>
                      <w:szCs w:val="21"/>
                    </w:rPr>
                  </w:pPr>
                  <w:r>
                    <w:rPr>
                      <w:rFonts w:hint="eastAsia"/>
                      <w:color w:val="auto"/>
                      <w:kern w:val="0"/>
                      <w:szCs w:val="21"/>
                    </w:rPr>
                    <w:t>SS</w:t>
                  </w:r>
                </w:p>
              </w:tc>
              <w:tc>
                <w:tcPr>
                  <w:tcW w:w="1785" w:type="dxa"/>
                  <w:vAlign w:val="center"/>
                </w:tcPr>
                <w:p w14:paraId="474696C8">
                  <w:pPr>
                    <w:pStyle w:val="16"/>
                    <w:spacing w:after="0" w:line="276" w:lineRule="auto"/>
                    <w:ind w:left="0" w:leftChars="0"/>
                    <w:jc w:val="center"/>
                    <w:rPr>
                      <w:color w:val="auto"/>
                      <w:kern w:val="0"/>
                      <w:szCs w:val="21"/>
                    </w:rPr>
                  </w:pPr>
                  <w:r>
                    <w:rPr>
                      <w:rFonts w:hint="eastAsia"/>
                      <w:color w:val="auto"/>
                      <w:kern w:val="0"/>
                      <w:szCs w:val="21"/>
                    </w:rPr>
                    <w:t>0</w:t>
                  </w:r>
                </w:p>
              </w:tc>
              <w:tc>
                <w:tcPr>
                  <w:tcW w:w="1383" w:type="dxa"/>
                  <w:vAlign w:val="center"/>
                </w:tcPr>
                <w:p w14:paraId="7A133F00">
                  <w:pPr>
                    <w:pStyle w:val="16"/>
                    <w:spacing w:after="0" w:line="276" w:lineRule="auto"/>
                    <w:ind w:left="0" w:leftChars="0"/>
                    <w:jc w:val="center"/>
                    <w:rPr>
                      <w:color w:val="auto"/>
                      <w:kern w:val="0"/>
                      <w:szCs w:val="21"/>
                    </w:rPr>
                  </w:pPr>
                  <w:r>
                    <w:rPr>
                      <w:rFonts w:hint="eastAsia"/>
                      <w:color w:val="auto"/>
                      <w:kern w:val="0"/>
                      <w:szCs w:val="21"/>
                    </w:rPr>
                    <w:t>/</w:t>
                  </w:r>
                </w:p>
              </w:tc>
              <w:tc>
                <w:tcPr>
                  <w:tcW w:w="1645" w:type="dxa"/>
                  <w:vMerge w:val="continue"/>
                  <w:vAlign w:val="center"/>
                </w:tcPr>
                <w:p w14:paraId="3E51A405">
                  <w:pPr>
                    <w:pStyle w:val="16"/>
                    <w:spacing w:after="0" w:line="276" w:lineRule="auto"/>
                    <w:ind w:left="0" w:leftChars="0"/>
                    <w:jc w:val="center"/>
                    <w:rPr>
                      <w:color w:val="auto"/>
                      <w:kern w:val="0"/>
                      <w:szCs w:val="21"/>
                    </w:rPr>
                  </w:pPr>
                </w:p>
              </w:tc>
            </w:tr>
            <w:tr w14:paraId="308A4D2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045" w:type="dxa"/>
                  <w:vMerge w:val="restart"/>
                  <w:vAlign w:val="center"/>
                </w:tcPr>
                <w:p w14:paraId="425FB8A8">
                  <w:pPr>
                    <w:pStyle w:val="16"/>
                    <w:spacing w:after="0" w:line="276" w:lineRule="auto"/>
                    <w:ind w:left="0" w:leftChars="0"/>
                    <w:jc w:val="center"/>
                    <w:rPr>
                      <w:color w:val="auto"/>
                      <w:kern w:val="0"/>
                      <w:szCs w:val="21"/>
                    </w:rPr>
                  </w:pPr>
                  <w:r>
                    <w:rPr>
                      <w:rFonts w:hint="eastAsia"/>
                      <w:color w:val="auto"/>
                      <w:kern w:val="0"/>
                      <w:szCs w:val="21"/>
                    </w:rPr>
                    <w:t>固废</w:t>
                  </w:r>
                </w:p>
              </w:tc>
              <w:tc>
                <w:tcPr>
                  <w:tcW w:w="2122" w:type="dxa"/>
                  <w:vAlign w:val="center"/>
                </w:tcPr>
                <w:p w14:paraId="3F3C735F">
                  <w:pPr>
                    <w:pStyle w:val="16"/>
                    <w:spacing w:after="0" w:line="276" w:lineRule="auto"/>
                    <w:ind w:left="0" w:leftChars="0"/>
                    <w:jc w:val="center"/>
                    <w:rPr>
                      <w:color w:val="auto"/>
                      <w:kern w:val="0"/>
                      <w:szCs w:val="21"/>
                    </w:rPr>
                  </w:pPr>
                  <w:r>
                    <w:rPr>
                      <w:rFonts w:hint="eastAsia"/>
                      <w:color w:val="auto"/>
                      <w:kern w:val="0"/>
                      <w:szCs w:val="21"/>
                    </w:rPr>
                    <w:t>废花纸</w:t>
                  </w:r>
                </w:p>
              </w:tc>
              <w:tc>
                <w:tcPr>
                  <w:tcW w:w="1785" w:type="dxa"/>
                  <w:vAlign w:val="center"/>
                </w:tcPr>
                <w:p w14:paraId="2B962D92">
                  <w:pPr>
                    <w:pStyle w:val="16"/>
                    <w:spacing w:after="0" w:line="276" w:lineRule="auto"/>
                    <w:ind w:left="0" w:leftChars="0"/>
                    <w:jc w:val="center"/>
                    <w:rPr>
                      <w:color w:val="auto"/>
                      <w:kern w:val="0"/>
                      <w:szCs w:val="21"/>
                    </w:rPr>
                  </w:pPr>
                  <w:r>
                    <w:rPr>
                      <w:rFonts w:hint="eastAsia"/>
                      <w:color w:val="auto"/>
                      <w:kern w:val="0"/>
                      <w:szCs w:val="21"/>
                    </w:rPr>
                    <w:t>1.5</w:t>
                  </w:r>
                </w:p>
              </w:tc>
              <w:tc>
                <w:tcPr>
                  <w:tcW w:w="1383" w:type="dxa"/>
                  <w:vAlign w:val="center"/>
                </w:tcPr>
                <w:p w14:paraId="1C6AFCBD">
                  <w:pPr>
                    <w:pStyle w:val="16"/>
                    <w:spacing w:after="0" w:line="276" w:lineRule="auto"/>
                    <w:ind w:left="0" w:leftChars="0"/>
                    <w:jc w:val="center"/>
                    <w:rPr>
                      <w:color w:val="auto"/>
                      <w:kern w:val="0"/>
                      <w:szCs w:val="21"/>
                    </w:rPr>
                  </w:pPr>
                  <w:r>
                    <w:rPr>
                      <w:rFonts w:hint="eastAsia"/>
                      <w:color w:val="auto"/>
                      <w:kern w:val="0"/>
                      <w:szCs w:val="21"/>
                    </w:rPr>
                    <w:t>/</w:t>
                  </w:r>
                </w:p>
              </w:tc>
              <w:tc>
                <w:tcPr>
                  <w:tcW w:w="1645" w:type="dxa"/>
                  <w:vAlign w:val="center"/>
                </w:tcPr>
                <w:p w14:paraId="1199AEEE">
                  <w:pPr>
                    <w:pStyle w:val="16"/>
                    <w:spacing w:after="0" w:line="276" w:lineRule="auto"/>
                    <w:ind w:left="0" w:leftChars="0"/>
                    <w:jc w:val="center"/>
                    <w:rPr>
                      <w:color w:val="auto"/>
                      <w:kern w:val="0"/>
                      <w:szCs w:val="21"/>
                    </w:rPr>
                  </w:pPr>
                  <w:r>
                    <w:rPr>
                      <w:rFonts w:hint="eastAsia"/>
                      <w:color w:val="auto"/>
                      <w:kern w:val="0"/>
                      <w:szCs w:val="21"/>
                    </w:rPr>
                    <w:t>/</w:t>
                  </w:r>
                </w:p>
              </w:tc>
            </w:tr>
            <w:tr w14:paraId="543628E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1045" w:type="dxa"/>
                  <w:vMerge w:val="continue"/>
                  <w:vAlign w:val="center"/>
                </w:tcPr>
                <w:p w14:paraId="69C68625">
                  <w:pPr>
                    <w:pStyle w:val="16"/>
                    <w:spacing w:after="0" w:line="276" w:lineRule="auto"/>
                    <w:ind w:left="0" w:leftChars="0"/>
                    <w:jc w:val="center"/>
                    <w:rPr>
                      <w:color w:val="auto"/>
                      <w:kern w:val="0"/>
                      <w:szCs w:val="21"/>
                    </w:rPr>
                  </w:pPr>
                </w:p>
              </w:tc>
              <w:tc>
                <w:tcPr>
                  <w:tcW w:w="2122" w:type="dxa"/>
                  <w:vAlign w:val="center"/>
                </w:tcPr>
                <w:p w14:paraId="28203F47">
                  <w:pPr>
                    <w:pStyle w:val="16"/>
                    <w:spacing w:after="0" w:line="276" w:lineRule="auto"/>
                    <w:ind w:left="0" w:leftChars="0"/>
                    <w:jc w:val="center"/>
                    <w:rPr>
                      <w:color w:val="auto"/>
                      <w:kern w:val="0"/>
                      <w:szCs w:val="21"/>
                    </w:rPr>
                  </w:pPr>
                  <w:r>
                    <w:rPr>
                      <w:rFonts w:hint="eastAsia"/>
                      <w:color w:val="auto"/>
                      <w:kern w:val="0"/>
                      <w:szCs w:val="21"/>
                    </w:rPr>
                    <w:t>废包装桶</w:t>
                  </w:r>
                </w:p>
              </w:tc>
              <w:tc>
                <w:tcPr>
                  <w:tcW w:w="1785" w:type="dxa"/>
                  <w:vAlign w:val="center"/>
                </w:tcPr>
                <w:p w14:paraId="6BF0DE3E">
                  <w:pPr>
                    <w:pStyle w:val="16"/>
                    <w:spacing w:after="0" w:line="276" w:lineRule="auto"/>
                    <w:ind w:left="0" w:leftChars="0"/>
                    <w:jc w:val="center"/>
                    <w:rPr>
                      <w:color w:val="auto"/>
                      <w:kern w:val="0"/>
                      <w:szCs w:val="21"/>
                    </w:rPr>
                  </w:pPr>
                  <w:r>
                    <w:rPr>
                      <w:rFonts w:hint="eastAsia"/>
                      <w:color w:val="auto"/>
                      <w:kern w:val="0"/>
                      <w:szCs w:val="21"/>
                    </w:rPr>
                    <w:t>0.5</w:t>
                  </w:r>
                </w:p>
              </w:tc>
              <w:tc>
                <w:tcPr>
                  <w:tcW w:w="1383" w:type="dxa"/>
                  <w:vAlign w:val="center"/>
                </w:tcPr>
                <w:p w14:paraId="606E2EAF">
                  <w:pPr>
                    <w:pStyle w:val="16"/>
                    <w:spacing w:after="0" w:line="276" w:lineRule="auto"/>
                    <w:ind w:left="0" w:leftChars="0"/>
                    <w:jc w:val="center"/>
                    <w:rPr>
                      <w:color w:val="auto"/>
                      <w:kern w:val="0"/>
                      <w:szCs w:val="21"/>
                    </w:rPr>
                  </w:pPr>
                  <w:r>
                    <w:rPr>
                      <w:rFonts w:hint="eastAsia"/>
                      <w:color w:val="auto"/>
                      <w:kern w:val="0"/>
                      <w:szCs w:val="21"/>
                    </w:rPr>
                    <w:t>/</w:t>
                  </w:r>
                </w:p>
              </w:tc>
              <w:tc>
                <w:tcPr>
                  <w:tcW w:w="1645" w:type="dxa"/>
                  <w:vAlign w:val="center"/>
                </w:tcPr>
                <w:p w14:paraId="7FFCA6DB">
                  <w:pPr>
                    <w:pStyle w:val="16"/>
                    <w:spacing w:after="0" w:line="276" w:lineRule="auto"/>
                    <w:ind w:left="0" w:leftChars="0"/>
                    <w:jc w:val="center"/>
                    <w:rPr>
                      <w:color w:val="auto"/>
                      <w:kern w:val="0"/>
                      <w:szCs w:val="21"/>
                    </w:rPr>
                  </w:pPr>
                  <w:r>
                    <w:rPr>
                      <w:rFonts w:hint="eastAsia"/>
                      <w:color w:val="auto"/>
                      <w:kern w:val="0"/>
                      <w:szCs w:val="21"/>
                    </w:rPr>
                    <w:t>/</w:t>
                  </w:r>
                </w:p>
              </w:tc>
            </w:tr>
            <w:tr w14:paraId="11A2A93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1045" w:type="dxa"/>
                  <w:vMerge w:val="continue"/>
                  <w:vAlign w:val="center"/>
                </w:tcPr>
                <w:p w14:paraId="156788C1">
                  <w:pPr>
                    <w:pStyle w:val="16"/>
                    <w:spacing w:after="0" w:line="276" w:lineRule="auto"/>
                    <w:ind w:left="0" w:leftChars="0"/>
                    <w:jc w:val="center"/>
                    <w:rPr>
                      <w:color w:val="auto"/>
                      <w:kern w:val="0"/>
                      <w:szCs w:val="21"/>
                    </w:rPr>
                  </w:pPr>
                </w:p>
              </w:tc>
              <w:tc>
                <w:tcPr>
                  <w:tcW w:w="2122" w:type="dxa"/>
                  <w:vAlign w:val="center"/>
                </w:tcPr>
                <w:p w14:paraId="3592AD76">
                  <w:pPr>
                    <w:pStyle w:val="16"/>
                    <w:spacing w:after="0" w:line="276" w:lineRule="auto"/>
                    <w:ind w:left="0" w:leftChars="0"/>
                    <w:jc w:val="center"/>
                    <w:rPr>
                      <w:color w:val="auto"/>
                      <w:kern w:val="0"/>
                      <w:szCs w:val="21"/>
                    </w:rPr>
                  </w:pPr>
                  <w:r>
                    <w:rPr>
                      <w:rFonts w:hint="eastAsia"/>
                      <w:color w:val="auto"/>
                      <w:kern w:val="0"/>
                      <w:szCs w:val="21"/>
                    </w:rPr>
                    <w:t>不合格品</w:t>
                  </w:r>
                </w:p>
              </w:tc>
              <w:tc>
                <w:tcPr>
                  <w:tcW w:w="1785" w:type="dxa"/>
                  <w:vAlign w:val="center"/>
                </w:tcPr>
                <w:p w14:paraId="64E3588C">
                  <w:pPr>
                    <w:pStyle w:val="16"/>
                    <w:spacing w:after="0" w:line="276" w:lineRule="auto"/>
                    <w:ind w:left="0" w:leftChars="0"/>
                    <w:jc w:val="center"/>
                    <w:rPr>
                      <w:color w:val="auto"/>
                      <w:kern w:val="0"/>
                      <w:szCs w:val="21"/>
                    </w:rPr>
                  </w:pPr>
                  <w:r>
                    <w:rPr>
                      <w:rFonts w:hint="eastAsia"/>
                      <w:color w:val="auto"/>
                      <w:kern w:val="0"/>
                      <w:szCs w:val="21"/>
                    </w:rPr>
                    <w:t>200</w:t>
                  </w:r>
                </w:p>
              </w:tc>
              <w:tc>
                <w:tcPr>
                  <w:tcW w:w="1383" w:type="dxa"/>
                  <w:vAlign w:val="center"/>
                </w:tcPr>
                <w:p w14:paraId="78879093">
                  <w:pPr>
                    <w:pStyle w:val="16"/>
                    <w:spacing w:after="0" w:line="276" w:lineRule="auto"/>
                    <w:ind w:left="0" w:leftChars="0"/>
                    <w:jc w:val="center"/>
                    <w:rPr>
                      <w:color w:val="auto"/>
                      <w:kern w:val="0"/>
                      <w:szCs w:val="21"/>
                    </w:rPr>
                  </w:pPr>
                  <w:r>
                    <w:rPr>
                      <w:rFonts w:hint="eastAsia"/>
                      <w:color w:val="auto"/>
                      <w:kern w:val="0"/>
                      <w:szCs w:val="21"/>
                    </w:rPr>
                    <w:t>/</w:t>
                  </w:r>
                </w:p>
              </w:tc>
              <w:tc>
                <w:tcPr>
                  <w:tcW w:w="1645" w:type="dxa"/>
                  <w:vAlign w:val="center"/>
                </w:tcPr>
                <w:p w14:paraId="658DE0F8">
                  <w:pPr>
                    <w:pStyle w:val="16"/>
                    <w:spacing w:after="0" w:line="276" w:lineRule="auto"/>
                    <w:ind w:left="0" w:leftChars="0"/>
                    <w:jc w:val="center"/>
                    <w:rPr>
                      <w:color w:val="auto"/>
                      <w:kern w:val="0"/>
                      <w:szCs w:val="21"/>
                    </w:rPr>
                  </w:pPr>
                  <w:r>
                    <w:rPr>
                      <w:rFonts w:hint="eastAsia"/>
                      <w:color w:val="auto"/>
                      <w:kern w:val="0"/>
                      <w:szCs w:val="21"/>
                    </w:rPr>
                    <w:t>/</w:t>
                  </w:r>
                </w:p>
              </w:tc>
            </w:tr>
            <w:tr w14:paraId="3CC165B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1045" w:type="dxa"/>
                  <w:vMerge w:val="continue"/>
                  <w:vAlign w:val="center"/>
                </w:tcPr>
                <w:p w14:paraId="2B023666">
                  <w:pPr>
                    <w:pStyle w:val="16"/>
                    <w:spacing w:after="0" w:line="276" w:lineRule="auto"/>
                    <w:ind w:left="0" w:leftChars="0"/>
                    <w:jc w:val="center"/>
                    <w:rPr>
                      <w:color w:val="auto"/>
                      <w:kern w:val="0"/>
                      <w:szCs w:val="21"/>
                    </w:rPr>
                  </w:pPr>
                </w:p>
              </w:tc>
              <w:tc>
                <w:tcPr>
                  <w:tcW w:w="2122" w:type="dxa"/>
                  <w:vAlign w:val="center"/>
                </w:tcPr>
                <w:p w14:paraId="604358B2">
                  <w:pPr>
                    <w:pStyle w:val="16"/>
                    <w:spacing w:after="0" w:line="276" w:lineRule="auto"/>
                    <w:ind w:left="0" w:leftChars="0"/>
                    <w:jc w:val="center"/>
                    <w:rPr>
                      <w:color w:val="auto"/>
                      <w:kern w:val="0"/>
                      <w:szCs w:val="21"/>
                    </w:rPr>
                  </w:pPr>
                  <w:r>
                    <w:rPr>
                      <w:rFonts w:hint="eastAsia"/>
                      <w:color w:val="auto"/>
                      <w:kern w:val="0"/>
                      <w:szCs w:val="21"/>
                    </w:rPr>
                    <w:t>废活性炭</w:t>
                  </w:r>
                </w:p>
              </w:tc>
              <w:tc>
                <w:tcPr>
                  <w:tcW w:w="1785" w:type="dxa"/>
                  <w:vAlign w:val="center"/>
                </w:tcPr>
                <w:p w14:paraId="19C79E09">
                  <w:pPr>
                    <w:pStyle w:val="16"/>
                    <w:spacing w:after="0" w:line="276" w:lineRule="auto"/>
                    <w:ind w:left="0" w:leftChars="0"/>
                    <w:jc w:val="center"/>
                    <w:rPr>
                      <w:color w:val="auto"/>
                      <w:kern w:val="0"/>
                      <w:szCs w:val="21"/>
                    </w:rPr>
                  </w:pPr>
                  <w:r>
                    <w:rPr>
                      <w:rFonts w:hint="eastAsia"/>
                      <w:color w:val="auto"/>
                      <w:kern w:val="0"/>
                      <w:szCs w:val="21"/>
                    </w:rPr>
                    <w:t>1.54</w:t>
                  </w:r>
                </w:p>
              </w:tc>
              <w:tc>
                <w:tcPr>
                  <w:tcW w:w="1383" w:type="dxa"/>
                  <w:vAlign w:val="center"/>
                </w:tcPr>
                <w:p w14:paraId="6D4A151D">
                  <w:pPr>
                    <w:pStyle w:val="16"/>
                    <w:spacing w:after="0" w:line="276" w:lineRule="auto"/>
                    <w:ind w:left="0" w:leftChars="0"/>
                    <w:jc w:val="center"/>
                    <w:rPr>
                      <w:color w:val="auto"/>
                      <w:kern w:val="0"/>
                      <w:szCs w:val="21"/>
                    </w:rPr>
                  </w:pPr>
                  <w:r>
                    <w:rPr>
                      <w:rFonts w:hint="eastAsia"/>
                      <w:color w:val="auto"/>
                      <w:kern w:val="0"/>
                      <w:szCs w:val="21"/>
                    </w:rPr>
                    <w:t>/</w:t>
                  </w:r>
                </w:p>
              </w:tc>
              <w:tc>
                <w:tcPr>
                  <w:tcW w:w="1645" w:type="dxa"/>
                  <w:vAlign w:val="center"/>
                </w:tcPr>
                <w:p w14:paraId="1BEE2182">
                  <w:pPr>
                    <w:pStyle w:val="16"/>
                    <w:spacing w:after="0" w:line="276" w:lineRule="auto"/>
                    <w:ind w:left="0" w:leftChars="0"/>
                    <w:jc w:val="center"/>
                    <w:rPr>
                      <w:color w:val="auto"/>
                      <w:kern w:val="0"/>
                      <w:szCs w:val="21"/>
                    </w:rPr>
                  </w:pPr>
                  <w:r>
                    <w:rPr>
                      <w:rFonts w:hint="eastAsia"/>
                      <w:color w:val="auto"/>
                      <w:kern w:val="0"/>
                      <w:szCs w:val="21"/>
                    </w:rPr>
                    <w:t>/</w:t>
                  </w:r>
                </w:p>
              </w:tc>
            </w:tr>
            <w:tr w14:paraId="34A8925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1045" w:type="dxa"/>
                  <w:vMerge w:val="continue"/>
                  <w:vAlign w:val="center"/>
                </w:tcPr>
                <w:p w14:paraId="563D6824">
                  <w:pPr>
                    <w:pStyle w:val="16"/>
                    <w:spacing w:after="0" w:line="276" w:lineRule="auto"/>
                    <w:ind w:left="0" w:leftChars="0"/>
                    <w:jc w:val="center"/>
                    <w:rPr>
                      <w:color w:val="auto"/>
                      <w:kern w:val="0"/>
                      <w:szCs w:val="21"/>
                    </w:rPr>
                  </w:pPr>
                </w:p>
              </w:tc>
              <w:tc>
                <w:tcPr>
                  <w:tcW w:w="2122" w:type="dxa"/>
                  <w:vAlign w:val="center"/>
                </w:tcPr>
                <w:p w14:paraId="74C70A39">
                  <w:pPr>
                    <w:pStyle w:val="16"/>
                    <w:spacing w:after="0" w:line="276" w:lineRule="auto"/>
                    <w:ind w:left="0" w:leftChars="0"/>
                    <w:jc w:val="center"/>
                    <w:rPr>
                      <w:color w:val="auto"/>
                      <w:kern w:val="0"/>
                      <w:szCs w:val="21"/>
                    </w:rPr>
                  </w:pPr>
                  <w:r>
                    <w:rPr>
                      <w:rFonts w:hint="eastAsia"/>
                      <w:color w:val="auto"/>
                      <w:kern w:val="0"/>
                      <w:szCs w:val="21"/>
                    </w:rPr>
                    <w:t>废过滤材料（废滤筒、废分子筛吸附剂）</w:t>
                  </w:r>
                </w:p>
              </w:tc>
              <w:tc>
                <w:tcPr>
                  <w:tcW w:w="1785" w:type="dxa"/>
                  <w:vAlign w:val="center"/>
                </w:tcPr>
                <w:p w14:paraId="179A9F4D">
                  <w:pPr>
                    <w:pStyle w:val="16"/>
                    <w:spacing w:after="0" w:line="276" w:lineRule="auto"/>
                    <w:ind w:left="0" w:leftChars="0"/>
                    <w:jc w:val="center"/>
                    <w:rPr>
                      <w:color w:val="auto"/>
                      <w:kern w:val="0"/>
                      <w:szCs w:val="21"/>
                    </w:rPr>
                  </w:pPr>
                  <w:r>
                    <w:rPr>
                      <w:rFonts w:hint="eastAsia"/>
                      <w:color w:val="auto"/>
                      <w:kern w:val="0"/>
                      <w:szCs w:val="21"/>
                    </w:rPr>
                    <w:t>3.5</w:t>
                  </w:r>
                </w:p>
              </w:tc>
              <w:tc>
                <w:tcPr>
                  <w:tcW w:w="1383" w:type="dxa"/>
                  <w:vAlign w:val="center"/>
                </w:tcPr>
                <w:p w14:paraId="5ECA4CA5">
                  <w:pPr>
                    <w:pStyle w:val="16"/>
                    <w:spacing w:after="0" w:line="276" w:lineRule="auto"/>
                    <w:ind w:left="0" w:leftChars="0"/>
                    <w:jc w:val="center"/>
                    <w:rPr>
                      <w:color w:val="auto"/>
                      <w:kern w:val="0"/>
                      <w:szCs w:val="21"/>
                    </w:rPr>
                  </w:pPr>
                  <w:r>
                    <w:rPr>
                      <w:rFonts w:hint="eastAsia"/>
                      <w:color w:val="auto"/>
                      <w:kern w:val="0"/>
                      <w:szCs w:val="21"/>
                    </w:rPr>
                    <w:t>/</w:t>
                  </w:r>
                </w:p>
              </w:tc>
              <w:tc>
                <w:tcPr>
                  <w:tcW w:w="1645" w:type="dxa"/>
                  <w:vAlign w:val="center"/>
                </w:tcPr>
                <w:p w14:paraId="27FD4F07">
                  <w:pPr>
                    <w:pStyle w:val="16"/>
                    <w:spacing w:after="0" w:line="276" w:lineRule="auto"/>
                    <w:ind w:left="0" w:leftChars="0"/>
                    <w:jc w:val="center"/>
                    <w:rPr>
                      <w:color w:val="auto"/>
                      <w:kern w:val="0"/>
                      <w:szCs w:val="21"/>
                    </w:rPr>
                  </w:pPr>
                  <w:r>
                    <w:rPr>
                      <w:rFonts w:hint="eastAsia"/>
                      <w:color w:val="auto"/>
                      <w:kern w:val="0"/>
                      <w:szCs w:val="21"/>
                    </w:rPr>
                    <w:t>/</w:t>
                  </w:r>
                </w:p>
              </w:tc>
            </w:tr>
          </w:tbl>
          <w:p w14:paraId="51A2C563">
            <w:pPr>
              <w:pStyle w:val="243"/>
              <w:rPr>
                <w:color w:val="auto"/>
              </w:rPr>
            </w:pPr>
            <w:r>
              <w:rPr>
                <w:rFonts w:hint="eastAsia"/>
                <w:b/>
                <w:color w:val="auto"/>
                <w:kern w:val="0"/>
              </w:rPr>
              <w:t>注：废气污染物</w:t>
            </w:r>
            <w:r>
              <w:rPr>
                <w:rFonts w:hint="eastAsia" w:ascii="宋体" w:hAnsi="宋体"/>
                <w:b/>
                <w:color w:val="auto"/>
                <w:kern w:val="0"/>
              </w:rPr>
              <w:t>排放量数据来源自主验收报告；环评核算总量来源环评文件</w:t>
            </w:r>
            <w:r>
              <w:rPr>
                <w:rFonts w:hint="eastAsia"/>
                <w:b/>
                <w:color w:val="auto"/>
                <w:kern w:val="0"/>
              </w:rPr>
              <w:t>。</w:t>
            </w:r>
          </w:p>
          <w:p w14:paraId="5738B3F7">
            <w:pPr>
              <w:pStyle w:val="16"/>
              <w:spacing w:after="0" w:line="360" w:lineRule="auto"/>
              <w:ind w:left="0" w:leftChars="0" w:firstLine="482" w:firstLineChars="200"/>
              <w:rPr>
                <w:b/>
                <w:color w:val="auto"/>
                <w:kern w:val="0"/>
                <w:sz w:val="24"/>
              </w:rPr>
            </w:pPr>
            <w:r>
              <w:rPr>
                <w:rFonts w:hint="eastAsia"/>
                <w:b/>
                <w:color w:val="auto"/>
                <w:kern w:val="0"/>
                <w:sz w:val="24"/>
              </w:rPr>
              <w:t>4、现有项目排污许可执行情况</w:t>
            </w:r>
          </w:p>
          <w:p w14:paraId="42567801">
            <w:pPr>
              <w:pStyle w:val="16"/>
              <w:spacing w:after="0" w:line="360" w:lineRule="auto"/>
              <w:ind w:left="0" w:leftChars="0" w:firstLine="480" w:firstLineChars="200"/>
              <w:rPr>
                <w:color w:val="auto"/>
                <w:kern w:val="0"/>
                <w:sz w:val="24"/>
              </w:rPr>
            </w:pPr>
            <w:r>
              <w:rPr>
                <w:rFonts w:hint="eastAsia"/>
                <w:color w:val="auto"/>
                <w:kern w:val="0"/>
                <w:sz w:val="24"/>
              </w:rPr>
              <w:t>安徽发强玻璃有限责任公司于2020年7月13日申领了排污许可证，2021年由于项目变动，并于2021年8月11日经淮南市生态环境局同意，重新申领了排污许可证，排污许可证书编号：913404007316866910001U，排污许可证有效期限为2021年8月11日至2026年8月10日止；因2024年10月1日起企业需执行</w:t>
            </w:r>
            <w:r>
              <w:rPr>
                <w:rFonts w:hAnsi="宋体"/>
                <w:color w:val="auto"/>
                <w:sz w:val="24"/>
              </w:rPr>
              <w:t>《安徽省玻璃工业大气污染物排放标准》（</w:t>
            </w:r>
            <w:r>
              <w:rPr>
                <w:rFonts w:hint="eastAsia" w:hAnsi="宋体"/>
                <w:color w:val="auto"/>
                <w:sz w:val="24"/>
              </w:rPr>
              <w:t>DB34/4295-2022</w:t>
            </w:r>
            <w:r>
              <w:rPr>
                <w:rFonts w:hAnsi="宋体"/>
                <w:color w:val="auto"/>
                <w:sz w:val="24"/>
              </w:rPr>
              <w:t>）中相关限值要求，</w:t>
            </w:r>
            <w:r>
              <w:rPr>
                <w:rFonts w:hint="eastAsia"/>
                <w:color w:val="auto"/>
                <w:kern w:val="0"/>
                <w:sz w:val="24"/>
              </w:rPr>
              <w:t>2024年9月29日变更了排污许可，目前在有效期内。排污许可证申请以来，企业严格按照规范填报排污许可证执行报告，无严重环保失信严重环境违法行为。</w:t>
            </w:r>
          </w:p>
          <w:p w14:paraId="16E1A818">
            <w:pPr>
              <w:pStyle w:val="16"/>
              <w:spacing w:after="0" w:line="360" w:lineRule="auto"/>
              <w:ind w:left="0" w:leftChars="0" w:firstLine="482" w:firstLineChars="200"/>
              <w:rPr>
                <w:b/>
                <w:color w:val="auto"/>
                <w:kern w:val="0"/>
                <w:sz w:val="24"/>
              </w:rPr>
            </w:pPr>
            <w:r>
              <w:rPr>
                <w:rFonts w:hint="eastAsia"/>
                <w:b/>
                <w:color w:val="auto"/>
                <w:kern w:val="0"/>
                <w:sz w:val="24"/>
              </w:rPr>
              <w:t>5、现有项目存在的环境问题及整改要求</w:t>
            </w:r>
          </w:p>
          <w:p w14:paraId="39557279">
            <w:pPr>
              <w:pStyle w:val="16"/>
              <w:spacing w:after="0" w:line="360" w:lineRule="auto"/>
              <w:ind w:left="0" w:leftChars="0" w:firstLine="480" w:firstLineChars="200"/>
              <w:rPr>
                <w:rFonts w:hAnsi="宋体"/>
                <w:color w:val="auto"/>
                <w:sz w:val="24"/>
              </w:rPr>
            </w:pPr>
            <w:r>
              <w:rPr>
                <w:color w:val="auto"/>
                <w:sz w:val="24"/>
              </w:rPr>
              <w:t>企业</w:t>
            </w:r>
            <w:r>
              <w:rPr>
                <w:rFonts w:hint="eastAsia"/>
                <w:color w:val="auto"/>
                <w:sz w:val="24"/>
              </w:rPr>
              <w:t>已于2024年9月29日变更排污许可，自</w:t>
            </w:r>
            <w:r>
              <w:rPr>
                <w:color w:val="auto"/>
                <w:sz w:val="24"/>
              </w:rPr>
              <w:t>2024</w:t>
            </w:r>
            <w:r>
              <w:rPr>
                <w:rFonts w:hAnsi="宋体"/>
                <w:color w:val="auto"/>
                <w:sz w:val="24"/>
              </w:rPr>
              <w:t>年</w:t>
            </w:r>
            <w:r>
              <w:rPr>
                <w:color w:val="auto"/>
                <w:sz w:val="24"/>
              </w:rPr>
              <w:t>10</w:t>
            </w:r>
            <w:r>
              <w:rPr>
                <w:rFonts w:hAnsi="宋体"/>
                <w:color w:val="auto"/>
                <w:sz w:val="24"/>
              </w:rPr>
              <w:t>月</w:t>
            </w:r>
            <w:r>
              <w:rPr>
                <w:color w:val="auto"/>
                <w:sz w:val="24"/>
              </w:rPr>
              <w:t>1</w:t>
            </w:r>
            <w:r>
              <w:rPr>
                <w:rFonts w:hAnsi="宋体"/>
                <w:color w:val="auto"/>
                <w:sz w:val="24"/>
              </w:rPr>
              <w:t>日起，企业</w:t>
            </w:r>
            <w:r>
              <w:rPr>
                <w:color w:val="auto"/>
                <w:sz w:val="24"/>
              </w:rPr>
              <w:t>1#</w:t>
            </w:r>
            <w:r>
              <w:rPr>
                <w:rFonts w:hAnsi="宋体"/>
                <w:color w:val="auto"/>
                <w:sz w:val="24"/>
              </w:rPr>
              <w:t>、</w:t>
            </w:r>
            <w:r>
              <w:rPr>
                <w:color w:val="auto"/>
                <w:sz w:val="24"/>
              </w:rPr>
              <w:t>2#、</w:t>
            </w:r>
            <w:r>
              <w:rPr>
                <w:rFonts w:hint="eastAsia"/>
                <w:color w:val="auto"/>
                <w:sz w:val="24"/>
              </w:rPr>
              <w:t>3#、4#</w:t>
            </w:r>
            <w:r>
              <w:rPr>
                <w:rFonts w:hAnsi="宋体"/>
                <w:color w:val="auto"/>
                <w:sz w:val="24"/>
              </w:rPr>
              <w:t>玻璃炉窑烟气颗粒物、二氧化硫、氮氧化物、氨排放均需执行《安徽省玻璃工业大气污染物排放标准》（</w:t>
            </w:r>
            <w:r>
              <w:rPr>
                <w:rFonts w:hint="eastAsia" w:hAnsi="宋体"/>
                <w:color w:val="auto"/>
                <w:sz w:val="24"/>
              </w:rPr>
              <w:t>DB34/4295-2022</w:t>
            </w:r>
            <w:r>
              <w:rPr>
                <w:rFonts w:hAnsi="宋体"/>
                <w:color w:val="auto"/>
                <w:sz w:val="24"/>
              </w:rPr>
              <w:t>）中相关限值要求，具体如下：</w:t>
            </w:r>
          </w:p>
          <w:p w14:paraId="084A61FB">
            <w:pPr>
              <w:pStyle w:val="16"/>
              <w:spacing w:after="0" w:line="360" w:lineRule="auto"/>
              <w:ind w:left="0" w:leftChars="0"/>
              <w:jc w:val="center"/>
              <w:rPr>
                <w:color w:val="auto"/>
                <w:kern w:val="0"/>
                <w:sz w:val="24"/>
              </w:rPr>
            </w:pPr>
            <w:r>
              <w:rPr>
                <w:rFonts w:hint="eastAsia" w:hAnsi="黑体" w:eastAsia="黑体"/>
                <w:color w:val="auto"/>
                <w:sz w:val="24"/>
              </w:rPr>
              <w:t xml:space="preserve">表30 </w:t>
            </w:r>
            <w:r>
              <w:rPr>
                <w:rFonts w:hAnsi="黑体" w:eastAsia="黑体"/>
                <w:color w:val="auto"/>
                <w:sz w:val="24"/>
              </w:rPr>
              <w:t xml:space="preserve"> 安徽省玻璃工业</w:t>
            </w:r>
            <w:r>
              <w:rPr>
                <w:rFonts w:hint="eastAsia" w:hAnsi="黑体" w:eastAsia="黑体"/>
                <w:color w:val="auto"/>
                <w:sz w:val="24"/>
              </w:rPr>
              <w:t>大气污染物排放标准限值要求  单位：mg/m</w:t>
            </w:r>
            <w:r>
              <w:rPr>
                <w:rFonts w:hint="eastAsia" w:hAnsi="黑体" w:eastAsia="黑体"/>
                <w:color w:val="auto"/>
                <w:sz w:val="24"/>
                <w:vertAlign w:val="superscript"/>
              </w:rPr>
              <w:t>3</w:t>
            </w:r>
          </w:p>
          <w:tbl>
            <w:tblPr>
              <w:tblStyle w:val="35"/>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2126"/>
              <w:gridCol w:w="1560"/>
              <w:gridCol w:w="2020"/>
              <w:gridCol w:w="1611"/>
            </w:tblGrid>
            <w:tr w14:paraId="3BD5CA8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1F6416FE">
                  <w:pPr>
                    <w:pStyle w:val="16"/>
                    <w:spacing w:after="0" w:line="276" w:lineRule="auto"/>
                    <w:ind w:left="0" w:leftChars="0"/>
                    <w:jc w:val="center"/>
                    <w:rPr>
                      <w:rFonts w:hAnsi="宋体"/>
                      <w:b/>
                      <w:color w:val="auto"/>
                      <w:szCs w:val="21"/>
                    </w:rPr>
                  </w:pPr>
                  <w:r>
                    <w:rPr>
                      <w:rFonts w:hAnsi="宋体"/>
                      <w:b/>
                      <w:color w:val="auto"/>
                      <w:szCs w:val="21"/>
                    </w:rPr>
                    <w:t>序号</w:t>
                  </w:r>
                </w:p>
              </w:tc>
              <w:tc>
                <w:tcPr>
                  <w:tcW w:w="2126" w:type="dxa"/>
                  <w:vAlign w:val="center"/>
                </w:tcPr>
                <w:p w14:paraId="7D184954">
                  <w:pPr>
                    <w:pStyle w:val="16"/>
                    <w:spacing w:after="0" w:line="276" w:lineRule="auto"/>
                    <w:ind w:left="0" w:leftChars="0"/>
                    <w:jc w:val="center"/>
                    <w:rPr>
                      <w:rFonts w:hAnsi="宋体"/>
                      <w:b/>
                      <w:color w:val="auto"/>
                      <w:szCs w:val="21"/>
                    </w:rPr>
                  </w:pPr>
                  <w:r>
                    <w:rPr>
                      <w:rFonts w:hAnsi="宋体"/>
                      <w:b/>
                      <w:color w:val="auto"/>
                      <w:szCs w:val="21"/>
                    </w:rPr>
                    <w:t>污染物项目</w:t>
                  </w:r>
                </w:p>
              </w:tc>
              <w:tc>
                <w:tcPr>
                  <w:tcW w:w="1560" w:type="dxa"/>
                  <w:vAlign w:val="center"/>
                </w:tcPr>
                <w:p w14:paraId="4A95354C">
                  <w:pPr>
                    <w:pStyle w:val="16"/>
                    <w:spacing w:after="0" w:line="276" w:lineRule="auto"/>
                    <w:ind w:left="0" w:leftChars="0"/>
                    <w:jc w:val="center"/>
                    <w:rPr>
                      <w:rFonts w:hAnsi="宋体"/>
                      <w:b/>
                      <w:color w:val="auto"/>
                      <w:szCs w:val="21"/>
                    </w:rPr>
                  </w:pPr>
                  <w:r>
                    <w:rPr>
                      <w:rFonts w:hAnsi="宋体"/>
                      <w:b/>
                      <w:color w:val="auto"/>
                      <w:szCs w:val="21"/>
                    </w:rPr>
                    <w:t>玻璃</w:t>
                  </w:r>
                  <w:r>
                    <w:rPr>
                      <w:rFonts w:hint="eastAsia" w:hAnsi="宋体"/>
                      <w:b/>
                      <w:color w:val="auto"/>
                      <w:szCs w:val="21"/>
                    </w:rPr>
                    <w:t>熔窑</w:t>
                  </w:r>
                </w:p>
              </w:tc>
              <w:tc>
                <w:tcPr>
                  <w:tcW w:w="2020" w:type="dxa"/>
                  <w:vAlign w:val="center"/>
                </w:tcPr>
                <w:p w14:paraId="445DD49F">
                  <w:pPr>
                    <w:pStyle w:val="16"/>
                    <w:spacing w:after="0" w:line="276" w:lineRule="auto"/>
                    <w:ind w:left="0" w:leftChars="0"/>
                    <w:jc w:val="center"/>
                    <w:rPr>
                      <w:rFonts w:hAnsi="宋体"/>
                      <w:b/>
                      <w:color w:val="auto"/>
                      <w:szCs w:val="21"/>
                    </w:rPr>
                  </w:pPr>
                  <w:r>
                    <w:rPr>
                      <w:rFonts w:hAnsi="宋体"/>
                      <w:b/>
                      <w:color w:val="auto"/>
                      <w:szCs w:val="21"/>
                    </w:rPr>
                    <w:t>配料、碎玻璃等其他通风生产设备</w:t>
                  </w:r>
                </w:p>
              </w:tc>
              <w:tc>
                <w:tcPr>
                  <w:tcW w:w="1611" w:type="dxa"/>
                  <w:vAlign w:val="center"/>
                </w:tcPr>
                <w:p w14:paraId="46D6B9DA">
                  <w:pPr>
                    <w:pStyle w:val="16"/>
                    <w:spacing w:after="0" w:line="276" w:lineRule="auto"/>
                    <w:ind w:left="0" w:leftChars="0"/>
                    <w:jc w:val="center"/>
                    <w:rPr>
                      <w:rFonts w:hAnsi="宋体"/>
                      <w:b/>
                      <w:color w:val="auto"/>
                      <w:szCs w:val="21"/>
                    </w:rPr>
                  </w:pPr>
                  <w:r>
                    <w:rPr>
                      <w:rFonts w:hAnsi="宋体"/>
                      <w:b/>
                      <w:color w:val="auto"/>
                      <w:szCs w:val="21"/>
                    </w:rPr>
                    <w:t>污染物排放监控位置</w:t>
                  </w:r>
                </w:p>
              </w:tc>
            </w:tr>
            <w:tr w14:paraId="7EB05B9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4341468A">
                  <w:pPr>
                    <w:pStyle w:val="16"/>
                    <w:spacing w:after="0" w:line="276" w:lineRule="auto"/>
                    <w:ind w:left="0" w:leftChars="0"/>
                    <w:jc w:val="center"/>
                    <w:rPr>
                      <w:rFonts w:hAnsi="宋体"/>
                      <w:color w:val="auto"/>
                      <w:szCs w:val="21"/>
                    </w:rPr>
                  </w:pPr>
                  <w:r>
                    <w:rPr>
                      <w:rFonts w:hint="eastAsia" w:hAnsi="宋体"/>
                      <w:color w:val="auto"/>
                      <w:szCs w:val="21"/>
                    </w:rPr>
                    <w:t>1</w:t>
                  </w:r>
                </w:p>
              </w:tc>
              <w:tc>
                <w:tcPr>
                  <w:tcW w:w="2126" w:type="dxa"/>
                  <w:vAlign w:val="center"/>
                </w:tcPr>
                <w:p w14:paraId="28FEBF37">
                  <w:pPr>
                    <w:pStyle w:val="16"/>
                    <w:spacing w:after="0" w:line="276" w:lineRule="auto"/>
                    <w:ind w:left="0" w:leftChars="0"/>
                    <w:jc w:val="center"/>
                    <w:rPr>
                      <w:rFonts w:hAnsi="宋体"/>
                      <w:color w:val="auto"/>
                      <w:szCs w:val="21"/>
                    </w:rPr>
                  </w:pPr>
                  <w:r>
                    <w:rPr>
                      <w:rFonts w:hAnsi="宋体"/>
                      <w:color w:val="auto"/>
                      <w:szCs w:val="21"/>
                    </w:rPr>
                    <w:t>颗粒物</w:t>
                  </w:r>
                </w:p>
              </w:tc>
              <w:tc>
                <w:tcPr>
                  <w:tcW w:w="1560" w:type="dxa"/>
                  <w:vAlign w:val="center"/>
                </w:tcPr>
                <w:p w14:paraId="060AC512">
                  <w:pPr>
                    <w:pStyle w:val="16"/>
                    <w:spacing w:after="0" w:line="276" w:lineRule="auto"/>
                    <w:ind w:left="0" w:leftChars="0"/>
                    <w:jc w:val="center"/>
                    <w:rPr>
                      <w:rFonts w:hAnsi="宋体"/>
                      <w:color w:val="auto"/>
                      <w:szCs w:val="21"/>
                    </w:rPr>
                  </w:pPr>
                  <w:r>
                    <w:rPr>
                      <w:rFonts w:hint="eastAsia" w:hAnsi="宋体"/>
                      <w:color w:val="auto"/>
                      <w:szCs w:val="21"/>
                    </w:rPr>
                    <w:t>20（10</w:t>
                  </w:r>
                  <w:r>
                    <w:rPr>
                      <w:rFonts w:hint="eastAsia" w:hAnsi="宋体"/>
                      <w:color w:val="auto"/>
                      <w:szCs w:val="21"/>
                      <w:vertAlign w:val="superscript"/>
                    </w:rPr>
                    <w:t>a</w:t>
                  </w:r>
                  <w:r>
                    <w:rPr>
                      <w:rFonts w:hint="eastAsia" w:hAnsi="宋体"/>
                      <w:color w:val="auto"/>
                      <w:szCs w:val="21"/>
                    </w:rPr>
                    <w:t>）</w:t>
                  </w:r>
                </w:p>
              </w:tc>
              <w:tc>
                <w:tcPr>
                  <w:tcW w:w="2020" w:type="dxa"/>
                  <w:vAlign w:val="center"/>
                </w:tcPr>
                <w:p w14:paraId="581A3164">
                  <w:pPr>
                    <w:pStyle w:val="16"/>
                    <w:spacing w:after="0" w:line="276" w:lineRule="auto"/>
                    <w:ind w:left="0" w:leftChars="0"/>
                    <w:jc w:val="center"/>
                    <w:rPr>
                      <w:rFonts w:hAnsi="宋体"/>
                      <w:color w:val="auto"/>
                      <w:szCs w:val="21"/>
                    </w:rPr>
                  </w:pPr>
                  <w:r>
                    <w:rPr>
                      <w:rFonts w:hint="eastAsia" w:hAnsi="宋体"/>
                      <w:color w:val="auto"/>
                      <w:szCs w:val="21"/>
                    </w:rPr>
                    <w:t>20</w:t>
                  </w:r>
                </w:p>
              </w:tc>
              <w:tc>
                <w:tcPr>
                  <w:tcW w:w="1611" w:type="dxa"/>
                  <w:vMerge w:val="restart"/>
                  <w:vAlign w:val="center"/>
                </w:tcPr>
                <w:p w14:paraId="221F90D5">
                  <w:pPr>
                    <w:pStyle w:val="16"/>
                    <w:spacing w:after="0" w:line="276" w:lineRule="auto"/>
                    <w:ind w:left="0" w:leftChars="0"/>
                    <w:jc w:val="center"/>
                    <w:rPr>
                      <w:rFonts w:hAnsi="宋体"/>
                      <w:color w:val="auto"/>
                      <w:szCs w:val="21"/>
                    </w:rPr>
                  </w:pPr>
                  <w:r>
                    <w:rPr>
                      <w:rFonts w:hAnsi="宋体"/>
                      <w:color w:val="auto"/>
                      <w:szCs w:val="21"/>
                    </w:rPr>
                    <w:t>车间或生产设施排气筒</w:t>
                  </w:r>
                </w:p>
              </w:tc>
            </w:tr>
            <w:tr w14:paraId="0FA9002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49A6D119">
                  <w:pPr>
                    <w:pStyle w:val="16"/>
                    <w:spacing w:after="0" w:line="276" w:lineRule="auto"/>
                    <w:ind w:left="0" w:leftChars="0"/>
                    <w:jc w:val="center"/>
                    <w:rPr>
                      <w:rFonts w:hAnsi="宋体"/>
                      <w:color w:val="auto"/>
                      <w:szCs w:val="21"/>
                    </w:rPr>
                  </w:pPr>
                  <w:r>
                    <w:rPr>
                      <w:rFonts w:hint="eastAsia" w:hAnsi="宋体"/>
                      <w:color w:val="auto"/>
                      <w:szCs w:val="21"/>
                    </w:rPr>
                    <w:t>2</w:t>
                  </w:r>
                </w:p>
              </w:tc>
              <w:tc>
                <w:tcPr>
                  <w:tcW w:w="2126" w:type="dxa"/>
                  <w:vAlign w:val="center"/>
                </w:tcPr>
                <w:p w14:paraId="75945EB2">
                  <w:pPr>
                    <w:pStyle w:val="16"/>
                    <w:spacing w:after="0" w:line="276" w:lineRule="auto"/>
                    <w:ind w:left="0" w:leftChars="0"/>
                    <w:jc w:val="center"/>
                    <w:rPr>
                      <w:rFonts w:hAnsi="宋体"/>
                      <w:color w:val="auto"/>
                      <w:szCs w:val="21"/>
                    </w:rPr>
                  </w:pPr>
                  <w:r>
                    <w:rPr>
                      <w:rFonts w:hAnsi="宋体"/>
                      <w:color w:val="auto"/>
                      <w:szCs w:val="21"/>
                    </w:rPr>
                    <w:t>二氧化硫</w:t>
                  </w:r>
                </w:p>
              </w:tc>
              <w:tc>
                <w:tcPr>
                  <w:tcW w:w="1560" w:type="dxa"/>
                  <w:vAlign w:val="center"/>
                </w:tcPr>
                <w:p w14:paraId="5D0AE3A4">
                  <w:pPr>
                    <w:pStyle w:val="16"/>
                    <w:spacing w:after="0" w:line="276" w:lineRule="auto"/>
                    <w:ind w:left="0" w:leftChars="0"/>
                    <w:jc w:val="center"/>
                    <w:rPr>
                      <w:rFonts w:hAnsi="宋体"/>
                      <w:color w:val="auto"/>
                      <w:szCs w:val="21"/>
                    </w:rPr>
                  </w:pPr>
                  <w:r>
                    <w:rPr>
                      <w:rFonts w:hint="eastAsia" w:hAnsi="宋体"/>
                      <w:color w:val="auto"/>
                      <w:szCs w:val="21"/>
                    </w:rPr>
                    <w:t>100</w:t>
                  </w:r>
                </w:p>
              </w:tc>
              <w:tc>
                <w:tcPr>
                  <w:tcW w:w="2020" w:type="dxa"/>
                  <w:vAlign w:val="center"/>
                </w:tcPr>
                <w:p w14:paraId="5DD254D4">
                  <w:pPr>
                    <w:pStyle w:val="16"/>
                    <w:spacing w:after="0" w:line="276" w:lineRule="auto"/>
                    <w:ind w:left="0" w:leftChars="0"/>
                    <w:jc w:val="center"/>
                    <w:rPr>
                      <w:rFonts w:hAnsi="宋体"/>
                      <w:color w:val="auto"/>
                      <w:szCs w:val="21"/>
                    </w:rPr>
                  </w:pPr>
                  <w:r>
                    <w:rPr>
                      <w:rFonts w:hint="eastAsia" w:hAnsi="宋体"/>
                      <w:color w:val="auto"/>
                      <w:szCs w:val="21"/>
                    </w:rPr>
                    <w:t>-</w:t>
                  </w:r>
                </w:p>
              </w:tc>
              <w:tc>
                <w:tcPr>
                  <w:tcW w:w="1611" w:type="dxa"/>
                  <w:vMerge w:val="continue"/>
                  <w:vAlign w:val="center"/>
                </w:tcPr>
                <w:p w14:paraId="6FB0ED63">
                  <w:pPr>
                    <w:pStyle w:val="16"/>
                    <w:spacing w:after="0" w:line="276" w:lineRule="auto"/>
                    <w:ind w:left="0" w:leftChars="0"/>
                    <w:jc w:val="center"/>
                    <w:rPr>
                      <w:rFonts w:hAnsi="宋体"/>
                      <w:color w:val="auto"/>
                      <w:szCs w:val="21"/>
                    </w:rPr>
                  </w:pPr>
                </w:p>
              </w:tc>
            </w:tr>
            <w:tr w14:paraId="13F1CEC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629B254F">
                  <w:pPr>
                    <w:pStyle w:val="16"/>
                    <w:spacing w:after="0" w:line="276" w:lineRule="auto"/>
                    <w:ind w:left="0" w:leftChars="0"/>
                    <w:jc w:val="center"/>
                    <w:rPr>
                      <w:rFonts w:hAnsi="宋体"/>
                      <w:color w:val="auto"/>
                      <w:szCs w:val="21"/>
                    </w:rPr>
                  </w:pPr>
                  <w:r>
                    <w:rPr>
                      <w:rFonts w:hint="eastAsia" w:hAnsi="宋体"/>
                      <w:color w:val="auto"/>
                      <w:szCs w:val="21"/>
                    </w:rPr>
                    <w:t>3</w:t>
                  </w:r>
                </w:p>
              </w:tc>
              <w:tc>
                <w:tcPr>
                  <w:tcW w:w="2126" w:type="dxa"/>
                  <w:vAlign w:val="center"/>
                </w:tcPr>
                <w:p w14:paraId="783EB04B">
                  <w:pPr>
                    <w:pStyle w:val="16"/>
                    <w:spacing w:after="0" w:line="276" w:lineRule="auto"/>
                    <w:ind w:left="0" w:leftChars="0"/>
                    <w:jc w:val="center"/>
                    <w:rPr>
                      <w:rFonts w:hAnsi="宋体"/>
                      <w:color w:val="auto"/>
                      <w:szCs w:val="21"/>
                    </w:rPr>
                  </w:pPr>
                  <w:r>
                    <w:rPr>
                      <w:rFonts w:hAnsi="宋体"/>
                      <w:color w:val="auto"/>
                      <w:szCs w:val="21"/>
                    </w:rPr>
                    <w:t>氮氧化物（以</w:t>
                  </w:r>
                  <w:r>
                    <w:rPr>
                      <w:rFonts w:hint="eastAsia" w:hAnsi="宋体"/>
                      <w:color w:val="auto"/>
                      <w:szCs w:val="21"/>
                    </w:rPr>
                    <w:t>NO</w:t>
                  </w:r>
                  <w:r>
                    <w:rPr>
                      <w:rFonts w:hint="eastAsia" w:hAnsi="宋体"/>
                      <w:color w:val="auto"/>
                      <w:szCs w:val="21"/>
                      <w:vertAlign w:val="subscript"/>
                    </w:rPr>
                    <w:t>2</w:t>
                  </w:r>
                  <w:r>
                    <w:rPr>
                      <w:rFonts w:hint="eastAsia" w:hAnsi="宋体"/>
                      <w:color w:val="auto"/>
                      <w:szCs w:val="21"/>
                    </w:rPr>
                    <w:t>计</w:t>
                  </w:r>
                  <w:r>
                    <w:rPr>
                      <w:rFonts w:hAnsi="宋体"/>
                      <w:color w:val="auto"/>
                      <w:szCs w:val="21"/>
                    </w:rPr>
                    <w:t>）</w:t>
                  </w:r>
                </w:p>
              </w:tc>
              <w:tc>
                <w:tcPr>
                  <w:tcW w:w="1560" w:type="dxa"/>
                  <w:vAlign w:val="center"/>
                </w:tcPr>
                <w:p w14:paraId="460F6695">
                  <w:pPr>
                    <w:pStyle w:val="16"/>
                    <w:spacing w:after="0" w:line="276" w:lineRule="auto"/>
                    <w:ind w:left="0" w:leftChars="0"/>
                    <w:jc w:val="center"/>
                    <w:rPr>
                      <w:rFonts w:hAnsi="宋体"/>
                      <w:color w:val="auto"/>
                      <w:szCs w:val="21"/>
                    </w:rPr>
                  </w:pPr>
                  <w:r>
                    <w:rPr>
                      <w:rFonts w:hint="eastAsia" w:hAnsi="宋体"/>
                      <w:color w:val="auto"/>
                      <w:szCs w:val="21"/>
                    </w:rPr>
                    <w:t>200</w:t>
                  </w:r>
                </w:p>
              </w:tc>
              <w:tc>
                <w:tcPr>
                  <w:tcW w:w="2020" w:type="dxa"/>
                  <w:vAlign w:val="center"/>
                </w:tcPr>
                <w:p w14:paraId="00069A30">
                  <w:pPr>
                    <w:pStyle w:val="16"/>
                    <w:spacing w:after="0" w:line="276" w:lineRule="auto"/>
                    <w:ind w:left="0" w:leftChars="0"/>
                    <w:jc w:val="center"/>
                    <w:rPr>
                      <w:rFonts w:hAnsi="宋体"/>
                      <w:color w:val="auto"/>
                      <w:szCs w:val="21"/>
                    </w:rPr>
                  </w:pPr>
                  <w:r>
                    <w:rPr>
                      <w:rFonts w:hint="eastAsia" w:hAnsi="宋体"/>
                      <w:color w:val="auto"/>
                      <w:szCs w:val="21"/>
                    </w:rPr>
                    <w:t>-</w:t>
                  </w:r>
                </w:p>
              </w:tc>
              <w:tc>
                <w:tcPr>
                  <w:tcW w:w="1611" w:type="dxa"/>
                  <w:vMerge w:val="continue"/>
                  <w:vAlign w:val="center"/>
                </w:tcPr>
                <w:p w14:paraId="2C165546">
                  <w:pPr>
                    <w:pStyle w:val="16"/>
                    <w:spacing w:after="0" w:line="276" w:lineRule="auto"/>
                    <w:ind w:left="0" w:leftChars="0"/>
                    <w:jc w:val="center"/>
                    <w:rPr>
                      <w:rFonts w:hAnsi="宋体"/>
                      <w:color w:val="auto"/>
                      <w:szCs w:val="21"/>
                    </w:rPr>
                  </w:pPr>
                </w:p>
              </w:tc>
            </w:tr>
            <w:tr w14:paraId="66B1F76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4BECD134">
                  <w:pPr>
                    <w:pStyle w:val="16"/>
                    <w:spacing w:after="0" w:line="276" w:lineRule="auto"/>
                    <w:ind w:left="0" w:leftChars="0"/>
                    <w:jc w:val="center"/>
                    <w:rPr>
                      <w:rFonts w:hAnsi="宋体"/>
                      <w:color w:val="auto"/>
                      <w:szCs w:val="21"/>
                    </w:rPr>
                  </w:pPr>
                  <w:r>
                    <w:rPr>
                      <w:rFonts w:hint="eastAsia" w:hAnsi="宋体"/>
                      <w:color w:val="auto"/>
                      <w:szCs w:val="21"/>
                    </w:rPr>
                    <w:t>4</w:t>
                  </w:r>
                </w:p>
              </w:tc>
              <w:tc>
                <w:tcPr>
                  <w:tcW w:w="2126" w:type="dxa"/>
                  <w:vAlign w:val="center"/>
                </w:tcPr>
                <w:p w14:paraId="27D53604">
                  <w:pPr>
                    <w:pStyle w:val="16"/>
                    <w:spacing w:after="0" w:line="276" w:lineRule="auto"/>
                    <w:ind w:left="0" w:leftChars="0"/>
                    <w:jc w:val="center"/>
                    <w:rPr>
                      <w:rFonts w:hAnsi="宋体"/>
                      <w:color w:val="auto"/>
                      <w:szCs w:val="21"/>
                    </w:rPr>
                  </w:pPr>
                  <w:r>
                    <w:rPr>
                      <w:rFonts w:hAnsi="宋体"/>
                      <w:color w:val="auto"/>
                      <w:szCs w:val="21"/>
                    </w:rPr>
                    <w:t>氨</w:t>
                  </w:r>
                  <w:r>
                    <w:rPr>
                      <w:rFonts w:hint="eastAsia" w:hAnsi="宋体"/>
                      <w:color w:val="auto"/>
                      <w:szCs w:val="21"/>
                      <w:vertAlign w:val="superscript"/>
                    </w:rPr>
                    <w:t>b</w:t>
                  </w:r>
                </w:p>
              </w:tc>
              <w:tc>
                <w:tcPr>
                  <w:tcW w:w="1560" w:type="dxa"/>
                  <w:vAlign w:val="center"/>
                </w:tcPr>
                <w:p w14:paraId="256CADEB">
                  <w:pPr>
                    <w:pStyle w:val="16"/>
                    <w:spacing w:after="0" w:line="276" w:lineRule="auto"/>
                    <w:ind w:left="0" w:leftChars="0"/>
                    <w:jc w:val="center"/>
                    <w:rPr>
                      <w:rFonts w:hAnsi="宋体"/>
                      <w:color w:val="auto"/>
                      <w:szCs w:val="21"/>
                    </w:rPr>
                  </w:pPr>
                  <w:r>
                    <w:rPr>
                      <w:rFonts w:hint="eastAsia" w:hAnsi="宋体"/>
                      <w:color w:val="auto"/>
                      <w:szCs w:val="21"/>
                    </w:rPr>
                    <w:t>8</w:t>
                  </w:r>
                </w:p>
              </w:tc>
              <w:tc>
                <w:tcPr>
                  <w:tcW w:w="2020" w:type="dxa"/>
                  <w:vAlign w:val="center"/>
                </w:tcPr>
                <w:p w14:paraId="7BB63325">
                  <w:pPr>
                    <w:pStyle w:val="16"/>
                    <w:spacing w:after="0" w:line="276" w:lineRule="auto"/>
                    <w:ind w:left="0" w:leftChars="0"/>
                    <w:jc w:val="center"/>
                    <w:rPr>
                      <w:rFonts w:hAnsi="宋体"/>
                      <w:color w:val="auto"/>
                      <w:szCs w:val="21"/>
                    </w:rPr>
                  </w:pPr>
                  <w:r>
                    <w:rPr>
                      <w:rFonts w:hint="eastAsia" w:hAnsi="宋体"/>
                      <w:color w:val="auto"/>
                      <w:szCs w:val="21"/>
                    </w:rPr>
                    <w:t>-</w:t>
                  </w:r>
                </w:p>
              </w:tc>
              <w:tc>
                <w:tcPr>
                  <w:tcW w:w="1611" w:type="dxa"/>
                  <w:vMerge w:val="continue"/>
                  <w:vAlign w:val="center"/>
                </w:tcPr>
                <w:p w14:paraId="096116AF">
                  <w:pPr>
                    <w:pStyle w:val="16"/>
                    <w:spacing w:after="0" w:line="276" w:lineRule="auto"/>
                    <w:ind w:left="0" w:leftChars="0"/>
                    <w:jc w:val="center"/>
                    <w:rPr>
                      <w:rFonts w:hAnsi="宋体"/>
                      <w:color w:val="auto"/>
                      <w:szCs w:val="21"/>
                    </w:rPr>
                  </w:pPr>
                </w:p>
              </w:tc>
            </w:tr>
            <w:tr w14:paraId="2674E16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052" w:type="dxa"/>
                  <w:gridSpan w:val="5"/>
                  <w:vAlign w:val="center"/>
                </w:tcPr>
                <w:p w14:paraId="3C21FC17">
                  <w:pPr>
                    <w:pStyle w:val="16"/>
                    <w:spacing w:after="0" w:line="276" w:lineRule="auto"/>
                    <w:ind w:left="0" w:leftChars="0"/>
                    <w:rPr>
                      <w:rFonts w:hAnsi="宋体"/>
                      <w:color w:val="auto"/>
                      <w:szCs w:val="21"/>
                    </w:rPr>
                  </w:pPr>
                  <w:r>
                    <w:rPr>
                      <w:rFonts w:hAnsi="宋体"/>
                      <w:color w:val="auto"/>
                      <w:szCs w:val="21"/>
                    </w:rPr>
                    <w:t>a</w:t>
                  </w:r>
                  <w:r>
                    <w:rPr>
                      <w:rFonts w:hint="eastAsia" w:hAnsi="宋体"/>
                      <w:color w:val="auto"/>
                      <w:szCs w:val="21"/>
                    </w:rPr>
                    <w:t>平板玻璃熔窑执行该限值。</w:t>
                  </w:r>
                </w:p>
                <w:p w14:paraId="13D8D187">
                  <w:pPr>
                    <w:pStyle w:val="16"/>
                    <w:spacing w:after="0" w:line="276" w:lineRule="auto"/>
                    <w:ind w:left="0" w:leftChars="0"/>
                    <w:rPr>
                      <w:rFonts w:hAnsi="宋体"/>
                      <w:color w:val="auto"/>
                      <w:szCs w:val="21"/>
                    </w:rPr>
                  </w:pPr>
                  <w:r>
                    <w:rPr>
                      <w:rFonts w:hAnsi="宋体"/>
                      <w:color w:val="auto"/>
                      <w:szCs w:val="21"/>
                    </w:rPr>
                    <w:t>b烟气脱硝使用氨水、尿素等含氨</w:t>
                  </w:r>
                  <w:r>
                    <w:rPr>
                      <w:rFonts w:hint="eastAsia" w:hAnsi="宋体"/>
                      <w:color w:val="auto"/>
                      <w:szCs w:val="21"/>
                    </w:rPr>
                    <w:t>物质。</w:t>
                  </w:r>
                </w:p>
              </w:tc>
            </w:tr>
          </w:tbl>
          <w:p w14:paraId="44FF401D">
            <w:pPr>
              <w:pStyle w:val="16"/>
              <w:spacing w:after="0" w:line="360" w:lineRule="auto"/>
              <w:ind w:left="0" w:leftChars="0" w:firstLine="480" w:firstLineChars="200"/>
              <w:rPr>
                <w:rFonts w:hAnsi="宋体"/>
                <w:color w:val="auto"/>
                <w:sz w:val="24"/>
              </w:rPr>
            </w:pPr>
            <w:r>
              <w:rPr>
                <w:rFonts w:hint="eastAsia" w:hAnsi="宋体"/>
                <w:color w:val="auto"/>
                <w:sz w:val="24"/>
              </w:rPr>
              <w:t>由表可知，现有项目1#、</w:t>
            </w:r>
            <w:r>
              <w:rPr>
                <w:color w:val="auto"/>
                <w:sz w:val="24"/>
              </w:rPr>
              <w:t>2#、</w:t>
            </w:r>
            <w:r>
              <w:rPr>
                <w:rFonts w:hint="eastAsia"/>
                <w:color w:val="auto"/>
                <w:sz w:val="24"/>
              </w:rPr>
              <w:t>3#、4#</w:t>
            </w:r>
            <w:r>
              <w:rPr>
                <w:rFonts w:hint="eastAsia" w:hAnsi="宋体"/>
                <w:color w:val="auto"/>
                <w:sz w:val="24"/>
              </w:rPr>
              <w:t>废气排放口颗粒物、二氧化硫、氮氧化物排放限值更严格，2#、3#玻璃窑炉废气处理设施现已提升改造为“</w:t>
            </w:r>
            <w:r>
              <w:rPr>
                <w:rFonts w:hint="eastAsia"/>
                <w:color w:val="auto"/>
                <w:sz w:val="24"/>
              </w:rPr>
              <w:t>脱硫脱硝除尘复合陶瓷滤管一体化</w:t>
            </w:r>
            <w:r>
              <w:rPr>
                <w:rFonts w:hint="eastAsia" w:hAnsi="宋体"/>
                <w:color w:val="auto"/>
                <w:sz w:val="24"/>
              </w:rPr>
              <w:t>”装置，1#玻璃窑炉现采用“布袋除尘器+SCR”，计划于2025年初窑炉冷修时提升改造为“</w:t>
            </w:r>
            <w:r>
              <w:rPr>
                <w:rFonts w:hint="eastAsia"/>
                <w:color w:val="auto"/>
                <w:sz w:val="24"/>
              </w:rPr>
              <w:t>脱硫脱硝除尘复合陶瓷滤管一体化</w:t>
            </w:r>
            <w:r>
              <w:rPr>
                <w:rFonts w:hint="eastAsia" w:hAnsi="宋体"/>
                <w:color w:val="auto"/>
                <w:sz w:val="24"/>
              </w:rPr>
              <w:t>”装置，以满足更严格的安徽省地标要求。</w:t>
            </w:r>
          </w:p>
          <w:p w14:paraId="3688BDA8">
            <w:pPr>
              <w:pStyle w:val="16"/>
              <w:spacing w:after="0" w:line="360" w:lineRule="auto"/>
              <w:ind w:left="0" w:leftChars="0"/>
              <w:jc w:val="left"/>
              <w:rPr>
                <w:rFonts w:hAnsi="宋体"/>
                <w:color w:val="auto"/>
                <w:sz w:val="24"/>
              </w:rPr>
            </w:pPr>
          </w:p>
          <w:p w14:paraId="1833ED5A">
            <w:pPr>
              <w:pStyle w:val="16"/>
              <w:spacing w:after="0" w:line="360" w:lineRule="auto"/>
              <w:ind w:left="0" w:leftChars="0"/>
              <w:jc w:val="left"/>
              <w:rPr>
                <w:rFonts w:hAnsi="宋体"/>
                <w:color w:val="auto"/>
                <w:sz w:val="24"/>
              </w:rPr>
            </w:pPr>
          </w:p>
          <w:p w14:paraId="6228693D">
            <w:pPr>
              <w:pStyle w:val="16"/>
              <w:spacing w:after="0" w:line="360" w:lineRule="auto"/>
              <w:ind w:left="0" w:leftChars="0"/>
              <w:jc w:val="left"/>
              <w:rPr>
                <w:rFonts w:hAnsi="宋体"/>
                <w:color w:val="auto"/>
                <w:sz w:val="24"/>
              </w:rPr>
            </w:pPr>
          </w:p>
          <w:p w14:paraId="26097E5B">
            <w:pPr>
              <w:pStyle w:val="16"/>
              <w:spacing w:after="0" w:line="360" w:lineRule="auto"/>
              <w:ind w:left="0" w:leftChars="0"/>
              <w:jc w:val="left"/>
              <w:rPr>
                <w:rFonts w:hAnsi="宋体"/>
                <w:color w:val="auto"/>
                <w:sz w:val="24"/>
              </w:rPr>
            </w:pPr>
          </w:p>
          <w:p w14:paraId="1C93ABAF">
            <w:pPr>
              <w:pStyle w:val="16"/>
              <w:spacing w:after="0" w:line="360" w:lineRule="auto"/>
              <w:ind w:left="0" w:leftChars="0"/>
              <w:jc w:val="left"/>
              <w:rPr>
                <w:rFonts w:hAnsi="宋体"/>
                <w:color w:val="auto"/>
                <w:sz w:val="24"/>
              </w:rPr>
            </w:pPr>
          </w:p>
          <w:p w14:paraId="46778240">
            <w:pPr>
              <w:pStyle w:val="16"/>
              <w:spacing w:after="0" w:line="360" w:lineRule="auto"/>
              <w:ind w:left="0" w:leftChars="0"/>
              <w:jc w:val="left"/>
              <w:rPr>
                <w:rFonts w:hAnsi="宋体"/>
                <w:color w:val="auto"/>
                <w:sz w:val="24"/>
              </w:rPr>
            </w:pPr>
          </w:p>
          <w:p w14:paraId="5E984E04">
            <w:pPr>
              <w:pStyle w:val="16"/>
              <w:spacing w:after="0" w:line="360" w:lineRule="auto"/>
              <w:ind w:left="0" w:leftChars="0"/>
              <w:jc w:val="left"/>
              <w:rPr>
                <w:rFonts w:hAnsi="宋体"/>
                <w:color w:val="auto"/>
                <w:sz w:val="24"/>
              </w:rPr>
            </w:pPr>
          </w:p>
          <w:p w14:paraId="5768EEF5">
            <w:pPr>
              <w:pStyle w:val="16"/>
              <w:spacing w:after="0" w:line="360" w:lineRule="auto"/>
              <w:ind w:left="0" w:leftChars="0"/>
              <w:jc w:val="left"/>
              <w:rPr>
                <w:rFonts w:hAnsi="宋体"/>
                <w:color w:val="auto"/>
                <w:sz w:val="24"/>
              </w:rPr>
            </w:pPr>
          </w:p>
          <w:p w14:paraId="6F8ECFA0">
            <w:pPr>
              <w:pStyle w:val="16"/>
              <w:spacing w:after="0" w:line="360" w:lineRule="auto"/>
              <w:ind w:left="0" w:leftChars="0"/>
              <w:jc w:val="left"/>
              <w:rPr>
                <w:rFonts w:hAnsi="宋体"/>
                <w:color w:val="auto"/>
                <w:sz w:val="24"/>
              </w:rPr>
            </w:pPr>
          </w:p>
          <w:p w14:paraId="4DDCF30C">
            <w:pPr>
              <w:pStyle w:val="16"/>
              <w:spacing w:after="0" w:line="360" w:lineRule="auto"/>
              <w:ind w:left="0" w:leftChars="0"/>
              <w:jc w:val="left"/>
              <w:rPr>
                <w:rFonts w:hAnsi="宋体"/>
                <w:color w:val="auto"/>
                <w:sz w:val="24"/>
              </w:rPr>
            </w:pPr>
          </w:p>
          <w:p w14:paraId="317A966A">
            <w:pPr>
              <w:pStyle w:val="16"/>
              <w:spacing w:after="0" w:line="360" w:lineRule="auto"/>
              <w:ind w:left="0" w:leftChars="0"/>
              <w:jc w:val="left"/>
              <w:rPr>
                <w:rFonts w:hAnsi="宋体"/>
                <w:color w:val="auto"/>
                <w:sz w:val="24"/>
              </w:rPr>
            </w:pPr>
          </w:p>
          <w:p w14:paraId="7971980D">
            <w:pPr>
              <w:pStyle w:val="16"/>
              <w:spacing w:after="0" w:line="360" w:lineRule="auto"/>
              <w:ind w:left="0" w:leftChars="0"/>
              <w:jc w:val="left"/>
              <w:rPr>
                <w:rFonts w:hAnsi="宋体"/>
                <w:color w:val="auto"/>
                <w:sz w:val="24"/>
              </w:rPr>
            </w:pPr>
          </w:p>
          <w:p w14:paraId="4A4AB63F">
            <w:pPr>
              <w:pStyle w:val="16"/>
              <w:spacing w:after="0" w:line="360" w:lineRule="auto"/>
              <w:ind w:left="0" w:leftChars="0"/>
              <w:jc w:val="left"/>
              <w:rPr>
                <w:rFonts w:hAnsi="宋体"/>
                <w:color w:val="auto"/>
                <w:sz w:val="24"/>
              </w:rPr>
            </w:pPr>
          </w:p>
          <w:p w14:paraId="23F0400B">
            <w:pPr>
              <w:pStyle w:val="16"/>
              <w:spacing w:after="0" w:line="360" w:lineRule="auto"/>
              <w:ind w:left="0" w:leftChars="0"/>
              <w:jc w:val="left"/>
              <w:rPr>
                <w:rFonts w:hAnsi="宋体"/>
                <w:color w:val="auto"/>
                <w:sz w:val="24"/>
              </w:rPr>
            </w:pPr>
          </w:p>
          <w:p w14:paraId="79395AAB">
            <w:pPr>
              <w:pStyle w:val="16"/>
              <w:spacing w:after="0" w:line="360" w:lineRule="auto"/>
              <w:ind w:left="0" w:leftChars="0"/>
              <w:jc w:val="left"/>
              <w:rPr>
                <w:rFonts w:hAnsi="宋体"/>
                <w:color w:val="auto"/>
                <w:sz w:val="24"/>
              </w:rPr>
            </w:pPr>
          </w:p>
          <w:p w14:paraId="01B2664F">
            <w:pPr>
              <w:pStyle w:val="16"/>
              <w:spacing w:after="0" w:line="360" w:lineRule="auto"/>
              <w:ind w:left="0" w:leftChars="0"/>
              <w:jc w:val="left"/>
              <w:rPr>
                <w:rFonts w:hAnsi="宋体"/>
                <w:color w:val="auto"/>
                <w:sz w:val="24"/>
              </w:rPr>
            </w:pPr>
          </w:p>
          <w:p w14:paraId="0D2C385A">
            <w:pPr>
              <w:pStyle w:val="16"/>
              <w:spacing w:after="0" w:line="360" w:lineRule="auto"/>
              <w:ind w:left="0" w:leftChars="0"/>
              <w:jc w:val="left"/>
              <w:rPr>
                <w:rFonts w:hAnsi="宋体"/>
                <w:color w:val="auto"/>
                <w:sz w:val="24"/>
              </w:rPr>
            </w:pPr>
          </w:p>
          <w:p w14:paraId="21EC27A0">
            <w:pPr>
              <w:pStyle w:val="16"/>
              <w:spacing w:after="0" w:line="360" w:lineRule="auto"/>
              <w:ind w:left="0" w:leftChars="0"/>
              <w:jc w:val="left"/>
              <w:rPr>
                <w:rFonts w:hAnsi="宋体"/>
                <w:color w:val="auto"/>
                <w:sz w:val="24"/>
              </w:rPr>
            </w:pPr>
          </w:p>
          <w:p w14:paraId="58B09558">
            <w:pPr>
              <w:pStyle w:val="16"/>
              <w:spacing w:after="0" w:line="360" w:lineRule="auto"/>
              <w:ind w:left="0" w:leftChars="0"/>
              <w:jc w:val="left"/>
              <w:rPr>
                <w:rFonts w:hAnsi="宋体"/>
                <w:color w:val="auto"/>
                <w:sz w:val="24"/>
              </w:rPr>
            </w:pPr>
          </w:p>
          <w:p w14:paraId="43882371">
            <w:pPr>
              <w:pStyle w:val="16"/>
              <w:spacing w:after="0" w:line="360" w:lineRule="auto"/>
              <w:ind w:left="0" w:leftChars="0"/>
              <w:jc w:val="left"/>
              <w:rPr>
                <w:rFonts w:hAnsi="宋体"/>
                <w:color w:val="auto"/>
                <w:sz w:val="24"/>
              </w:rPr>
            </w:pPr>
          </w:p>
          <w:p w14:paraId="7C1906EC">
            <w:pPr>
              <w:pStyle w:val="16"/>
              <w:spacing w:after="0" w:line="360" w:lineRule="auto"/>
              <w:ind w:left="0" w:leftChars="0"/>
              <w:jc w:val="left"/>
              <w:rPr>
                <w:rFonts w:hAnsi="宋体"/>
                <w:color w:val="auto"/>
                <w:sz w:val="24"/>
              </w:rPr>
            </w:pPr>
          </w:p>
          <w:p w14:paraId="386FB220">
            <w:pPr>
              <w:pStyle w:val="16"/>
              <w:spacing w:after="0" w:line="360" w:lineRule="auto"/>
              <w:ind w:left="0" w:leftChars="0"/>
              <w:jc w:val="left"/>
              <w:rPr>
                <w:rFonts w:hAnsi="宋体"/>
                <w:color w:val="auto"/>
                <w:sz w:val="24"/>
              </w:rPr>
            </w:pPr>
          </w:p>
          <w:p w14:paraId="7480A88F">
            <w:pPr>
              <w:pStyle w:val="16"/>
              <w:spacing w:after="0" w:line="360" w:lineRule="auto"/>
              <w:ind w:left="0" w:leftChars="0"/>
              <w:jc w:val="left"/>
              <w:rPr>
                <w:rFonts w:hAnsi="宋体"/>
                <w:color w:val="auto"/>
                <w:sz w:val="24"/>
              </w:rPr>
            </w:pPr>
          </w:p>
          <w:p w14:paraId="06CC6B23">
            <w:pPr>
              <w:pStyle w:val="16"/>
              <w:spacing w:after="0" w:line="360" w:lineRule="auto"/>
              <w:ind w:left="0" w:leftChars="0"/>
              <w:rPr>
                <w:color w:val="auto"/>
                <w:sz w:val="24"/>
              </w:rPr>
            </w:pPr>
          </w:p>
        </w:tc>
      </w:tr>
    </w:tbl>
    <w:p w14:paraId="2FEEA3D3">
      <w:pPr>
        <w:widowControl/>
        <w:jc w:val="center"/>
        <w:outlineLvl w:val="0"/>
        <w:rPr>
          <w:rFonts w:ascii="宋体" w:hAnsi="宋体"/>
          <w:b/>
          <w:bCs/>
          <w:color w:val="auto"/>
          <w:kern w:val="0"/>
          <w:sz w:val="30"/>
          <w:szCs w:val="30"/>
        </w:rPr>
      </w:pPr>
      <w:bookmarkStart w:id="3" w:name="_Toc271726186"/>
      <w:bookmarkEnd w:id="3"/>
      <w:bookmarkStart w:id="4" w:name="_Toc243450252"/>
      <w:bookmarkEnd w:id="4"/>
      <w:bookmarkStart w:id="5" w:name="_Toc89762009"/>
      <w:bookmarkEnd w:id="5"/>
      <w:bookmarkStart w:id="6" w:name="_Toc354926675"/>
      <w:bookmarkStart w:id="7" w:name="_Toc306347503"/>
      <w:r>
        <w:rPr>
          <w:rFonts w:ascii="宋体" w:hAnsi="宋体"/>
          <w:b/>
          <w:bCs/>
          <w:color w:val="auto"/>
          <w:kern w:val="0"/>
          <w:sz w:val="30"/>
          <w:szCs w:val="30"/>
        </w:rPr>
        <w:br w:type="page"/>
      </w:r>
      <w:r>
        <w:rPr>
          <w:rFonts w:ascii="宋体" w:hAnsi="宋体"/>
          <w:b/>
          <w:bCs/>
          <w:color w:val="auto"/>
          <w:kern w:val="0"/>
          <w:sz w:val="30"/>
          <w:szCs w:val="30"/>
        </w:rPr>
        <w:t>三</w:t>
      </w:r>
      <w:r>
        <w:rPr>
          <w:rFonts w:hint="eastAsia" w:ascii="宋体" w:hAnsi="宋体"/>
          <w:b/>
          <w:bCs/>
          <w:color w:val="auto"/>
          <w:kern w:val="0"/>
          <w:sz w:val="30"/>
          <w:szCs w:val="30"/>
        </w:rPr>
        <w:t>、</w:t>
      </w:r>
      <w:r>
        <w:rPr>
          <w:rFonts w:ascii="宋体" w:hAnsi="宋体"/>
          <w:b/>
          <w:bCs/>
          <w:color w:val="auto"/>
          <w:kern w:val="0"/>
          <w:sz w:val="30"/>
          <w:szCs w:val="30"/>
        </w:rPr>
        <w:t>区域环境质量现状</w:t>
      </w:r>
      <w:bookmarkEnd w:id="6"/>
      <w:bookmarkEnd w:id="7"/>
      <w:r>
        <w:rPr>
          <w:rFonts w:hint="eastAsia" w:ascii="宋体" w:hAnsi="宋体"/>
          <w:b/>
          <w:bCs/>
          <w:color w:val="auto"/>
          <w:kern w:val="0"/>
          <w:sz w:val="30"/>
          <w:szCs w:val="30"/>
        </w:rPr>
        <w:t>、</w:t>
      </w:r>
      <w:r>
        <w:rPr>
          <w:rFonts w:ascii="宋体" w:hAnsi="宋体"/>
          <w:b/>
          <w:bCs/>
          <w:color w:val="auto"/>
          <w:kern w:val="0"/>
          <w:sz w:val="30"/>
          <w:szCs w:val="30"/>
        </w:rPr>
        <w:t>环境保护目标及评价标准</w:t>
      </w:r>
    </w:p>
    <w:tbl>
      <w:tblPr>
        <w:tblStyle w:val="34"/>
        <w:tblW w:w="883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6"/>
        <w:gridCol w:w="7955"/>
      </w:tblGrid>
      <w:tr w14:paraId="464C4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0" w:hRule="atLeast"/>
        </w:trPr>
        <w:tc>
          <w:tcPr>
            <w:tcW w:w="534" w:type="dxa"/>
            <w:vAlign w:val="center"/>
          </w:tcPr>
          <w:p w14:paraId="77BF1643">
            <w:pPr>
              <w:spacing w:line="360" w:lineRule="auto"/>
              <w:ind w:firstLine="480" w:firstLineChars="200"/>
              <w:jc w:val="center"/>
              <w:rPr>
                <w:b/>
                <w:color w:val="auto"/>
                <w:sz w:val="24"/>
                <w:szCs w:val="28"/>
              </w:rPr>
            </w:pPr>
            <w:r>
              <w:rPr>
                <w:rFonts w:hAnsi="宋体"/>
                <w:color w:val="auto"/>
                <w:kern w:val="0"/>
                <w:sz w:val="24"/>
              </w:rPr>
              <w:t>与</w:t>
            </w:r>
            <w:r>
              <w:rPr>
                <w:rFonts w:hint="eastAsia" w:hAnsi="宋体"/>
                <w:color w:val="auto"/>
                <w:kern w:val="0"/>
                <w:sz w:val="24"/>
              </w:rPr>
              <w:t>区域</w:t>
            </w:r>
            <w:r>
              <w:rPr>
                <w:rFonts w:hAnsi="宋体"/>
                <w:color w:val="auto"/>
                <w:kern w:val="0"/>
                <w:sz w:val="24"/>
              </w:rPr>
              <w:t>环境质量现状</w:t>
            </w:r>
          </w:p>
        </w:tc>
        <w:tc>
          <w:tcPr>
            <w:tcW w:w="8297" w:type="dxa"/>
          </w:tcPr>
          <w:p w14:paraId="222DB933">
            <w:pPr>
              <w:spacing w:line="360" w:lineRule="auto"/>
              <w:ind w:firstLine="482" w:firstLineChars="200"/>
              <w:rPr>
                <w:b/>
                <w:color w:val="auto"/>
                <w:sz w:val="24"/>
                <w:szCs w:val="28"/>
              </w:rPr>
            </w:pPr>
            <w:r>
              <w:rPr>
                <w:b/>
                <w:color w:val="auto"/>
                <w:sz w:val="24"/>
                <w:szCs w:val="28"/>
              </w:rPr>
              <w:t>一</w:t>
            </w:r>
            <w:r>
              <w:rPr>
                <w:rFonts w:hint="eastAsia"/>
                <w:b/>
                <w:color w:val="auto"/>
                <w:sz w:val="24"/>
                <w:szCs w:val="28"/>
              </w:rPr>
              <w:t>、环境空气质量现状</w:t>
            </w:r>
          </w:p>
          <w:p w14:paraId="62C5EB0A">
            <w:pPr>
              <w:adjustRightInd w:val="0"/>
              <w:spacing w:line="360" w:lineRule="auto"/>
              <w:ind w:firstLine="480" w:firstLineChars="200"/>
              <w:jc w:val="left"/>
              <w:rPr>
                <w:rFonts w:hAnsi="宋体"/>
                <w:color w:val="auto"/>
                <w:sz w:val="24"/>
              </w:rPr>
            </w:pPr>
            <w:r>
              <w:rPr>
                <w:rFonts w:hint="eastAsia" w:hAnsi="宋体"/>
                <w:color w:val="auto"/>
                <w:sz w:val="24"/>
              </w:rPr>
              <w:t>（1）基本污染物环境质量现状</w:t>
            </w:r>
          </w:p>
          <w:p w14:paraId="36772FE0">
            <w:pPr>
              <w:adjustRightInd w:val="0"/>
              <w:spacing w:line="360" w:lineRule="auto"/>
              <w:ind w:firstLine="480" w:firstLineChars="200"/>
              <w:jc w:val="left"/>
              <w:rPr>
                <w:color w:val="auto"/>
                <w:sz w:val="24"/>
              </w:rPr>
            </w:pPr>
            <w:r>
              <w:rPr>
                <w:rFonts w:hAnsi="宋体"/>
                <w:color w:val="auto"/>
                <w:sz w:val="24"/>
              </w:rPr>
              <w:t>本项</w:t>
            </w:r>
            <w:r>
              <w:rPr>
                <w:rFonts w:hAnsi="宋体"/>
                <w:color w:val="auto"/>
                <w:sz w:val="24"/>
                <w:szCs w:val="24"/>
              </w:rPr>
              <w:t>目位于</w:t>
            </w:r>
            <w:r>
              <w:rPr>
                <w:rFonts w:hint="eastAsia"/>
                <w:color w:val="auto"/>
                <w:sz w:val="24"/>
              </w:rPr>
              <w:t>安徽省淮南市安成镇十涧湖中路1号安徽发强玻璃有限责任公司厂区内</w:t>
            </w:r>
            <w:r>
              <w:rPr>
                <w:rFonts w:hAnsi="宋体"/>
                <w:color w:val="auto"/>
                <w:sz w:val="24"/>
                <w:szCs w:val="24"/>
              </w:rPr>
              <w:t>，根据</w:t>
            </w:r>
            <w:r>
              <w:rPr>
                <w:rFonts w:hint="eastAsia" w:hAnsi="宋体"/>
                <w:color w:val="auto"/>
                <w:kern w:val="0"/>
                <w:sz w:val="24"/>
                <w:szCs w:val="24"/>
              </w:rPr>
              <w:t>《</w:t>
            </w:r>
            <w:r>
              <w:rPr>
                <w:rFonts w:hint="eastAsia"/>
                <w:color w:val="auto"/>
                <w:kern w:val="0"/>
                <w:sz w:val="24"/>
                <w:szCs w:val="24"/>
              </w:rPr>
              <w:t>2023</w:t>
            </w:r>
            <w:r>
              <w:rPr>
                <w:rFonts w:hint="eastAsia" w:hAnsi="宋体"/>
                <w:color w:val="auto"/>
                <w:kern w:val="0"/>
                <w:sz w:val="24"/>
                <w:szCs w:val="24"/>
              </w:rPr>
              <w:t>年淮南市环境状况质量公报》可知，细颗粒物（PM</w:t>
            </w:r>
            <w:r>
              <w:rPr>
                <w:rFonts w:hint="eastAsia" w:hAnsi="宋体"/>
                <w:color w:val="auto"/>
                <w:kern w:val="0"/>
                <w:sz w:val="24"/>
                <w:szCs w:val="24"/>
                <w:vertAlign w:val="subscript"/>
              </w:rPr>
              <w:t>2.5</w:t>
            </w:r>
            <w:r>
              <w:rPr>
                <w:rFonts w:hint="eastAsia" w:hAnsi="宋体"/>
                <w:color w:val="auto"/>
                <w:kern w:val="0"/>
                <w:sz w:val="24"/>
                <w:szCs w:val="24"/>
              </w:rPr>
              <w:t>）日均浓度范围为8～252微克/立方米，日均值达标率为93.0%。年均值为38.7微克/立方米，与上年相比下降了4.4个百分点。可吸入颗粒物（PM</w:t>
            </w:r>
            <w:r>
              <w:rPr>
                <w:rFonts w:hint="eastAsia" w:hAnsi="宋体"/>
                <w:color w:val="auto"/>
                <w:kern w:val="0"/>
                <w:sz w:val="24"/>
                <w:szCs w:val="24"/>
                <w:vertAlign w:val="subscript"/>
              </w:rPr>
              <w:t>10</w:t>
            </w:r>
            <w:r>
              <w:rPr>
                <w:rFonts w:hint="eastAsia" w:hAnsi="宋体"/>
                <w:color w:val="auto"/>
                <w:kern w:val="0"/>
                <w:sz w:val="24"/>
                <w:szCs w:val="24"/>
              </w:rPr>
              <w:t>）日均浓度范围为12～313微克/立方米，日均值达标率为97.6%。年均值为65.9微克/立方米，与上年相比下降了0.8个百分点。二氧化氮（NO</w:t>
            </w:r>
            <w:r>
              <w:rPr>
                <w:rFonts w:hint="eastAsia" w:hAnsi="宋体"/>
                <w:color w:val="auto"/>
                <w:kern w:val="0"/>
                <w:sz w:val="24"/>
                <w:szCs w:val="24"/>
                <w:vertAlign w:val="subscript"/>
              </w:rPr>
              <w:t>2</w:t>
            </w:r>
            <w:r>
              <w:rPr>
                <w:rFonts w:hint="eastAsia" w:hAnsi="宋体"/>
                <w:color w:val="auto"/>
                <w:kern w:val="0"/>
                <w:sz w:val="24"/>
                <w:szCs w:val="24"/>
              </w:rPr>
              <w:t>）日均浓度范围为6～70微克/立方米，日均值达标率为100%。年均浓度为21微克/立方米，与上年相比上升了10.5个百分点。二氧化硫（SO</w:t>
            </w:r>
            <w:r>
              <w:rPr>
                <w:rFonts w:hint="eastAsia" w:hAnsi="宋体"/>
                <w:color w:val="auto"/>
                <w:kern w:val="0"/>
                <w:sz w:val="24"/>
                <w:szCs w:val="24"/>
                <w:vertAlign w:val="subscript"/>
              </w:rPr>
              <w:t>2</w:t>
            </w:r>
            <w:r>
              <w:rPr>
                <w:rFonts w:hint="eastAsia" w:hAnsi="宋体"/>
                <w:color w:val="auto"/>
                <w:kern w:val="0"/>
                <w:sz w:val="24"/>
                <w:szCs w:val="24"/>
              </w:rPr>
              <w:t>）日均浓度范围为3～15微克/立方米，日均值达标率为100%。年均浓度为8微克/立方米，与上年持平。一氧化碳（CO）日均浓度范围为0.2～1.5毫克/立方米，日均值达标率为100%。日均值第95百分位数为0.7毫克/立方米，与上年相比下降了12.5个百分点。臭氧日最大8小时滑动平均值范围为4～210微克/立方米，达标率为91.8%。日最大8小时滑动平均值第90百分位数为157微克/立方米，与上年相比上升了4.0个百分点。</w:t>
            </w:r>
          </w:p>
          <w:p w14:paraId="5ED84CE6">
            <w:pPr>
              <w:adjustRightInd w:val="0"/>
              <w:spacing w:line="360" w:lineRule="auto"/>
              <w:ind w:firstLine="480" w:firstLineChars="200"/>
              <w:jc w:val="left"/>
              <w:rPr>
                <w:color w:val="auto"/>
                <w:sz w:val="24"/>
              </w:rPr>
            </w:pPr>
            <w:r>
              <w:rPr>
                <w:rFonts w:hAnsi="宋体"/>
                <w:color w:val="auto"/>
                <w:sz w:val="24"/>
              </w:rPr>
              <w:t>项目所在区域空气质量现状评价见下表：</w:t>
            </w:r>
          </w:p>
          <w:p w14:paraId="01D28071">
            <w:pPr>
              <w:pStyle w:val="219"/>
              <w:jc w:val="center"/>
              <w:rPr>
                <w:rFonts w:eastAsia="黑体" w:cs="Times New Roman"/>
                <w:b/>
                <w:color w:val="auto"/>
                <w:szCs w:val="21"/>
              </w:rPr>
            </w:pPr>
            <w:r>
              <w:rPr>
                <w:rFonts w:hAnsi="黑体" w:eastAsia="黑体" w:cs="Times New Roman"/>
                <w:color w:val="auto"/>
              </w:rPr>
              <w:t>表</w:t>
            </w:r>
            <w:r>
              <w:rPr>
                <w:rFonts w:hint="eastAsia" w:eastAsia="黑体" w:cs="Times New Roman"/>
                <w:color w:val="auto"/>
              </w:rPr>
              <w:t>31</w:t>
            </w:r>
            <w:r>
              <w:rPr>
                <w:rFonts w:eastAsia="黑体" w:cs="Times New Roman"/>
                <w:color w:val="auto"/>
              </w:rPr>
              <w:t xml:space="preserve">  </w:t>
            </w:r>
            <w:r>
              <w:rPr>
                <w:rFonts w:hAnsi="黑体" w:eastAsia="黑体" w:cs="Times New Roman"/>
                <w:color w:val="auto"/>
              </w:rPr>
              <w:t>区域空气质量现状评价表</w:t>
            </w:r>
          </w:p>
          <w:tbl>
            <w:tblPr>
              <w:tblStyle w:val="3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48"/>
              <w:gridCol w:w="2579"/>
              <w:gridCol w:w="1156"/>
              <w:gridCol w:w="1232"/>
              <w:gridCol w:w="748"/>
              <w:gridCol w:w="1176"/>
            </w:tblGrid>
            <w:tr w14:paraId="078AAE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48" w:type="pct"/>
                  <w:tcBorders>
                    <w:top w:val="single" w:color="auto" w:sz="12" w:space="0"/>
                    <w:left w:val="nil"/>
                    <w:bottom w:val="single" w:color="auto" w:sz="4" w:space="0"/>
                    <w:right w:val="single" w:color="auto" w:sz="4" w:space="0"/>
                  </w:tcBorders>
                  <w:vAlign w:val="center"/>
                </w:tcPr>
                <w:p w14:paraId="74C6F11F">
                  <w:pPr>
                    <w:widowControl/>
                    <w:spacing w:line="276" w:lineRule="auto"/>
                    <w:jc w:val="center"/>
                    <w:rPr>
                      <w:b/>
                      <w:bCs/>
                      <w:color w:val="auto"/>
                      <w:kern w:val="0"/>
                      <w:szCs w:val="21"/>
                    </w:rPr>
                  </w:pPr>
                  <w:r>
                    <w:rPr>
                      <w:rFonts w:hint="eastAsia" w:hAnsi="宋体"/>
                      <w:b/>
                      <w:bCs/>
                      <w:color w:val="auto"/>
                      <w:kern w:val="0"/>
                      <w:szCs w:val="21"/>
                    </w:rPr>
                    <w:t>污染物</w:t>
                  </w:r>
                </w:p>
              </w:tc>
              <w:tc>
                <w:tcPr>
                  <w:tcW w:w="1666" w:type="pct"/>
                  <w:tcBorders>
                    <w:top w:val="single" w:color="auto" w:sz="12" w:space="0"/>
                    <w:left w:val="single" w:color="auto" w:sz="4" w:space="0"/>
                    <w:bottom w:val="single" w:color="auto" w:sz="4" w:space="0"/>
                    <w:right w:val="single" w:color="auto" w:sz="4" w:space="0"/>
                  </w:tcBorders>
                  <w:vAlign w:val="center"/>
                </w:tcPr>
                <w:p w14:paraId="0046DD07">
                  <w:pPr>
                    <w:widowControl/>
                    <w:spacing w:line="276" w:lineRule="auto"/>
                    <w:jc w:val="center"/>
                    <w:rPr>
                      <w:b/>
                      <w:bCs/>
                      <w:color w:val="auto"/>
                      <w:kern w:val="0"/>
                      <w:szCs w:val="21"/>
                    </w:rPr>
                  </w:pPr>
                  <w:r>
                    <w:rPr>
                      <w:rFonts w:hint="eastAsia" w:hAnsi="宋体"/>
                      <w:b/>
                      <w:bCs/>
                      <w:color w:val="auto"/>
                      <w:kern w:val="0"/>
                      <w:szCs w:val="21"/>
                    </w:rPr>
                    <w:t>年评价指标</w:t>
                  </w:r>
                </w:p>
              </w:tc>
              <w:tc>
                <w:tcPr>
                  <w:tcW w:w="747" w:type="pct"/>
                  <w:tcBorders>
                    <w:top w:val="single" w:color="auto" w:sz="12" w:space="0"/>
                    <w:left w:val="single" w:color="auto" w:sz="4" w:space="0"/>
                    <w:bottom w:val="single" w:color="auto" w:sz="4" w:space="0"/>
                    <w:right w:val="single" w:color="auto" w:sz="4" w:space="0"/>
                  </w:tcBorders>
                  <w:vAlign w:val="center"/>
                </w:tcPr>
                <w:p w14:paraId="27E555B8">
                  <w:pPr>
                    <w:widowControl/>
                    <w:spacing w:line="276" w:lineRule="auto"/>
                    <w:jc w:val="center"/>
                    <w:rPr>
                      <w:b/>
                      <w:bCs/>
                      <w:color w:val="auto"/>
                      <w:kern w:val="0"/>
                      <w:szCs w:val="21"/>
                    </w:rPr>
                  </w:pPr>
                  <w:r>
                    <w:rPr>
                      <w:rFonts w:hint="eastAsia" w:hAnsi="宋体"/>
                      <w:b/>
                      <w:bCs/>
                      <w:color w:val="auto"/>
                      <w:kern w:val="0"/>
                      <w:szCs w:val="21"/>
                    </w:rPr>
                    <w:t>现状浓度</w:t>
                  </w:r>
                </w:p>
                <w:p w14:paraId="112C3139">
                  <w:pPr>
                    <w:widowControl/>
                    <w:spacing w:line="276" w:lineRule="auto"/>
                    <w:jc w:val="center"/>
                    <w:rPr>
                      <w:b/>
                      <w:bCs/>
                      <w:color w:val="auto"/>
                      <w:kern w:val="0"/>
                      <w:szCs w:val="21"/>
                    </w:rPr>
                  </w:pPr>
                  <w:r>
                    <w:rPr>
                      <w:rFonts w:hint="eastAsia" w:hAnsi="宋体"/>
                      <w:b/>
                      <w:bCs/>
                      <w:color w:val="auto"/>
                      <w:kern w:val="0"/>
                      <w:szCs w:val="21"/>
                    </w:rPr>
                    <w:t>（</w:t>
                  </w:r>
                  <w:r>
                    <w:rPr>
                      <w:b/>
                      <w:bCs/>
                      <w:color w:val="auto"/>
                      <w:kern w:val="0"/>
                      <w:szCs w:val="21"/>
                    </w:rPr>
                    <w:t>μg/m</w:t>
                  </w:r>
                  <w:r>
                    <w:rPr>
                      <w:b/>
                      <w:bCs/>
                      <w:color w:val="auto"/>
                      <w:kern w:val="0"/>
                      <w:szCs w:val="21"/>
                      <w:vertAlign w:val="superscript"/>
                    </w:rPr>
                    <w:t>3</w:t>
                  </w:r>
                  <w:r>
                    <w:rPr>
                      <w:rFonts w:hint="eastAsia" w:hAnsi="宋体"/>
                      <w:b/>
                      <w:bCs/>
                      <w:color w:val="auto"/>
                      <w:kern w:val="0"/>
                      <w:szCs w:val="21"/>
                    </w:rPr>
                    <w:t>）</w:t>
                  </w:r>
                </w:p>
              </w:tc>
              <w:tc>
                <w:tcPr>
                  <w:tcW w:w="796" w:type="pct"/>
                  <w:tcBorders>
                    <w:top w:val="single" w:color="auto" w:sz="12" w:space="0"/>
                    <w:left w:val="single" w:color="auto" w:sz="4" w:space="0"/>
                    <w:bottom w:val="single" w:color="auto" w:sz="4" w:space="0"/>
                    <w:right w:val="single" w:color="auto" w:sz="4" w:space="0"/>
                  </w:tcBorders>
                  <w:vAlign w:val="center"/>
                </w:tcPr>
                <w:p w14:paraId="10DBE9E0">
                  <w:pPr>
                    <w:widowControl/>
                    <w:spacing w:line="276" w:lineRule="auto"/>
                    <w:jc w:val="center"/>
                    <w:rPr>
                      <w:b/>
                      <w:bCs/>
                      <w:color w:val="auto"/>
                      <w:kern w:val="0"/>
                      <w:szCs w:val="21"/>
                    </w:rPr>
                  </w:pPr>
                  <w:r>
                    <w:rPr>
                      <w:rFonts w:hint="eastAsia" w:hAnsi="宋体"/>
                      <w:b/>
                      <w:bCs/>
                      <w:color w:val="auto"/>
                      <w:kern w:val="0"/>
                      <w:szCs w:val="21"/>
                    </w:rPr>
                    <w:t>标准值</w:t>
                  </w:r>
                </w:p>
                <w:p w14:paraId="7972AEC5">
                  <w:pPr>
                    <w:widowControl/>
                    <w:spacing w:line="276" w:lineRule="auto"/>
                    <w:jc w:val="center"/>
                    <w:rPr>
                      <w:b/>
                      <w:bCs/>
                      <w:color w:val="auto"/>
                      <w:kern w:val="0"/>
                      <w:szCs w:val="21"/>
                    </w:rPr>
                  </w:pPr>
                  <w:r>
                    <w:rPr>
                      <w:rFonts w:hint="eastAsia" w:hAnsi="宋体"/>
                      <w:b/>
                      <w:bCs/>
                      <w:color w:val="auto"/>
                      <w:kern w:val="0"/>
                      <w:szCs w:val="21"/>
                    </w:rPr>
                    <w:t>（</w:t>
                  </w:r>
                  <w:r>
                    <w:rPr>
                      <w:b/>
                      <w:bCs/>
                      <w:color w:val="auto"/>
                      <w:kern w:val="0"/>
                      <w:szCs w:val="21"/>
                    </w:rPr>
                    <w:t>μg/m</w:t>
                  </w:r>
                  <w:r>
                    <w:rPr>
                      <w:b/>
                      <w:bCs/>
                      <w:color w:val="auto"/>
                      <w:kern w:val="0"/>
                      <w:szCs w:val="21"/>
                      <w:vertAlign w:val="superscript"/>
                    </w:rPr>
                    <w:t>3</w:t>
                  </w:r>
                  <w:r>
                    <w:rPr>
                      <w:rFonts w:hint="eastAsia" w:hAnsi="宋体"/>
                      <w:b/>
                      <w:bCs/>
                      <w:color w:val="auto"/>
                      <w:kern w:val="0"/>
                      <w:szCs w:val="21"/>
                    </w:rPr>
                    <w:t>）</w:t>
                  </w:r>
                </w:p>
              </w:tc>
              <w:tc>
                <w:tcPr>
                  <w:tcW w:w="483" w:type="pct"/>
                  <w:tcBorders>
                    <w:top w:val="single" w:color="auto" w:sz="12" w:space="0"/>
                    <w:left w:val="single" w:color="auto" w:sz="4" w:space="0"/>
                    <w:bottom w:val="single" w:color="auto" w:sz="4" w:space="0"/>
                    <w:right w:val="single" w:color="auto" w:sz="4" w:space="0"/>
                  </w:tcBorders>
                  <w:vAlign w:val="center"/>
                </w:tcPr>
                <w:p w14:paraId="1509D48F">
                  <w:pPr>
                    <w:widowControl/>
                    <w:spacing w:line="276" w:lineRule="auto"/>
                    <w:jc w:val="center"/>
                    <w:rPr>
                      <w:b/>
                      <w:bCs/>
                      <w:color w:val="auto"/>
                      <w:kern w:val="0"/>
                      <w:szCs w:val="21"/>
                    </w:rPr>
                  </w:pPr>
                  <w:r>
                    <w:rPr>
                      <w:rFonts w:hint="eastAsia" w:hAnsi="宋体"/>
                      <w:b/>
                      <w:bCs/>
                      <w:color w:val="auto"/>
                      <w:kern w:val="0"/>
                      <w:szCs w:val="21"/>
                    </w:rPr>
                    <w:t>占标率（</w:t>
                  </w:r>
                  <w:r>
                    <w:rPr>
                      <w:b/>
                      <w:bCs/>
                      <w:color w:val="auto"/>
                      <w:kern w:val="0"/>
                      <w:szCs w:val="21"/>
                    </w:rPr>
                    <w:t>%</w:t>
                  </w:r>
                  <w:r>
                    <w:rPr>
                      <w:rFonts w:hint="eastAsia" w:hAnsi="宋体"/>
                      <w:b/>
                      <w:bCs/>
                      <w:color w:val="auto"/>
                      <w:kern w:val="0"/>
                      <w:szCs w:val="21"/>
                    </w:rPr>
                    <w:t>）</w:t>
                  </w:r>
                </w:p>
              </w:tc>
              <w:tc>
                <w:tcPr>
                  <w:tcW w:w="761" w:type="pct"/>
                  <w:tcBorders>
                    <w:top w:val="single" w:color="auto" w:sz="12" w:space="0"/>
                    <w:left w:val="single" w:color="auto" w:sz="4" w:space="0"/>
                    <w:bottom w:val="single" w:color="auto" w:sz="4" w:space="0"/>
                    <w:right w:val="nil"/>
                  </w:tcBorders>
                  <w:vAlign w:val="center"/>
                </w:tcPr>
                <w:p w14:paraId="56B98FF8">
                  <w:pPr>
                    <w:widowControl/>
                    <w:spacing w:line="276" w:lineRule="auto"/>
                    <w:jc w:val="center"/>
                    <w:rPr>
                      <w:b/>
                      <w:bCs/>
                      <w:color w:val="auto"/>
                      <w:kern w:val="0"/>
                      <w:szCs w:val="21"/>
                    </w:rPr>
                  </w:pPr>
                  <w:r>
                    <w:rPr>
                      <w:rFonts w:hint="eastAsia" w:hAnsi="宋体"/>
                      <w:b/>
                      <w:bCs/>
                      <w:color w:val="auto"/>
                      <w:kern w:val="0"/>
                      <w:szCs w:val="21"/>
                    </w:rPr>
                    <w:t>达标情况</w:t>
                  </w:r>
                </w:p>
              </w:tc>
            </w:tr>
            <w:tr w14:paraId="0F9FAB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48" w:type="pct"/>
                  <w:tcBorders>
                    <w:top w:val="single" w:color="auto" w:sz="4" w:space="0"/>
                    <w:left w:val="nil"/>
                    <w:bottom w:val="single" w:color="auto" w:sz="4" w:space="0"/>
                    <w:right w:val="single" w:color="auto" w:sz="4" w:space="0"/>
                  </w:tcBorders>
                  <w:vAlign w:val="center"/>
                </w:tcPr>
                <w:p w14:paraId="0D979E0E">
                  <w:pPr>
                    <w:widowControl/>
                    <w:spacing w:line="276" w:lineRule="auto"/>
                    <w:jc w:val="center"/>
                    <w:rPr>
                      <w:bCs/>
                      <w:color w:val="auto"/>
                      <w:kern w:val="0"/>
                      <w:szCs w:val="21"/>
                    </w:rPr>
                  </w:pPr>
                  <w:r>
                    <w:rPr>
                      <w:bCs/>
                      <w:color w:val="auto"/>
                      <w:kern w:val="0"/>
                      <w:szCs w:val="21"/>
                    </w:rPr>
                    <w:t>SO</w:t>
                  </w:r>
                  <w:r>
                    <w:rPr>
                      <w:bCs/>
                      <w:color w:val="auto"/>
                      <w:kern w:val="0"/>
                      <w:szCs w:val="21"/>
                      <w:vertAlign w:val="subscript"/>
                    </w:rPr>
                    <w:t>2</w:t>
                  </w:r>
                </w:p>
              </w:tc>
              <w:tc>
                <w:tcPr>
                  <w:tcW w:w="1666" w:type="pct"/>
                  <w:tcBorders>
                    <w:top w:val="single" w:color="auto" w:sz="4" w:space="0"/>
                    <w:left w:val="single" w:color="auto" w:sz="4" w:space="0"/>
                    <w:bottom w:val="single" w:color="auto" w:sz="4" w:space="0"/>
                    <w:right w:val="single" w:color="auto" w:sz="4" w:space="0"/>
                  </w:tcBorders>
                  <w:vAlign w:val="center"/>
                </w:tcPr>
                <w:p w14:paraId="1060E4C3">
                  <w:pPr>
                    <w:widowControl/>
                    <w:spacing w:line="276" w:lineRule="auto"/>
                    <w:jc w:val="center"/>
                    <w:rPr>
                      <w:bCs/>
                      <w:color w:val="auto"/>
                      <w:kern w:val="0"/>
                      <w:szCs w:val="21"/>
                    </w:rPr>
                  </w:pPr>
                  <w:r>
                    <w:rPr>
                      <w:rFonts w:hint="eastAsia" w:hAnsi="宋体"/>
                      <w:bCs/>
                      <w:color w:val="auto"/>
                      <w:kern w:val="0"/>
                      <w:szCs w:val="21"/>
                    </w:rPr>
                    <w:t>年平均质量浓度</w:t>
                  </w:r>
                </w:p>
              </w:tc>
              <w:tc>
                <w:tcPr>
                  <w:tcW w:w="747" w:type="pct"/>
                  <w:tcBorders>
                    <w:top w:val="single" w:color="auto" w:sz="4" w:space="0"/>
                    <w:left w:val="single" w:color="auto" w:sz="4" w:space="0"/>
                    <w:bottom w:val="single" w:color="auto" w:sz="4" w:space="0"/>
                    <w:right w:val="single" w:color="auto" w:sz="4" w:space="0"/>
                  </w:tcBorders>
                  <w:vAlign w:val="center"/>
                </w:tcPr>
                <w:p w14:paraId="358D4833">
                  <w:pPr>
                    <w:widowControl/>
                    <w:spacing w:line="276" w:lineRule="auto"/>
                    <w:jc w:val="center"/>
                    <w:rPr>
                      <w:bCs/>
                      <w:color w:val="auto"/>
                      <w:kern w:val="0"/>
                      <w:szCs w:val="21"/>
                    </w:rPr>
                  </w:pPr>
                  <w:r>
                    <w:rPr>
                      <w:rFonts w:hint="eastAsia"/>
                      <w:bCs/>
                      <w:color w:val="auto"/>
                      <w:kern w:val="0"/>
                      <w:szCs w:val="21"/>
                    </w:rPr>
                    <w:t>8</w:t>
                  </w:r>
                </w:p>
              </w:tc>
              <w:tc>
                <w:tcPr>
                  <w:tcW w:w="796" w:type="pct"/>
                  <w:tcBorders>
                    <w:top w:val="single" w:color="auto" w:sz="4" w:space="0"/>
                    <w:left w:val="single" w:color="auto" w:sz="4" w:space="0"/>
                    <w:bottom w:val="single" w:color="auto" w:sz="4" w:space="0"/>
                    <w:right w:val="single" w:color="auto" w:sz="4" w:space="0"/>
                  </w:tcBorders>
                  <w:vAlign w:val="center"/>
                </w:tcPr>
                <w:p w14:paraId="52675A4F">
                  <w:pPr>
                    <w:widowControl/>
                    <w:spacing w:line="276" w:lineRule="auto"/>
                    <w:jc w:val="center"/>
                    <w:rPr>
                      <w:bCs/>
                      <w:color w:val="auto"/>
                      <w:kern w:val="0"/>
                      <w:szCs w:val="21"/>
                    </w:rPr>
                  </w:pPr>
                  <w:r>
                    <w:rPr>
                      <w:bCs/>
                      <w:color w:val="auto"/>
                      <w:kern w:val="0"/>
                      <w:szCs w:val="21"/>
                    </w:rPr>
                    <w:t>60</w:t>
                  </w:r>
                </w:p>
              </w:tc>
              <w:tc>
                <w:tcPr>
                  <w:tcW w:w="483" w:type="pct"/>
                  <w:tcBorders>
                    <w:top w:val="single" w:color="auto" w:sz="4" w:space="0"/>
                    <w:left w:val="single" w:color="auto" w:sz="4" w:space="0"/>
                    <w:bottom w:val="single" w:color="auto" w:sz="4" w:space="0"/>
                    <w:right w:val="single" w:color="auto" w:sz="4" w:space="0"/>
                  </w:tcBorders>
                  <w:vAlign w:val="center"/>
                </w:tcPr>
                <w:p w14:paraId="1158AD8C">
                  <w:pPr>
                    <w:widowControl/>
                    <w:spacing w:line="276" w:lineRule="auto"/>
                    <w:jc w:val="center"/>
                    <w:rPr>
                      <w:bCs/>
                      <w:color w:val="auto"/>
                      <w:kern w:val="0"/>
                      <w:szCs w:val="21"/>
                    </w:rPr>
                  </w:pPr>
                  <w:r>
                    <w:rPr>
                      <w:rFonts w:hint="eastAsia"/>
                      <w:bCs/>
                      <w:color w:val="auto"/>
                      <w:kern w:val="0"/>
                      <w:szCs w:val="21"/>
                    </w:rPr>
                    <w:t>13.3</w:t>
                  </w:r>
                </w:p>
              </w:tc>
              <w:tc>
                <w:tcPr>
                  <w:tcW w:w="761" w:type="pct"/>
                  <w:tcBorders>
                    <w:top w:val="single" w:color="auto" w:sz="4" w:space="0"/>
                    <w:left w:val="single" w:color="auto" w:sz="4" w:space="0"/>
                    <w:bottom w:val="single" w:color="auto" w:sz="4" w:space="0"/>
                    <w:right w:val="nil"/>
                  </w:tcBorders>
                  <w:vAlign w:val="center"/>
                </w:tcPr>
                <w:p w14:paraId="374912A6">
                  <w:pPr>
                    <w:widowControl/>
                    <w:spacing w:line="276" w:lineRule="auto"/>
                    <w:jc w:val="center"/>
                    <w:rPr>
                      <w:bCs/>
                      <w:color w:val="auto"/>
                      <w:kern w:val="0"/>
                      <w:szCs w:val="21"/>
                    </w:rPr>
                  </w:pPr>
                  <w:r>
                    <w:rPr>
                      <w:rFonts w:hint="eastAsia" w:hAnsi="宋体"/>
                      <w:bCs/>
                      <w:color w:val="auto"/>
                      <w:kern w:val="0"/>
                      <w:szCs w:val="21"/>
                    </w:rPr>
                    <w:t>达标</w:t>
                  </w:r>
                </w:p>
              </w:tc>
            </w:tr>
            <w:tr w14:paraId="2AC15B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548" w:type="pct"/>
                  <w:tcBorders>
                    <w:top w:val="single" w:color="auto" w:sz="4" w:space="0"/>
                    <w:left w:val="nil"/>
                    <w:bottom w:val="single" w:color="auto" w:sz="4" w:space="0"/>
                    <w:right w:val="single" w:color="auto" w:sz="4" w:space="0"/>
                  </w:tcBorders>
                  <w:vAlign w:val="center"/>
                </w:tcPr>
                <w:p w14:paraId="799AFB9D">
                  <w:pPr>
                    <w:widowControl/>
                    <w:spacing w:line="276" w:lineRule="auto"/>
                    <w:jc w:val="center"/>
                    <w:rPr>
                      <w:bCs/>
                      <w:color w:val="auto"/>
                      <w:kern w:val="0"/>
                      <w:szCs w:val="21"/>
                    </w:rPr>
                  </w:pPr>
                  <w:r>
                    <w:rPr>
                      <w:bCs/>
                      <w:color w:val="auto"/>
                      <w:kern w:val="0"/>
                      <w:szCs w:val="21"/>
                    </w:rPr>
                    <w:t>NO</w:t>
                  </w:r>
                  <w:r>
                    <w:rPr>
                      <w:bCs/>
                      <w:color w:val="auto"/>
                      <w:kern w:val="0"/>
                      <w:szCs w:val="21"/>
                      <w:vertAlign w:val="subscript"/>
                    </w:rPr>
                    <w:t>2</w:t>
                  </w:r>
                </w:p>
              </w:tc>
              <w:tc>
                <w:tcPr>
                  <w:tcW w:w="1666" w:type="pct"/>
                  <w:tcBorders>
                    <w:top w:val="single" w:color="auto" w:sz="4" w:space="0"/>
                    <w:left w:val="single" w:color="auto" w:sz="4" w:space="0"/>
                    <w:bottom w:val="single" w:color="auto" w:sz="4" w:space="0"/>
                    <w:right w:val="single" w:color="auto" w:sz="4" w:space="0"/>
                  </w:tcBorders>
                  <w:vAlign w:val="center"/>
                </w:tcPr>
                <w:p w14:paraId="4B1B4B50">
                  <w:pPr>
                    <w:widowControl/>
                    <w:spacing w:line="276" w:lineRule="auto"/>
                    <w:jc w:val="center"/>
                    <w:rPr>
                      <w:bCs/>
                      <w:color w:val="auto"/>
                      <w:kern w:val="0"/>
                      <w:szCs w:val="21"/>
                    </w:rPr>
                  </w:pPr>
                  <w:r>
                    <w:rPr>
                      <w:rFonts w:hint="eastAsia" w:hAnsi="宋体"/>
                      <w:bCs/>
                      <w:color w:val="auto"/>
                      <w:kern w:val="0"/>
                      <w:szCs w:val="21"/>
                    </w:rPr>
                    <w:t>年平均质量浓度</w:t>
                  </w:r>
                </w:p>
              </w:tc>
              <w:tc>
                <w:tcPr>
                  <w:tcW w:w="747" w:type="pct"/>
                  <w:tcBorders>
                    <w:top w:val="single" w:color="auto" w:sz="4" w:space="0"/>
                    <w:left w:val="single" w:color="auto" w:sz="4" w:space="0"/>
                    <w:bottom w:val="single" w:color="auto" w:sz="4" w:space="0"/>
                    <w:right w:val="single" w:color="auto" w:sz="4" w:space="0"/>
                  </w:tcBorders>
                  <w:vAlign w:val="center"/>
                </w:tcPr>
                <w:p w14:paraId="70EEE18B">
                  <w:pPr>
                    <w:widowControl/>
                    <w:spacing w:line="276" w:lineRule="auto"/>
                    <w:jc w:val="center"/>
                    <w:rPr>
                      <w:bCs/>
                      <w:color w:val="auto"/>
                      <w:kern w:val="0"/>
                      <w:szCs w:val="21"/>
                    </w:rPr>
                  </w:pPr>
                  <w:r>
                    <w:rPr>
                      <w:rFonts w:hint="eastAsia"/>
                      <w:bCs/>
                      <w:color w:val="auto"/>
                      <w:kern w:val="0"/>
                      <w:szCs w:val="21"/>
                    </w:rPr>
                    <w:t>21</w:t>
                  </w:r>
                </w:p>
              </w:tc>
              <w:tc>
                <w:tcPr>
                  <w:tcW w:w="796" w:type="pct"/>
                  <w:tcBorders>
                    <w:top w:val="single" w:color="auto" w:sz="4" w:space="0"/>
                    <w:left w:val="single" w:color="auto" w:sz="4" w:space="0"/>
                    <w:bottom w:val="single" w:color="auto" w:sz="4" w:space="0"/>
                    <w:right w:val="single" w:color="auto" w:sz="4" w:space="0"/>
                  </w:tcBorders>
                  <w:vAlign w:val="center"/>
                </w:tcPr>
                <w:p w14:paraId="1BB3A739">
                  <w:pPr>
                    <w:widowControl/>
                    <w:spacing w:line="276" w:lineRule="auto"/>
                    <w:jc w:val="center"/>
                    <w:rPr>
                      <w:bCs/>
                      <w:color w:val="auto"/>
                      <w:kern w:val="0"/>
                      <w:szCs w:val="21"/>
                    </w:rPr>
                  </w:pPr>
                  <w:r>
                    <w:rPr>
                      <w:bCs/>
                      <w:color w:val="auto"/>
                      <w:kern w:val="0"/>
                      <w:szCs w:val="21"/>
                    </w:rPr>
                    <w:t>40</w:t>
                  </w:r>
                </w:p>
              </w:tc>
              <w:tc>
                <w:tcPr>
                  <w:tcW w:w="483" w:type="pct"/>
                  <w:tcBorders>
                    <w:top w:val="single" w:color="auto" w:sz="4" w:space="0"/>
                    <w:left w:val="single" w:color="auto" w:sz="4" w:space="0"/>
                    <w:bottom w:val="single" w:color="auto" w:sz="4" w:space="0"/>
                    <w:right w:val="single" w:color="auto" w:sz="4" w:space="0"/>
                  </w:tcBorders>
                  <w:vAlign w:val="center"/>
                </w:tcPr>
                <w:p w14:paraId="145DE04A">
                  <w:pPr>
                    <w:widowControl/>
                    <w:spacing w:line="276" w:lineRule="auto"/>
                    <w:jc w:val="center"/>
                    <w:rPr>
                      <w:bCs/>
                      <w:color w:val="auto"/>
                      <w:kern w:val="0"/>
                      <w:szCs w:val="21"/>
                    </w:rPr>
                  </w:pPr>
                  <w:r>
                    <w:rPr>
                      <w:rFonts w:hint="eastAsia"/>
                      <w:bCs/>
                      <w:color w:val="auto"/>
                      <w:kern w:val="0"/>
                      <w:szCs w:val="21"/>
                    </w:rPr>
                    <w:t>35</w:t>
                  </w:r>
                </w:p>
              </w:tc>
              <w:tc>
                <w:tcPr>
                  <w:tcW w:w="761" w:type="pct"/>
                  <w:tcBorders>
                    <w:top w:val="single" w:color="auto" w:sz="4" w:space="0"/>
                    <w:left w:val="single" w:color="auto" w:sz="4" w:space="0"/>
                    <w:bottom w:val="single" w:color="auto" w:sz="4" w:space="0"/>
                    <w:right w:val="nil"/>
                  </w:tcBorders>
                  <w:vAlign w:val="center"/>
                </w:tcPr>
                <w:p w14:paraId="38AD8455">
                  <w:pPr>
                    <w:widowControl/>
                    <w:spacing w:line="276" w:lineRule="auto"/>
                    <w:jc w:val="center"/>
                    <w:rPr>
                      <w:bCs/>
                      <w:color w:val="auto"/>
                      <w:kern w:val="0"/>
                      <w:szCs w:val="21"/>
                    </w:rPr>
                  </w:pPr>
                  <w:r>
                    <w:rPr>
                      <w:rFonts w:hint="eastAsia" w:hAnsi="宋体"/>
                      <w:bCs/>
                      <w:color w:val="auto"/>
                      <w:kern w:val="0"/>
                      <w:szCs w:val="21"/>
                    </w:rPr>
                    <w:t>达标</w:t>
                  </w:r>
                </w:p>
              </w:tc>
            </w:tr>
            <w:tr w14:paraId="589019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48" w:type="pct"/>
                  <w:tcBorders>
                    <w:top w:val="single" w:color="auto" w:sz="4" w:space="0"/>
                    <w:left w:val="nil"/>
                    <w:bottom w:val="single" w:color="auto" w:sz="4" w:space="0"/>
                    <w:right w:val="single" w:color="auto" w:sz="4" w:space="0"/>
                  </w:tcBorders>
                  <w:vAlign w:val="center"/>
                </w:tcPr>
                <w:p w14:paraId="1BC7F41C">
                  <w:pPr>
                    <w:widowControl/>
                    <w:spacing w:line="276" w:lineRule="auto"/>
                    <w:jc w:val="center"/>
                    <w:rPr>
                      <w:bCs/>
                      <w:color w:val="auto"/>
                      <w:kern w:val="0"/>
                      <w:szCs w:val="21"/>
                    </w:rPr>
                  </w:pPr>
                  <w:r>
                    <w:rPr>
                      <w:bCs/>
                      <w:color w:val="auto"/>
                      <w:kern w:val="0"/>
                      <w:szCs w:val="21"/>
                    </w:rPr>
                    <w:t>PM</w:t>
                  </w:r>
                  <w:r>
                    <w:rPr>
                      <w:bCs/>
                      <w:color w:val="auto"/>
                      <w:kern w:val="0"/>
                      <w:szCs w:val="21"/>
                      <w:vertAlign w:val="subscript"/>
                    </w:rPr>
                    <w:t>10</w:t>
                  </w:r>
                </w:p>
              </w:tc>
              <w:tc>
                <w:tcPr>
                  <w:tcW w:w="1666" w:type="pct"/>
                  <w:tcBorders>
                    <w:top w:val="single" w:color="auto" w:sz="4" w:space="0"/>
                    <w:left w:val="single" w:color="auto" w:sz="4" w:space="0"/>
                    <w:bottom w:val="single" w:color="auto" w:sz="4" w:space="0"/>
                    <w:right w:val="single" w:color="auto" w:sz="4" w:space="0"/>
                  </w:tcBorders>
                  <w:vAlign w:val="center"/>
                </w:tcPr>
                <w:p w14:paraId="6C27A7E1">
                  <w:pPr>
                    <w:widowControl/>
                    <w:spacing w:line="276" w:lineRule="auto"/>
                    <w:jc w:val="center"/>
                    <w:rPr>
                      <w:bCs/>
                      <w:color w:val="auto"/>
                      <w:kern w:val="0"/>
                      <w:szCs w:val="21"/>
                    </w:rPr>
                  </w:pPr>
                  <w:r>
                    <w:rPr>
                      <w:rFonts w:hint="eastAsia" w:hAnsi="宋体"/>
                      <w:bCs/>
                      <w:color w:val="auto"/>
                      <w:kern w:val="0"/>
                      <w:szCs w:val="21"/>
                    </w:rPr>
                    <w:t>年平均质量浓度</w:t>
                  </w:r>
                </w:p>
              </w:tc>
              <w:tc>
                <w:tcPr>
                  <w:tcW w:w="747" w:type="pct"/>
                  <w:tcBorders>
                    <w:top w:val="single" w:color="auto" w:sz="4" w:space="0"/>
                    <w:left w:val="single" w:color="auto" w:sz="4" w:space="0"/>
                    <w:bottom w:val="single" w:color="auto" w:sz="4" w:space="0"/>
                    <w:right w:val="single" w:color="auto" w:sz="4" w:space="0"/>
                  </w:tcBorders>
                  <w:vAlign w:val="center"/>
                </w:tcPr>
                <w:p w14:paraId="65CEDB48">
                  <w:pPr>
                    <w:widowControl/>
                    <w:spacing w:line="276" w:lineRule="auto"/>
                    <w:jc w:val="center"/>
                    <w:rPr>
                      <w:bCs/>
                      <w:color w:val="auto"/>
                      <w:kern w:val="0"/>
                      <w:szCs w:val="21"/>
                    </w:rPr>
                  </w:pPr>
                  <w:r>
                    <w:rPr>
                      <w:rFonts w:hint="eastAsia"/>
                      <w:bCs/>
                      <w:color w:val="auto"/>
                      <w:kern w:val="0"/>
                      <w:szCs w:val="21"/>
                    </w:rPr>
                    <w:t>65.9</w:t>
                  </w:r>
                </w:p>
              </w:tc>
              <w:tc>
                <w:tcPr>
                  <w:tcW w:w="796" w:type="pct"/>
                  <w:tcBorders>
                    <w:top w:val="single" w:color="auto" w:sz="4" w:space="0"/>
                    <w:left w:val="single" w:color="auto" w:sz="4" w:space="0"/>
                    <w:bottom w:val="single" w:color="auto" w:sz="4" w:space="0"/>
                    <w:right w:val="single" w:color="auto" w:sz="4" w:space="0"/>
                  </w:tcBorders>
                  <w:vAlign w:val="center"/>
                </w:tcPr>
                <w:p w14:paraId="1E757C9D">
                  <w:pPr>
                    <w:widowControl/>
                    <w:spacing w:line="276" w:lineRule="auto"/>
                    <w:jc w:val="center"/>
                    <w:rPr>
                      <w:bCs/>
                      <w:color w:val="auto"/>
                      <w:kern w:val="0"/>
                      <w:szCs w:val="21"/>
                    </w:rPr>
                  </w:pPr>
                  <w:r>
                    <w:rPr>
                      <w:bCs/>
                      <w:color w:val="auto"/>
                      <w:kern w:val="0"/>
                      <w:szCs w:val="21"/>
                    </w:rPr>
                    <w:t>70</w:t>
                  </w:r>
                </w:p>
              </w:tc>
              <w:tc>
                <w:tcPr>
                  <w:tcW w:w="483" w:type="pct"/>
                  <w:tcBorders>
                    <w:top w:val="single" w:color="auto" w:sz="4" w:space="0"/>
                    <w:left w:val="single" w:color="auto" w:sz="4" w:space="0"/>
                    <w:bottom w:val="single" w:color="auto" w:sz="4" w:space="0"/>
                    <w:right w:val="single" w:color="auto" w:sz="4" w:space="0"/>
                  </w:tcBorders>
                  <w:vAlign w:val="center"/>
                </w:tcPr>
                <w:p w14:paraId="51FD49C2">
                  <w:pPr>
                    <w:widowControl/>
                    <w:spacing w:line="276" w:lineRule="auto"/>
                    <w:jc w:val="center"/>
                    <w:rPr>
                      <w:bCs/>
                      <w:color w:val="auto"/>
                      <w:kern w:val="0"/>
                      <w:szCs w:val="21"/>
                    </w:rPr>
                  </w:pPr>
                  <w:r>
                    <w:rPr>
                      <w:rFonts w:hint="eastAsia"/>
                      <w:bCs/>
                      <w:color w:val="auto"/>
                      <w:kern w:val="0"/>
                      <w:szCs w:val="21"/>
                    </w:rPr>
                    <w:t>94.1</w:t>
                  </w:r>
                </w:p>
              </w:tc>
              <w:tc>
                <w:tcPr>
                  <w:tcW w:w="761" w:type="pct"/>
                  <w:tcBorders>
                    <w:top w:val="single" w:color="auto" w:sz="4" w:space="0"/>
                    <w:left w:val="single" w:color="auto" w:sz="4" w:space="0"/>
                    <w:bottom w:val="single" w:color="auto" w:sz="4" w:space="0"/>
                    <w:right w:val="nil"/>
                  </w:tcBorders>
                  <w:vAlign w:val="center"/>
                </w:tcPr>
                <w:p w14:paraId="272D34B4">
                  <w:pPr>
                    <w:widowControl/>
                    <w:spacing w:line="276" w:lineRule="auto"/>
                    <w:jc w:val="center"/>
                    <w:rPr>
                      <w:bCs/>
                      <w:color w:val="auto"/>
                      <w:kern w:val="0"/>
                      <w:szCs w:val="21"/>
                    </w:rPr>
                  </w:pPr>
                  <w:r>
                    <w:rPr>
                      <w:bCs/>
                      <w:color w:val="auto"/>
                      <w:kern w:val="0"/>
                      <w:szCs w:val="21"/>
                    </w:rPr>
                    <w:t>达标</w:t>
                  </w:r>
                </w:p>
              </w:tc>
            </w:tr>
            <w:tr w14:paraId="323C2B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48" w:type="pct"/>
                  <w:tcBorders>
                    <w:top w:val="single" w:color="auto" w:sz="4" w:space="0"/>
                    <w:left w:val="nil"/>
                    <w:bottom w:val="single" w:color="auto" w:sz="4" w:space="0"/>
                    <w:right w:val="single" w:color="auto" w:sz="4" w:space="0"/>
                  </w:tcBorders>
                  <w:vAlign w:val="center"/>
                </w:tcPr>
                <w:p w14:paraId="275F5427">
                  <w:pPr>
                    <w:widowControl/>
                    <w:spacing w:line="276" w:lineRule="auto"/>
                    <w:jc w:val="center"/>
                    <w:rPr>
                      <w:bCs/>
                      <w:color w:val="auto"/>
                      <w:kern w:val="0"/>
                      <w:szCs w:val="21"/>
                    </w:rPr>
                  </w:pPr>
                  <w:r>
                    <w:rPr>
                      <w:bCs/>
                      <w:color w:val="auto"/>
                      <w:kern w:val="0"/>
                      <w:szCs w:val="21"/>
                    </w:rPr>
                    <w:t>PM</w:t>
                  </w:r>
                  <w:r>
                    <w:rPr>
                      <w:bCs/>
                      <w:color w:val="auto"/>
                      <w:kern w:val="0"/>
                      <w:szCs w:val="21"/>
                      <w:vertAlign w:val="subscript"/>
                    </w:rPr>
                    <w:t>2.5</w:t>
                  </w:r>
                </w:p>
              </w:tc>
              <w:tc>
                <w:tcPr>
                  <w:tcW w:w="1666" w:type="pct"/>
                  <w:tcBorders>
                    <w:top w:val="single" w:color="auto" w:sz="4" w:space="0"/>
                    <w:left w:val="single" w:color="auto" w:sz="4" w:space="0"/>
                    <w:bottom w:val="single" w:color="auto" w:sz="4" w:space="0"/>
                    <w:right w:val="single" w:color="auto" w:sz="4" w:space="0"/>
                  </w:tcBorders>
                  <w:vAlign w:val="center"/>
                </w:tcPr>
                <w:p w14:paraId="44845CA2">
                  <w:pPr>
                    <w:widowControl/>
                    <w:spacing w:line="276" w:lineRule="auto"/>
                    <w:jc w:val="center"/>
                    <w:rPr>
                      <w:bCs/>
                      <w:color w:val="auto"/>
                      <w:kern w:val="0"/>
                      <w:szCs w:val="21"/>
                    </w:rPr>
                  </w:pPr>
                  <w:r>
                    <w:rPr>
                      <w:rFonts w:hint="eastAsia" w:hAnsi="宋体"/>
                      <w:bCs/>
                      <w:color w:val="auto"/>
                      <w:kern w:val="0"/>
                      <w:szCs w:val="21"/>
                    </w:rPr>
                    <w:t>年平均质量浓度</w:t>
                  </w:r>
                </w:p>
              </w:tc>
              <w:tc>
                <w:tcPr>
                  <w:tcW w:w="747" w:type="pct"/>
                  <w:tcBorders>
                    <w:top w:val="single" w:color="auto" w:sz="4" w:space="0"/>
                    <w:left w:val="single" w:color="auto" w:sz="4" w:space="0"/>
                    <w:bottom w:val="single" w:color="auto" w:sz="4" w:space="0"/>
                    <w:right w:val="single" w:color="auto" w:sz="4" w:space="0"/>
                  </w:tcBorders>
                  <w:vAlign w:val="center"/>
                </w:tcPr>
                <w:p w14:paraId="75BB7A2B">
                  <w:pPr>
                    <w:widowControl/>
                    <w:spacing w:line="276" w:lineRule="auto"/>
                    <w:jc w:val="center"/>
                    <w:rPr>
                      <w:bCs/>
                      <w:color w:val="auto"/>
                      <w:kern w:val="0"/>
                      <w:szCs w:val="21"/>
                    </w:rPr>
                  </w:pPr>
                  <w:r>
                    <w:rPr>
                      <w:rFonts w:hint="eastAsia"/>
                      <w:bCs/>
                      <w:color w:val="auto"/>
                      <w:kern w:val="0"/>
                      <w:szCs w:val="21"/>
                    </w:rPr>
                    <w:t>38.7</w:t>
                  </w:r>
                </w:p>
              </w:tc>
              <w:tc>
                <w:tcPr>
                  <w:tcW w:w="796" w:type="pct"/>
                  <w:tcBorders>
                    <w:top w:val="single" w:color="auto" w:sz="4" w:space="0"/>
                    <w:left w:val="single" w:color="auto" w:sz="4" w:space="0"/>
                    <w:bottom w:val="single" w:color="auto" w:sz="4" w:space="0"/>
                    <w:right w:val="single" w:color="auto" w:sz="4" w:space="0"/>
                  </w:tcBorders>
                  <w:vAlign w:val="center"/>
                </w:tcPr>
                <w:p w14:paraId="0B92A3B8">
                  <w:pPr>
                    <w:widowControl/>
                    <w:spacing w:line="276" w:lineRule="auto"/>
                    <w:jc w:val="center"/>
                    <w:rPr>
                      <w:bCs/>
                      <w:color w:val="auto"/>
                      <w:kern w:val="0"/>
                      <w:szCs w:val="21"/>
                    </w:rPr>
                  </w:pPr>
                  <w:r>
                    <w:rPr>
                      <w:bCs/>
                      <w:color w:val="auto"/>
                      <w:kern w:val="0"/>
                      <w:szCs w:val="21"/>
                    </w:rPr>
                    <w:t>35</w:t>
                  </w:r>
                </w:p>
              </w:tc>
              <w:tc>
                <w:tcPr>
                  <w:tcW w:w="483" w:type="pct"/>
                  <w:tcBorders>
                    <w:top w:val="single" w:color="auto" w:sz="4" w:space="0"/>
                    <w:left w:val="single" w:color="auto" w:sz="4" w:space="0"/>
                    <w:bottom w:val="single" w:color="auto" w:sz="4" w:space="0"/>
                    <w:right w:val="single" w:color="auto" w:sz="4" w:space="0"/>
                  </w:tcBorders>
                  <w:vAlign w:val="center"/>
                </w:tcPr>
                <w:p w14:paraId="0B985D31">
                  <w:pPr>
                    <w:widowControl/>
                    <w:spacing w:line="276" w:lineRule="auto"/>
                    <w:jc w:val="center"/>
                    <w:rPr>
                      <w:bCs/>
                      <w:color w:val="auto"/>
                      <w:kern w:val="0"/>
                      <w:szCs w:val="21"/>
                    </w:rPr>
                  </w:pPr>
                  <w:r>
                    <w:rPr>
                      <w:rFonts w:hint="eastAsia"/>
                      <w:bCs/>
                      <w:color w:val="auto"/>
                      <w:kern w:val="0"/>
                      <w:szCs w:val="21"/>
                    </w:rPr>
                    <w:t>113.4</w:t>
                  </w:r>
                </w:p>
              </w:tc>
              <w:tc>
                <w:tcPr>
                  <w:tcW w:w="761" w:type="pct"/>
                  <w:tcBorders>
                    <w:top w:val="single" w:color="auto" w:sz="4" w:space="0"/>
                    <w:left w:val="single" w:color="auto" w:sz="4" w:space="0"/>
                    <w:bottom w:val="single" w:color="auto" w:sz="4" w:space="0"/>
                    <w:right w:val="nil"/>
                  </w:tcBorders>
                  <w:vAlign w:val="center"/>
                </w:tcPr>
                <w:p w14:paraId="2B55CB08">
                  <w:pPr>
                    <w:widowControl/>
                    <w:spacing w:line="276" w:lineRule="auto"/>
                    <w:jc w:val="center"/>
                    <w:rPr>
                      <w:bCs/>
                      <w:color w:val="auto"/>
                      <w:kern w:val="0"/>
                      <w:szCs w:val="21"/>
                    </w:rPr>
                  </w:pPr>
                  <w:r>
                    <w:rPr>
                      <w:bCs/>
                      <w:color w:val="auto"/>
                      <w:kern w:val="0"/>
                      <w:szCs w:val="21"/>
                    </w:rPr>
                    <w:t>不达标</w:t>
                  </w:r>
                </w:p>
              </w:tc>
            </w:tr>
            <w:tr w14:paraId="2CA330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48" w:type="pct"/>
                  <w:tcBorders>
                    <w:top w:val="single" w:color="auto" w:sz="4" w:space="0"/>
                    <w:left w:val="nil"/>
                    <w:bottom w:val="single" w:color="auto" w:sz="4" w:space="0"/>
                    <w:right w:val="single" w:color="auto" w:sz="4" w:space="0"/>
                  </w:tcBorders>
                  <w:vAlign w:val="center"/>
                </w:tcPr>
                <w:p w14:paraId="02FBBA0D">
                  <w:pPr>
                    <w:widowControl/>
                    <w:spacing w:line="276" w:lineRule="auto"/>
                    <w:jc w:val="center"/>
                    <w:rPr>
                      <w:bCs/>
                      <w:color w:val="auto"/>
                      <w:kern w:val="0"/>
                      <w:szCs w:val="21"/>
                    </w:rPr>
                  </w:pPr>
                  <w:r>
                    <w:rPr>
                      <w:bCs/>
                      <w:color w:val="auto"/>
                      <w:kern w:val="0"/>
                      <w:szCs w:val="21"/>
                    </w:rPr>
                    <w:t>CO</w:t>
                  </w:r>
                </w:p>
              </w:tc>
              <w:tc>
                <w:tcPr>
                  <w:tcW w:w="1666" w:type="pct"/>
                  <w:tcBorders>
                    <w:top w:val="single" w:color="auto" w:sz="4" w:space="0"/>
                    <w:left w:val="single" w:color="auto" w:sz="4" w:space="0"/>
                    <w:bottom w:val="single" w:color="auto" w:sz="4" w:space="0"/>
                    <w:right w:val="single" w:color="auto" w:sz="4" w:space="0"/>
                  </w:tcBorders>
                  <w:vAlign w:val="center"/>
                </w:tcPr>
                <w:p w14:paraId="16EA60FE">
                  <w:pPr>
                    <w:widowControl/>
                    <w:spacing w:line="276" w:lineRule="auto"/>
                    <w:jc w:val="center"/>
                    <w:rPr>
                      <w:bCs/>
                      <w:color w:val="auto"/>
                      <w:kern w:val="0"/>
                      <w:szCs w:val="21"/>
                    </w:rPr>
                  </w:pPr>
                  <w:r>
                    <w:rPr>
                      <w:rFonts w:hint="eastAsia" w:hAnsi="宋体"/>
                      <w:bCs/>
                      <w:color w:val="auto"/>
                      <w:kern w:val="0"/>
                      <w:szCs w:val="21"/>
                    </w:rPr>
                    <w:t>第</w:t>
                  </w:r>
                  <w:r>
                    <w:rPr>
                      <w:bCs/>
                      <w:color w:val="auto"/>
                      <w:kern w:val="0"/>
                      <w:szCs w:val="21"/>
                    </w:rPr>
                    <w:t>95</w:t>
                  </w:r>
                  <w:r>
                    <w:rPr>
                      <w:rFonts w:hint="eastAsia" w:hAnsi="宋体"/>
                      <w:bCs/>
                      <w:color w:val="auto"/>
                      <w:kern w:val="0"/>
                      <w:szCs w:val="21"/>
                    </w:rPr>
                    <w:t>百分位数日平均质量浓度</w:t>
                  </w:r>
                </w:p>
              </w:tc>
              <w:tc>
                <w:tcPr>
                  <w:tcW w:w="747" w:type="pct"/>
                  <w:tcBorders>
                    <w:top w:val="single" w:color="auto" w:sz="4" w:space="0"/>
                    <w:left w:val="single" w:color="auto" w:sz="4" w:space="0"/>
                    <w:bottom w:val="single" w:color="auto" w:sz="4" w:space="0"/>
                    <w:right w:val="single" w:color="auto" w:sz="4" w:space="0"/>
                  </w:tcBorders>
                  <w:vAlign w:val="center"/>
                </w:tcPr>
                <w:p w14:paraId="28F7994D">
                  <w:pPr>
                    <w:widowControl/>
                    <w:spacing w:line="276" w:lineRule="auto"/>
                    <w:jc w:val="center"/>
                    <w:rPr>
                      <w:bCs/>
                      <w:color w:val="auto"/>
                      <w:kern w:val="0"/>
                      <w:szCs w:val="21"/>
                    </w:rPr>
                  </w:pPr>
                  <w:r>
                    <w:rPr>
                      <w:rFonts w:hint="eastAsia"/>
                      <w:bCs/>
                      <w:color w:val="auto"/>
                      <w:kern w:val="0"/>
                      <w:szCs w:val="21"/>
                    </w:rPr>
                    <w:t>700</w:t>
                  </w:r>
                </w:p>
              </w:tc>
              <w:tc>
                <w:tcPr>
                  <w:tcW w:w="796" w:type="pct"/>
                  <w:tcBorders>
                    <w:top w:val="single" w:color="auto" w:sz="4" w:space="0"/>
                    <w:left w:val="single" w:color="auto" w:sz="4" w:space="0"/>
                    <w:bottom w:val="single" w:color="auto" w:sz="4" w:space="0"/>
                    <w:right w:val="single" w:color="auto" w:sz="4" w:space="0"/>
                  </w:tcBorders>
                  <w:vAlign w:val="center"/>
                </w:tcPr>
                <w:p w14:paraId="56A5B26A">
                  <w:pPr>
                    <w:widowControl/>
                    <w:spacing w:line="276" w:lineRule="auto"/>
                    <w:jc w:val="center"/>
                    <w:rPr>
                      <w:bCs/>
                      <w:color w:val="auto"/>
                      <w:kern w:val="0"/>
                      <w:szCs w:val="21"/>
                    </w:rPr>
                  </w:pPr>
                  <w:r>
                    <w:rPr>
                      <w:bCs/>
                      <w:color w:val="auto"/>
                      <w:kern w:val="0"/>
                      <w:szCs w:val="21"/>
                    </w:rPr>
                    <w:t>4000</w:t>
                  </w:r>
                </w:p>
              </w:tc>
              <w:tc>
                <w:tcPr>
                  <w:tcW w:w="483" w:type="pct"/>
                  <w:tcBorders>
                    <w:top w:val="single" w:color="auto" w:sz="4" w:space="0"/>
                    <w:left w:val="single" w:color="auto" w:sz="4" w:space="0"/>
                    <w:bottom w:val="single" w:color="auto" w:sz="4" w:space="0"/>
                    <w:right w:val="single" w:color="auto" w:sz="4" w:space="0"/>
                  </w:tcBorders>
                  <w:vAlign w:val="center"/>
                </w:tcPr>
                <w:p w14:paraId="68F04E0C">
                  <w:pPr>
                    <w:widowControl/>
                    <w:spacing w:line="276" w:lineRule="auto"/>
                    <w:jc w:val="center"/>
                    <w:rPr>
                      <w:bCs/>
                      <w:color w:val="auto"/>
                      <w:kern w:val="0"/>
                      <w:szCs w:val="21"/>
                    </w:rPr>
                  </w:pPr>
                  <w:r>
                    <w:rPr>
                      <w:rFonts w:hint="eastAsia"/>
                      <w:bCs/>
                      <w:color w:val="auto"/>
                      <w:kern w:val="0"/>
                      <w:szCs w:val="21"/>
                    </w:rPr>
                    <w:t>17.5</w:t>
                  </w:r>
                </w:p>
              </w:tc>
              <w:tc>
                <w:tcPr>
                  <w:tcW w:w="761" w:type="pct"/>
                  <w:tcBorders>
                    <w:top w:val="single" w:color="auto" w:sz="4" w:space="0"/>
                    <w:left w:val="single" w:color="auto" w:sz="4" w:space="0"/>
                    <w:bottom w:val="single" w:color="auto" w:sz="4" w:space="0"/>
                    <w:right w:val="nil"/>
                  </w:tcBorders>
                  <w:vAlign w:val="center"/>
                </w:tcPr>
                <w:p w14:paraId="04CA8455">
                  <w:pPr>
                    <w:widowControl/>
                    <w:spacing w:line="276" w:lineRule="auto"/>
                    <w:jc w:val="center"/>
                    <w:rPr>
                      <w:bCs/>
                      <w:color w:val="auto"/>
                      <w:kern w:val="0"/>
                      <w:szCs w:val="21"/>
                    </w:rPr>
                  </w:pPr>
                  <w:r>
                    <w:rPr>
                      <w:rFonts w:hint="eastAsia" w:hAnsi="宋体"/>
                      <w:bCs/>
                      <w:color w:val="auto"/>
                      <w:kern w:val="0"/>
                      <w:szCs w:val="21"/>
                    </w:rPr>
                    <w:t>达标</w:t>
                  </w:r>
                </w:p>
              </w:tc>
            </w:tr>
            <w:tr w14:paraId="194BFB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548" w:type="pct"/>
                  <w:tcBorders>
                    <w:top w:val="single" w:color="auto" w:sz="4" w:space="0"/>
                    <w:left w:val="nil"/>
                    <w:bottom w:val="single" w:color="auto" w:sz="12" w:space="0"/>
                    <w:right w:val="single" w:color="auto" w:sz="4" w:space="0"/>
                  </w:tcBorders>
                  <w:vAlign w:val="center"/>
                </w:tcPr>
                <w:p w14:paraId="4D58F4EF">
                  <w:pPr>
                    <w:widowControl/>
                    <w:spacing w:line="276" w:lineRule="auto"/>
                    <w:jc w:val="center"/>
                    <w:rPr>
                      <w:bCs/>
                      <w:color w:val="auto"/>
                      <w:kern w:val="0"/>
                      <w:szCs w:val="21"/>
                    </w:rPr>
                  </w:pPr>
                  <w:r>
                    <w:rPr>
                      <w:bCs/>
                      <w:color w:val="auto"/>
                      <w:kern w:val="0"/>
                      <w:szCs w:val="21"/>
                    </w:rPr>
                    <w:t>O</w:t>
                  </w:r>
                  <w:r>
                    <w:rPr>
                      <w:bCs/>
                      <w:color w:val="auto"/>
                      <w:kern w:val="0"/>
                      <w:szCs w:val="21"/>
                      <w:vertAlign w:val="subscript"/>
                    </w:rPr>
                    <w:t>3</w:t>
                  </w:r>
                </w:p>
              </w:tc>
              <w:tc>
                <w:tcPr>
                  <w:tcW w:w="1666" w:type="pct"/>
                  <w:tcBorders>
                    <w:top w:val="single" w:color="auto" w:sz="4" w:space="0"/>
                    <w:left w:val="single" w:color="auto" w:sz="4" w:space="0"/>
                    <w:bottom w:val="single" w:color="auto" w:sz="12" w:space="0"/>
                    <w:right w:val="single" w:color="auto" w:sz="4" w:space="0"/>
                  </w:tcBorders>
                  <w:vAlign w:val="center"/>
                </w:tcPr>
                <w:p w14:paraId="718611BC">
                  <w:pPr>
                    <w:widowControl/>
                    <w:spacing w:line="276" w:lineRule="auto"/>
                    <w:jc w:val="center"/>
                    <w:rPr>
                      <w:bCs/>
                      <w:color w:val="auto"/>
                      <w:kern w:val="0"/>
                      <w:szCs w:val="21"/>
                    </w:rPr>
                  </w:pPr>
                  <w:r>
                    <w:rPr>
                      <w:rFonts w:hint="eastAsia"/>
                      <w:bCs/>
                      <w:color w:val="auto"/>
                      <w:szCs w:val="21"/>
                    </w:rPr>
                    <w:t>第</w:t>
                  </w:r>
                  <w:r>
                    <w:rPr>
                      <w:bCs/>
                      <w:color w:val="auto"/>
                      <w:szCs w:val="21"/>
                    </w:rPr>
                    <w:t>90</w:t>
                  </w:r>
                  <w:r>
                    <w:rPr>
                      <w:rFonts w:hint="eastAsia"/>
                      <w:bCs/>
                      <w:color w:val="auto"/>
                      <w:szCs w:val="21"/>
                    </w:rPr>
                    <w:t>百分位数</w:t>
                  </w:r>
                  <w:r>
                    <w:rPr>
                      <w:rFonts w:hint="eastAsia" w:hAnsi="宋体"/>
                      <w:bCs/>
                      <w:color w:val="auto"/>
                      <w:kern w:val="0"/>
                      <w:szCs w:val="21"/>
                    </w:rPr>
                    <w:t>日平均质量浓度</w:t>
                  </w:r>
                </w:p>
              </w:tc>
              <w:tc>
                <w:tcPr>
                  <w:tcW w:w="747" w:type="pct"/>
                  <w:tcBorders>
                    <w:top w:val="single" w:color="auto" w:sz="4" w:space="0"/>
                    <w:left w:val="single" w:color="auto" w:sz="4" w:space="0"/>
                    <w:bottom w:val="single" w:color="auto" w:sz="12" w:space="0"/>
                    <w:right w:val="single" w:color="auto" w:sz="4" w:space="0"/>
                  </w:tcBorders>
                  <w:vAlign w:val="center"/>
                </w:tcPr>
                <w:p w14:paraId="421F06B5">
                  <w:pPr>
                    <w:widowControl/>
                    <w:spacing w:line="276" w:lineRule="auto"/>
                    <w:jc w:val="center"/>
                    <w:rPr>
                      <w:bCs/>
                      <w:color w:val="auto"/>
                      <w:kern w:val="0"/>
                      <w:szCs w:val="21"/>
                    </w:rPr>
                  </w:pPr>
                  <w:r>
                    <w:rPr>
                      <w:rFonts w:hint="eastAsia"/>
                      <w:bCs/>
                      <w:color w:val="auto"/>
                      <w:kern w:val="0"/>
                      <w:szCs w:val="21"/>
                    </w:rPr>
                    <w:t>157</w:t>
                  </w:r>
                </w:p>
              </w:tc>
              <w:tc>
                <w:tcPr>
                  <w:tcW w:w="796" w:type="pct"/>
                  <w:tcBorders>
                    <w:top w:val="single" w:color="auto" w:sz="4" w:space="0"/>
                    <w:left w:val="single" w:color="auto" w:sz="4" w:space="0"/>
                    <w:bottom w:val="single" w:color="auto" w:sz="12" w:space="0"/>
                    <w:right w:val="single" w:color="auto" w:sz="4" w:space="0"/>
                  </w:tcBorders>
                  <w:vAlign w:val="center"/>
                </w:tcPr>
                <w:p w14:paraId="75B523D4">
                  <w:pPr>
                    <w:widowControl/>
                    <w:spacing w:line="276" w:lineRule="auto"/>
                    <w:jc w:val="center"/>
                    <w:rPr>
                      <w:bCs/>
                      <w:color w:val="auto"/>
                      <w:kern w:val="0"/>
                      <w:szCs w:val="21"/>
                    </w:rPr>
                  </w:pPr>
                  <w:r>
                    <w:rPr>
                      <w:bCs/>
                      <w:color w:val="auto"/>
                      <w:kern w:val="0"/>
                      <w:szCs w:val="21"/>
                    </w:rPr>
                    <w:t>160</w:t>
                  </w:r>
                </w:p>
              </w:tc>
              <w:tc>
                <w:tcPr>
                  <w:tcW w:w="483" w:type="pct"/>
                  <w:tcBorders>
                    <w:top w:val="single" w:color="auto" w:sz="4" w:space="0"/>
                    <w:left w:val="single" w:color="auto" w:sz="4" w:space="0"/>
                    <w:bottom w:val="single" w:color="auto" w:sz="12" w:space="0"/>
                    <w:right w:val="single" w:color="auto" w:sz="4" w:space="0"/>
                  </w:tcBorders>
                  <w:vAlign w:val="center"/>
                </w:tcPr>
                <w:p w14:paraId="26DCA989">
                  <w:pPr>
                    <w:widowControl/>
                    <w:spacing w:line="276" w:lineRule="auto"/>
                    <w:jc w:val="center"/>
                    <w:rPr>
                      <w:bCs/>
                      <w:color w:val="auto"/>
                      <w:kern w:val="0"/>
                      <w:szCs w:val="21"/>
                    </w:rPr>
                  </w:pPr>
                  <w:r>
                    <w:rPr>
                      <w:rFonts w:hint="eastAsia"/>
                      <w:bCs/>
                      <w:color w:val="auto"/>
                      <w:kern w:val="0"/>
                      <w:szCs w:val="21"/>
                    </w:rPr>
                    <w:t>98.1</w:t>
                  </w:r>
                </w:p>
              </w:tc>
              <w:tc>
                <w:tcPr>
                  <w:tcW w:w="761" w:type="pct"/>
                  <w:tcBorders>
                    <w:top w:val="single" w:color="auto" w:sz="4" w:space="0"/>
                    <w:left w:val="single" w:color="auto" w:sz="4" w:space="0"/>
                    <w:bottom w:val="single" w:color="auto" w:sz="12" w:space="0"/>
                    <w:right w:val="nil"/>
                  </w:tcBorders>
                  <w:vAlign w:val="center"/>
                </w:tcPr>
                <w:p w14:paraId="5A2616F1">
                  <w:pPr>
                    <w:widowControl/>
                    <w:spacing w:line="276" w:lineRule="auto"/>
                    <w:jc w:val="center"/>
                    <w:rPr>
                      <w:bCs/>
                      <w:color w:val="auto"/>
                      <w:kern w:val="0"/>
                      <w:szCs w:val="21"/>
                    </w:rPr>
                  </w:pPr>
                  <w:r>
                    <w:rPr>
                      <w:rFonts w:hint="eastAsia" w:hAnsi="宋体"/>
                      <w:bCs/>
                      <w:color w:val="auto"/>
                      <w:kern w:val="0"/>
                      <w:szCs w:val="21"/>
                    </w:rPr>
                    <w:t>达标</w:t>
                  </w:r>
                </w:p>
              </w:tc>
            </w:tr>
          </w:tbl>
          <w:p w14:paraId="3E495268">
            <w:pPr>
              <w:widowControl/>
              <w:spacing w:line="360" w:lineRule="auto"/>
              <w:ind w:firstLine="480" w:firstLineChars="200"/>
              <w:rPr>
                <w:rFonts w:hAnsi="宋体"/>
                <w:color w:val="auto"/>
                <w:kern w:val="0"/>
                <w:sz w:val="24"/>
                <w:szCs w:val="24"/>
              </w:rPr>
            </w:pPr>
            <w:r>
              <w:rPr>
                <w:rFonts w:hint="eastAsia" w:hAnsi="宋体"/>
                <w:color w:val="auto"/>
                <w:kern w:val="0"/>
                <w:sz w:val="24"/>
                <w:szCs w:val="24"/>
              </w:rPr>
              <w:t>根据《</w:t>
            </w:r>
            <w:r>
              <w:rPr>
                <w:color w:val="auto"/>
                <w:kern w:val="0"/>
                <w:sz w:val="24"/>
                <w:szCs w:val="24"/>
              </w:rPr>
              <w:t>202</w:t>
            </w:r>
            <w:r>
              <w:rPr>
                <w:rFonts w:hint="eastAsia"/>
                <w:color w:val="auto"/>
                <w:kern w:val="0"/>
                <w:sz w:val="24"/>
                <w:szCs w:val="24"/>
              </w:rPr>
              <w:t>3</w:t>
            </w:r>
            <w:r>
              <w:rPr>
                <w:rFonts w:hint="eastAsia" w:hAnsi="宋体"/>
                <w:color w:val="auto"/>
                <w:kern w:val="0"/>
                <w:sz w:val="24"/>
                <w:szCs w:val="24"/>
              </w:rPr>
              <w:t>年淮南市环境质量状况公报》并结合《环境空气质量标准》（</w:t>
            </w:r>
            <w:r>
              <w:rPr>
                <w:rFonts w:hAnsi="宋体"/>
                <w:color w:val="auto"/>
                <w:kern w:val="0"/>
                <w:sz w:val="24"/>
                <w:szCs w:val="24"/>
              </w:rPr>
              <w:t>GB3095-2012</w:t>
            </w:r>
            <w:r>
              <w:rPr>
                <w:rFonts w:hint="eastAsia" w:hAnsi="宋体"/>
                <w:color w:val="auto"/>
                <w:kern w:val="0"/>
                <w:sz w:val="24"/>
                <w:szCs w:val="24"/>
              </w:rPr>
              <w:t>）及</w:t>
            </w:r>
            <w:r>
              <w:rPr>
                <w:rFonts w:hAnsi="宋体"/>
                <w:color w:val="auto"/>
                <w:kern w:val="0"/>
                <w:sz w:val="24"/>
                <w:szCs w:val="24"/>
              </w:rPr>
              <w:t>2018</w:t>
            </w:r>
            <w:r>
              <w:rPr>
                <w:rFonts w:hint="eastAsia" w:hAnsi="宋体"/>
                <w:color w:val="auto"/>
                <w:kern w:val="0"/>
                <w:sz w:val="24"/>
                <w:szCs w:val="24"/>
              </w:rPr>
              <w:t>年修改单中二级标准可知，城市环境空气质量达标情况评价指标为</w:t>
            </w:r>
            <w:r>
              <w:rPr>
                <w:color w:val="auto"/>
                <w:sz w:val="24"/>
                <w:szCs w:val="24"/>
              </w:rPr>
              <w:t>PM</w:t>
            </w:r>
            <w:r>
              <w:rPr>
                <w:color w:val="auto"/>
                <w:sz w:val="24"/>
                <w:szCs w:val="24"/>
                <w:vertAlign w:val="subscript"/>
              </w:rPr>
              <w:t>2.5</w:t>
            </w:r>
            <w:r>
              <w:rPr>
                <w:color w:val="auto"/>
                <w:sz w:val="24"/>
                <w:szCs w:val="24"/>
              </w:rPr>
              <w:t>未达到二级标准限值要求。</w:t>
            </w:r>
            <w:r>
              <w:rPr>
                <w:rFonts w:hint="eastAsia" w:hAnsi="宋体"/>
                <w:color w:val="auto"/>
                <w:kern w:val="0"/>
                <w:sz w:val="24"/>
                <w:szCs w:val="24"/>
              </w:rPr>
              <w:t>因此，项目所在区域判定为不达标区。</w:t>
            </w:r>
          </w:p>
          <w:p w14:paraId="144B5D25">
            <w:pPr>
              <w:widowControl/>
              <w:spacing w:line="360" w:lineRule="auto"/>
              <w:ind w:firstLine="480" w:firstLineChars="200"/>
              <w:rPr>
                <w:rFonts w:hAnsi="宋体"/>
                <w:color w:val="auto"/>
                <w:kern w:val="0"/>
                <w:sz w:val="24"/>
                <w:szCs w:val="24"/>
              </w:rPr>
            </w:pPr>
            <w:r>
              <w:rPr>
                <w:rFonts w:hint="eastAsia" w:hAnsi="宋体"/>
                <w:color w:val="auto"/>
                <w:kern w:val="0"/>
                <w:sz w:val="24"/>
                <w:szCs w:val="24"/>
              </w:rPr>
              <w:t>淮南市生态环境局就空气质量不达标提出一系列举措，</w:t>
            </w:r>
            <w:r>
              <w:rPr>
                <w:rFonts w:hint="eastAsia"/>
                <w:color w:val="auto"/>
                <w:sz w:val="24"/>
                <w:szCs w:val="24"/>
              </w:rPr>
              <w:t>为确保淮南市大气污染防治工作有效推进，目前，淮南市已制订《淮南市“十四五”大气污染防治规划（</w:t>
            </w:r>
            <w:r>
              <w:rPr>
                <w:rFonts w:ascii="TimesNewRomanPSMT" w:hAnsi="TimesNewRomanPSMT"/>
                <w:color w:val="auto"/>
                <w:sz w:val="24"/>
                <w:szCs w:val="24"/>
              </w:rPr>
              <w:t>2021</w:t>
            </w:r>
            <w:r>
              <w:rPr>
                <w:rFonts w:hint="eastAsia"/>
                <w:color w:val="auto"/>
                <w:sz w:val="24"/>
                <w:szCs w:val="24"/>
              </w:rPr>
              <w:t>—</w:t>
            </w:r>
            <w:r>
              <w:rPr>
                <w:rFonts w:ascii="TimesNewRomanPSMT" w:hAnsi="TimesNewRomanPSMT"/>
                <w:color w:val="auto"/>
                <w:sz w:val="24"/>
                <w:szCs w:val="24"/>
              </w:rPr>
              <w:t>2025</w:t>
            </w:r>
            <w:r>
              <w:rPr>
                <w:rFonts w:hint="eastAsia"/>
                <w:color w:val="auto"/>
                <w:sz w:val="24"/>
                <w:szCs w:val="24"/>
              </w:rPr>
              <w:t>年）》，围绕工业大气污染治理、扬（烟）尘污染防治等开展专项治理活动，进一步削减大气污染物排放。</w:t>
            </w:r>
          </w:p>
          <w:p w14:paraId="7D51A61D">
            <w:pPr>
              <w:adjustRightInd w:val="0"/>
              <w:spacing w:line="360" w:lineRule="auto"/>
              <w:ind w:firstLine="480" w:firstLineChars="200"/>
              <w:jc w:val="left"/>
              <w:rPr>
                <w:rFonts w:hAnsi="宋体"/>
                <w:color w:val="auto"/>
                <w:sz w:val="24"/>
              </w:rPr>
            </w:pPr>
            <w:r>
              <w:rPr>
                <w:rFonts w:hint="eastAsia" w:hAnsi="宋体"/>
                <w:color w:val="auto"/>
                <w:sz w:val="24"/>
              </w:rPr>
              <w:t>（2）特征污染物环境空气质量现状</w:t>
            </w:r>
          </w:p>
          <w:p w14:paraId="55151A42">
            <w:pPr>
              <w:spacing w:line="360" w:lineRule="auto"/>
              <w:ind w:firstLine="480" w:firstLineChars="200"/>
              <w:rPr>
                <w:color w:val="auto"/>
                <w:sz w:val="24"/>
                <w:szCs w:val="24"/>
              </w:rPr>
            </w:pPr>
            <w:r>
              <w:rPr>
                <w:rFonts w:hint="eastAsia"/>
                <w:color w:val="auto"/>
                <w:sz w:val="24"/>
                <w:szCs w:val="24"/>
              </w:rPr>
              <w:t>该项目生产过程产生的特征污染物为非甲烷总烃，《环境空气质量标准》（GB3095-2012）及2018年修改单中未涉及其相应的标准值。根据全国环评技术评估服务咨询平台解答内容“技术指南中提到“排放国家、地方环境空气质量标准中有标准限值要求的特征污染物”，其中环境空气质量标准指《环境空气质量标准》（GB3095）和地方的环境空气质量标准，不包括《环境影响评价技术导则大气环境》（HJ2.2-2018）附录D、《工业企业设计卫生标准》（TJ36-97）、《前苏联居住区标准》（CH245-71）、《环境影响评价技术导则制药建设项目》（HJ611-2011）、《大气污染物综合排放标准详解》等导则或参考资料。排放的特征污染物需要在国家、地方环境空气质量标准中有限值要求才涉及现状监测，且优先引用现有监测数据。”因此，本项目不需要对大气特征污染物非甲烷总烃进行现状监测。</w:t>
            </w:r>
          </w:p>
          <w:p w14:paraId="11BFD020">
            <w:pPr>
              <w:spacing w:line="360" w:lineRule="auto"/>
              <w:ind w:firstLine="482" w:firstLineChars="200"/>
              <w:rPr>
                <w:b/>
                <w:color w:val="auto"/>
                <w:sz w:val="24"/>
                <w:szCs w:val="28"/>
              </w:rPr>
            </w:pPr>
            <w:r>
              <w:rPr>
                <w:rFonts w:hint="eastAsia"/>
                <w:b/>
                <w:color w:val="auto"/>
                <w:sz w:val="24"/>
                <w:szCs w:val="28"/>
              </w:rPr>
              <w:t>二、地表水质量现状</w:t>
            </w:r>
          </w:p>
          <w:p w14:paraId="5F6153FE">
            <w:pPr>
              <w:autoSpaceDE w:val="0"/>
              <w:autoSpaceDN w:val="0"/>
              <w:spacing w:line="360" w:lineRule="auto"/>
              <w:ind w:firstLine="480" w:firstLineChars="200"/>
              <w:rPr>
                <w:rFonts w:hAnsi="宋体"/>
                <w:color w:val="auto"/>
                <w:sz w:val="24"/>
                <w:szCs w:val="24"/>
              </w:rPr>
            </w:pPr>
            <w:r>
              <w:rPr>
                <w:rFonts w:hint="eastAsia" w:hAnsi="宋体"/>
                <w:color w:val="auto"/>
                <w:sz w:val="24"/>
                <w:szCs w:val="24"/>
              </w:rPr>
              <w:t>与本项目有关的地表水体为淮河。根据淮南市生态环境局发布的《2024年8月环境质量月报》地表水中相关内容可知，淮河鲁台孜、石头埠、袁庄水厂、东部城区水源地、凤台水厂监测断面水质均满足《地表水环境质量标准》（GB3838-2002）</w:t>
            </w:r>
            <w:r>
              <w:rPr>
                <w:color w:val="auto"/>
                <w:sz w:val="24"/>
                <w:szCs w:val="24"/>
              </w:rPr>
              <w:t>Ⅲ类标准</w:t>
            </w:r>
            <w:r>
              <w:rPr>
                <w:rFonts w:hint="eastAsia" w:hAnsi="宋体"/>
                <w:color w:val="auto"/>
                <w:sz w:val="24"/>
                <w:szCs w:val="24"/>
              </w:rPr>
              <w:t>。</w:t>
            </w:r>
          </w:p>
          <w:p w14:paraId="73BF0FAC">
            <w:pPr>
              <w:spacing w:line="360" w:lineRule="auto"/>
              <w:ind w:firstLine="482" w:firstLineChars="200"/>
              <w:rPr>
                <w:b/>
                <w:bCs/>
                <w:color w:val="auto"/>
                <w:sz w:val="24"/>
                <w:szCs w:val="28"/>
              </w:rPr>
            </w:pPr>
            <w:r>
              <w:rPr>
                <w:rFonts w:hint="eastAsia"/>
                <w:b/>
                <w:bCs/>
                <w:color w:val="auto"/>
                <w:sz w:val="24"/>
                <w:szCs w:val="28"/>
              </w:rPr>
              <w:t>三、声环境质量现状</w:t>
            </w:r>
          </w:p>
          <w:p w14:paraId="28FEF272">
            <w:pPr>
              <w:spacing w:line="360" w:lineRule="auto"/>
              <w:ind w:firstLine="480" w:firstLineChars="200"/>
              <w:rPr>
                <w:color w:val="auto"/>
                <w:sz w:val="24"/>
              </w:rPr>
            </w:pPr>
            <w:r>
              <w:rPr>
                <w:rFonts w:hint="eastAsia"/>
                <w:color w:val="auto"/>
                <w:sz w:val="24"/>
              </w:rPr>
              <w:t>根据现场勘查，项目厂界外50m范围内存在声环境保护目标，为了解本项目区域周围声环境现状，本项目委托安徽澳林检测技术有限公司于2024年10月22日对项目厂界噪声及最近环境保护目标进行现状噪声监测。</w:t>
            </w:r>
          </w:p>
          <w:p w14:paraId="5637749E">
            <w:pPr>
              <w:spacing w:line="360" w:lineRule="auto"/>
              <w:ind w:firstLine="480" w:firstLineChars="200"/>
              <w:rPr>
                <w:color w:val="auto"/>
                <w:sz w:val="24"/>
              </w:rPr>
            </w:pPr>
          </w:p>
          <w:p w14:paraId="4488E9C1">
            <w:pPr>
              <w:spacing w:line="360" w:lineRule="auto"/>
              <w:ind w:firstLine="480" w:firstLineChars="200"/>
              <w:rPr>
                <w:color w:val="auto"/>
                <w:sz w:val="24"/>
              </w:rPr>
            </w:pPr>
          </w:p>
          <w:p w14:paraId="2F5F2AA2">
            <w:pPr>
              <w:pStyle w:val="219"/>
              <w:jc w:val="center"/>
              <w:rPr>
                <w:rFonts w:eastAsia="黑体" w:cs="Times New Roman"/>
                <w:color w:val="auto"/>
                <w:szCs w:val="21"/>
              </w:rPr>
            </w:pPr>
            <w:r>
              <w:rPr>
                <w:rFonts w:hAnsi="黑体" w:eastAsia="黑体" w:cs="Times New Roman"/>
                <w:color w:val="auto"/>
              </w:rPr>
              <w:t>表</w:t>
            </w:r>
            <w:r>
              <w:rPr>
                <w:rFonts w:hint="eastAsia" w:eastAsia="黑体" w:cs="Times New Roman"/>
                <w:color w:val="auto"/>
              </w:rPr>
              <w:t>32</w:t>
            </w:r>
            <w:r>
              <w:rPr>
                <w:rFonts w:eastAsia="黑体" w:cs="Times New Roman"/>
                <w:color w:val="auto"/>
              </w:rPr>
              <w:t xml:space="preserve">  </w:t>
            </w:r>
            <w:r>
              <w:rPr>
                <w:rFonts w:hAnsi="黑体" w:eastAsia="黑体" w:cs="Times New Roman"/>
                <w:color w:val="auto"/>
              </w:rPr>
              <w:t>声环境现状监测数据表</w:t>
            </w:r>
          </w:p>
          <w:tbl>
            <w:tblPr>
              <w:tblStyle w:val="35"/>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368"/>
              <w:gridCol w:w="1736"/>
              <w:gridCol w:w="2354"/>
              <w:gridCol w:w="2281"/>
            </w:tblGrid>
            <w:tr w14:paraId="6F6B671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444" w:type="dxa"/>
                  <w:vMerge w:val="restart"/>
                  <w:vAlign w:val="center"/>
                </w:tcPr>
                <w:p w14:paraId="3ABF8418">
                  <w:pPr>
                    <w:spacing w:line="276" w:lineRule="auto"/>
                    <w:jc w:val="center"/>
                    <w:rPr>
                      <w:b/>
                      <w:bCs/>
                      <w:color w:val="auto"/>
                      <w:szCs w:val="21"/>
                    </w:rPr>
                  </w:pPr>
                  <w:r>
                    <w:rPr>
                      <w:rFonts w:hint="eastAsia"/>
                      <w:b/>
                      <w:bCs/>
                      <w:color w:val="auto"/>
                      <w:szCs w:val="21"/>
                    </w:rPr>
                    <w:t>监测点位</w:t>
                  </w:r>
                </w:p>
              </w:tc>
              <w:tc>
                <w:tcPr>
                  <w:tcW w:w="1843" w:type="dxa"/>
                  <w:vMerge w:val="restart"/>
                  <w:vAlign w:val="center"/>
                </w:tcPr>
                <w:p w14:paraId="6A1CC586">
                  <w:pPr>
                    <w:spacing w:line="276" w:lineRule="auto"/>
                    <w:jc w:val="center"/>
                    <w:rPr>
                      <w:b/>
                      <w:bCs/>
                      <w:color w:val="auto"/>
                      <w:szCs w:val="21"/>
                    </w:rPr>
                  </w:pPr>
                  <w:r>
                    <w:rPr>
                      <w:b/>
                      <w:bCs/>
                      <w:color w:val="auto"/>
                      <w:szCs w:val="21"/>
                    </w:rPr>
                    <w:t>监测位置</w:t>
                  </w:r>
                </w:p>
              </w:tc>
              <w:tc>
                <w:tcPr>
                  <w:tcW w:w="4779" w:type="dxa"/>
                  <w:gridSpan w:val="2"/>
                  <w:vAlign w:val="center"/>
                </w:tcPr>
                <w:p w14:paraId="3AB7C8DD">
                  <w:pPr>
                    <w:spacing w:line="276" w:lineRule="auto"/>
                    <w:jc w:val="center"/>
                    <w:rPr>
                      <w:b/>
                      <w:bCs/>
                      <w:color w:val="auto"/>
                      <w:szCs w:val="21"/>
                    </w:rPr>
                  </w:pPr>
                  <w:r>
                    <w:rPr>
                      <w:rFonts w:hint="eastAsia"/>
                      <w:b/>
                      <w:bCs/>
                      <w:color w:val="auto"/>
                      <w:szCs w:val="21"/>
                    </w:rPr>
                    <w:t>2024.10.22</w:t>
                  </w:r>
                </w:p>
              </w:tc>
            </w:tr>
            <w:tr w14:paraId="5E5BCD0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444" w:type="dxa"/>
                  <w:vMerge w:val="continue"/>
                  <w:vAlign w:val="center"/>
                </w:tcPr>
                <w:p w14:paraId="15345109">
                  <w:pPr>
                    <w:spacing w:line="276" w:lineRule="auto"/>
                    <w:jc w:val="center"/>
                    <w:rPr>
                      <w:b/>
                      <w:bCs/>
                      <w:color w:val="auto"/>
                      <w:szCs w:val="21"/>
                    </w:rPr>
                  </w:pPr>
                </w:p>
              </w:tc>
              <w:tc>
                <w:tcPr>
                  <w:tcW w:w="1843" w:type="dxa"/>
                  <w:vMerge w:val="continue"/>
                  <w:vAlign w:val="center"/>
                </w:tcPr>
                <w:p w14:paraId="290C1C64">
                  <w:pPr>
                    <w:spacing w:line="276" w:lineRule="auto"/>
                    <w:jc w:val="center"/>
                    <w:rPr>
                      <w:b/>
                      <w:bCs/>
                      <w:color w:val="auto"/>
                      <w:szCs w:val="21"/>
                    </w:rPr>
                  </w:pPr>
                </w:p>
              </w:tc>
              <w:tc>
                <w:tcPr>
                  <w:tcW w:w="2409" w:type="dxa"/>
                  <w:vAlign w:val="center"/>
                </w:tcPr>
                <w:p w14:paraId="76010FF2">
                  <w:pPr>
                    <w:spacing w:line="276" w:lineRule="auto"/>
                    <w:jc w:val="center"/>
                    <w:rPr>
                      <w:b/>
                      <w:bCs/>
                      <w:color w:val="auto"/>
                      <w:szCs w:val="21"/>
                    </w:rPr>
                  </w:pPr>
                  <w:r>
                    <w:rPr>
                      <w:b/>
                      <w:bCs/>
                      <w:color w:val="auto"/>
                      <w:szCs w:val="21"/>
                    </w:rPr>
                    <w:t>昼间（</w:t>
                  </w:r>
                  <w:r>
                    <w:rPr>
                      <w:rFonts w:hint="eastAsia"/>
                      <w:b/>
                      <w:bCs/>
                      <w:color w:val="auto"/>
                      <w:szCs w:val="21"/>
                    </w:rPr>
                    <w:t>20:00-21:00</w:t>
                  </w:r>
                  <w:r>
                    <w:rPr>
                      <w:b/>
                      <w:bCs/>
                      <w:color w:val="auto"/>
                      <w:szCs w:val="21"/>
                    </w:rPr>
                    <w:t>）</w:t>
                  </w:r>
                </w:p>
              </w:tc>
              <w:tc>
                <w:tcPr>
                  <w:tcW w:w="2370" w:type="dxa"/>
                  <w:vAlign w:val="center"/>
                </w:tcPr>
                <w:p w14:paraId="21A1E8C5">
                  <w:pPr>
                    <w:spacing w:line="276" w:lineRule="auto"/>
                    <w:jc w:val="center"/>
                    <w:rPr>
                      <w:b/>
                      <w:bCs/>
                      <w:color w:val="auto"/>
                      <w:szCs w:val="21"/>
                    </w:rPr>
                  </w:pPr>
                  <w:r>
                    <w:rPr>
                      <w:b/>
                      <w:bCs/>
                      <w:color w:val="auto"/>
                      <w:szCs w:val="21"/>
                    </w:rPr>
                    <w:t>夜间（</w:t>
                  </w:r>
                  <w:r>
                    <w:rPr>
                      <w:rFonts w:hint="eastAsia"/>
                      <w:b/>
                      <w:bCs/>
                      <w:color w:val="auto"/>
                      <w:szCs w:val="21"/>
                    </w:rPr>
                    <w:t>22：00-23:00</w:t>
                  </w:r>
                  <w:r>
                    <w:rPr>
                      <w:b/>
                      <w:bCs/>
                      <w:color w:val="auto"/>
                      <w:szCs w:val="21"/>
                    </w:rPr>
                    <w:t>）</w:t>
                  </w:r>
                </w:p>
              </w:tc>
            </w:tr>
            <w:tr w14:paraId="576788A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444" w:type="dxa"/>
                  <w:vAlign w:val="center"/>
                </w:tcPr>
                <w:p w14:paraId="64948108">
                  <w:pPr>
                    <w:spacing w:line="276" w:lineRule="auto"/>
                    <w:jc w:val="center"/>
                    <w:rPr>
                      <w:bCs/>
                      <w:color w:val="auto"/>
                      <w:szCs w:val="21"/>
                    </w:rPr>
                  </w:pPr>
                  <w:r>
                    <w:rPr>
                      <w:rFonts w:hint="eastAsia"/>
                      <w:bCs/>
                      <w:color w:val="auto"/>
                      <w:szCs w:val="21"/>
                    </w:rPr>
                    <w:t>N</w:t>
                  </w:r>
                  <w:r>
                    <w:rPr>
                      <w:rFonts w:hint="eastAsia"/>
                      <w:bCs/>
                      <w:color w:val="auto"/>
                      <w:szCs w:val="21"/>
                      <w:vertAlign w:val="subscript"/>
                    </w:rPr>
                    <w:t>1</w:t>
                  </w:r>
                </w:p>
              </w:tc>
              <w:tc>
                <w:tcPr>
                  <w:tcW w:w="1843" w:type="dxa"/>
                  <w:vAlign w:val="center"/>
                </w:tcPr>
                <w:p w14:paraId="0D349CB6">
                  <w:pPr>
                    <w:spacing w:line="276" w:lineRule="auto"/>
                    <w:jc w:val="center"/>
                    <w:rPr>
                      <w:bCs/>
                      <w:color w:val="auto"/>
                      <w:szCs w:val="21"/>
                    </w:rPr>
                  </w:pPr>
                  <w:r>
                    <w:rPr>
                      <w:bCs/>
                      <w:color w:val="auto"/>
                      <w:szCs w:val="21"/>
                    </w:rPr>
                    <w:t>东厂界</w:t>
                  </w:r>
                </w:p>
              </w:tc>
              <w:tc>
                <w:tcPr>
                  <w:tcW w:w="2409" w:type="dxa"/>
                  <w:vAlign w:val="center"/>
                </w:tcPr>
                <w:p w14:paraId="60C00640">
                  <w:pPr>
                    <w:spacing w:line="276" w:lineRule="auto"/>
                    <w:jc w:val="center"/>
                    <w:rPr>
                      <w:bCs/>
                      <w:color w:val="auto"/>
                      <w:szCs w:val="21"/>
                    </w:rPr>
                  </w:pPr>
                  <w:r>
                    <w:rPr>
                      <w:rFonts w:hint="eastAsia"/>
                      <w:bCs/>
                      <w:color w:val="auto"/>
                      <w:szCs w:val="21"/>
                    </w:rPr>
                    <w:t>54.7</w:t>
                  </w:r>
                </w:p>
              </w:tc>
              <w:tc>
                <w:tcPr>
                  <w:tcW w:w="2370" w:type="dxa"/>
                  <w:vAlign w:val="center"/>
                </w:tcPr>
                <w:p w14:paraId="66F33A25">
                  <w:pPr>
                    <w:spacing w:line="276" w:lineRule="auto"/>
                    <w:jc w:val="center"/>
                    <w:rPr>
                      <w:bCs/>
                      <w:color w:val="auto"/>
                      <w:szCs w:val="21"/>
                    </w:rPr>
                  </w:pPr>
                  <w:r>
                    <w:rPr>
                      <w:rFonts w:hint="eastAsia"/>
                      <w:bCs/>
                      <w:color w:val="auto"/>
                      <w:szCs w:val="21"/>
                    </w:rPr>
                    <w:t>45.7</w:t>
                  </w:r>
                </w:p>
              </w:tc>
            </w:tr>
            <w:tr w14:paraId="45655C1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444" w:type="dxa"/>
                  <w:vAlign w:val="center"/>
                </w:tcPr>
                <w:p w14:paraId="5CC6619C">
                  <w:pPr>
                    <w:spacing w:line="276" w:lineRule="auto"/>
                    <w:jc w:val="center"/>
                    <w:rPr>
                      <w:bCs/>
                      <w:color w:val="auto"/>
                      <w:szCs w:val="21"/>
                    </w:rPr>
                  </w:pPr>
                  <w:r>
                    <w:rPr>
                      <w:rFonts w:hint="eastAsia"/>
                      <w:bCs/>
                      <w:color w:val="auto"/>
                      <w:szCs w:val="21"/>
                    </w:rPr>
                    <w:t>N</w:t>
                  </w:r>
                  <w:r>
                    <w:rPr>
                      <w:rFonts w:hint="eastAsia"/>
                      <w:bCs/>
                      <w:color w:val="auto"/>
                      <w:szCs w:val="21"/>
                      <w:vertAlign w:val="subscript"/>
                    </w:rPr>
                    <w:t>2</w:t>
                  </w:r>
                </w:p>
              </w:tc>
              <w:tc>
                <w:tcPr>
                  <w:tcW w:w="1843" w:type="dxa"/>
                  <w:vAlign w:val="center"/>
                </w:tcPr>
                <w:p w14:paraId="25B75889">
                  <w:pPr>
                    <w:spacing w:line="276" w:lineRule="auto"/>
                    <w:jc w:val="center"/>
                    <w:rPr>
                      <w:bCs/>
                      <w:color w:val="auto"/>
                      <w:szCs w:val="21"/>
                    </w:rPr>
                  </w:pPr>
                  <w:r>
                    <w:rPr>
                      <w:bCs/>
                      <w:color w:val="auto"/>
                      <w:szCs w:val="21"/>
                    </w:rPr>
                    <w:t>南厂界</w:t>
                  </w:r>
                </w:p>
              </w:tc>
              <w:tc>
                <w:tcPr>
                  <w:tcW w:w="2409" w:type="dxa"/>
                  <w:vAlign w:val="center"/>
                </w:tcPr>
                <w:p w14:paraId="69BA203E">
                  <w:pPr>
                    <w:spacing w:line="276" w:lineRule="auto"/>
                    <w:jc w:val="center"/>
                    <w:rPr>
                      <w:bCs/>
                      <w:color w:val="auto"/>
                      <w:szCs w:val="21"/>
                    </w:rPr>
                  </w:pPr>
                  <w:r>
                    <w:rPr>
                      <w:rFonts w:hint="eastAsia"/>
                      <w:bCs/>
                      <w:color w:val="auto"/>
                      <w:szCs w:val="21"/>
                    </w:rPr>
                    <w:t>51.2</w:t>
                  </w:r>
                </w:p>
              </w:tc>
              <w:tc>
                <w:tcPr>
                  <w:tcW w:w="2370" w:type="dxa"/>
                  <w:vAlign w:val="center"/>
                </w:tcPr>
                <w:p w14:paraId="6EFF50D7">
                  <w:pPr>
                    <w:spacing w:line="276" w:lineRule="auto"/>
                    <w:jc w:val="center"/>
                    <w:rPr>
                      <w:bCs/>
                      <w:color w:val="auto"/>
                      <w:szCs w:val="21"/>
                    </w:rPr>
                  </w:pPr>
                  <w:r>
                    <w:rPr>
                      <w:rFonts w:hint="eastAsia"/>
                      <w:bCs/>
                      <w:color w:val="auto"/>
                      <w:szCs w:val="21"/>
                    </w:rPr>
                    <w:t>49.4</w:t>
                  </w:r>
                </w:p>
              </w:tc>
            </w:tr>
            <w:tr w14:paraId="14B323F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444" w:type="dxa"/>
                  <w:vAlign w:val="center"/>
                </w:tcPr>
                <w:p w14:paraId="45583FC4">
                  <w:pPr>
                    <w:spacing w:line="276" w:lineRule="auto"/>
                    <w:jc w:val="center"/>
                    <w:rPr>
                      <w:bCs/>
                      <w:color w:val="auto"/>
                      <w:szCs w:val="21"/>
                    </w:rPr>
                  </w:pPr>
                  <w:r>
                    <w:rPr>
                      <w:rFonts w:hint="eastAsia"/>
                      <w:bCs/>
                      <w:color w:val="auto"/>
                      <w:szCs w:val="21"/>
                    </w:rPr>
                    <w:t>N</w:t>
                  </w:r>
                  <w:r>
                    <w:rPr>
                      <w:rFonts w:hint="eastAsia"/>
                      <w:bCs/>
                      <w:color w:val="auto"/>
                      <w:szCs w:val="21"/>
                      <w:vertAlign w:val="subscript"/>
                    </w:rPr>
                    <w:t>3</w:t>
                  </w:r>
                </w:p>
              </w:tc>
              <w:tc>
                <w:tcPr>
                  <w:tcW w:w="1843" w:type="dxa"/>
                  <w:vAlign w:val="center"/>
                </w:tcPr>
                <w:p w14:paraId="1D3E7830">
                  <w:pPr>
                    <w:spacing w:line="276" w:lineRule="auto"/>
                    <w:jc w:val="center"/>
                    <w:rPr>
                      <w:bCs/>
                      <w:color w:val="auto"/>
                      <w:szCs w:val="21"/>
                    </w:rPr>
                  </w:pPr>
                  <w:r>
                    <w:rPr>
                      <w:bCs/>
                      <w:color w:val="auto"/>
                      <w:szCs w:val="21"/>
                    </w:rPr>
                    <w:t>西厂界</w:t>
                  </w:r>
                </w:p>
              </w:tc>
              <w:tc>
                <w:tcPr>
                  <w:tcW w:w="2409" w:type="dxa"/>
                  <w:vAlign w:val="center"/>
                </w:tcPr>
                <w:p w14:paraId="3B7C3752">
                  <w:pPr>
                    <w:spacing w:line="276" w:lineRule="auto"/>
                    <w:jc w:val="center"/>
                    <w:rPr>
                      <w:bCs/>
                      <w:color w:val="auto"/>
                      <w:szCs w:val="21"/>
                    </w:rPr>
                  </w:pPr>
                  <w:r>
                    <w:rPr>
                      <w:rFonts w:hint="eastAsia"/>
                      <w:bCs/>
                      <w:color w:val="auto"/>
                      <w:szCs w:val="21"/>
                    </w:rPr>
                    <w:t>55.0</w:t>
                  </w:r>
                </w:p>
              </w:tc>
              <w:tc>
                <w:tcPr>
                  <w:tcW w:w="2370" w:type="dxa"/>
                  <w:vAlign w:val="center"/>
                </w:tcPr>
                <w:p w14:paraId="337215E2">
                  <w:pPr>
                    <w:spacing w:line="276" w:lineRule="auto"/>
                    <w:jc w:val="center"/>
                    <w:rPr>
                      <w:bCs/>
                      <w:color w:val="auto"/>
                      <w:szCs w:val="21"/>
                    </w:rPr>
                  </w:pPr>
                  <w:r>
                    <w:rPr>
                      <w:rFonts w:hint="eastAsia"/>
                      <w:bCs/>
                      <w:color w:val="auto"/>
                      <w:szCs w:val="21"/>
                    </w:rPr>
                    <w:t>47.6</w:t>
                  </w:r>
                </w:p>
              </w:tc>
            </w:tr>
            <w:tr w14:paraId="44E59A9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444" w:type="dxa"/>
                  <w:vAlign w:val="center"/>
                </w:tcPr>
                <w:p w14:paraId="19B7D9F0">
                  <w:pPr>
                    <w:spacing w:line="276" w:lineRule="auto"/>
                    <w:jc w:val="center"/>
                    <w:rPr>
                      <w:bCs/>
                      <w:color w:val="auto"/>
                      <w:szCs w:val="21"/>
                    </w:rPr>
                  </w:pPr>
                  <w:r>
                    <w:rPr>
                      <w:rFonts w:hint="eastAsia"/>
                      <w:bCs/>
                      <w:color w:val="auto"/>
                      <w:szCs w:val="21"/>
                    </w:rPr>
                    <w:t>N</w:t>
                  </w:r>
                  <w:r>
                    <w:rPr>
                      <w:rFonts w:hint="eastAsia"/>
                      <w:bCs/>
                      <w:color w:val="auto"/>
                      <w:szCs w:val="21"/>
                      <w:vertAlign w:val="subscript"/>
                    </w:rPr>
                    <w:t>4</w:t>
                  </w:r>
                </w:p>
              </w:tc>
              <w:tc>
                <w:tcPr>
                  <w:tcW w:w="1843" w:type="dxa"/>
                  <w:vAlign w:val="center"/>
                </w:tcPr>
                <w:p w14:paraId="60E1AAF9">
                  <w:pPr>
                    <w:spacing w:line="276" w:lineRule="auto"/>
                    <w:jc w:val="center"/>
                    <w:rPr>
                      <w:bCs/>
                      <w:color w:val="auto"/>
                      <w:szCs w:val="21"/>
                    </w:rPr>
                  </w:pPr>
                  <w:r>
                    <w:rPr>
                      <w:bCs/>
                      <w:color w:val="auto"/>
                      <w:szCs w:val="21"/>
                    </w:rPr>
                    <w:t>北厂界</w:t>
                  </w:r>
                </w:p>
              </w:tc>
              <w:tc>
                <w:tcPr>
                  <w:tcW w:w="2409" w:type="dxa"/>
                  <w:vAlign w:val="center"/>
                </w:tcPr>
                <w:p w14:paraId="4DF1F235">
                  <w:pPr>
                    <w:spacing w:line="276" w:lineRule="auto"/>
                    <w:jc w:val="center"/>
                    <w:rPr>
                      <w:bCs/>
                      <w:color w:val="auto"/>
                      <w:szCs w:val="21"/>
                    </w:rPr>
                  </w:pPr>
                  <w:r>
                    <w:rPr>
                      <w:rFonts w:hint="eastAsia"/>
                      <w:bCs/>
                      <w:color w:val="auto"/>
                      <w:szCs w:val="21"/>
                    </w:rPr>
                    <w:t>53.1</w:t>
                  </w:r>
                </w:p>
              </w:tc>
              <w:tc>
                <w:tcPr>
                  <w:tcW w:w="2370" w:type="dxa"/>
                  <w:vAlign w:val="center"/>
                </w:tcPr>
                <w:p w14:paraId="1E6AFC71">
                  <w:pPr>
                    <w:spacing w:line="276" w:lineRule="auto"/>
                    <w:jc w:val="center"/>
                    <w:rPr>
                      <w:bCs/>
                      <w:color w:val="auto"/>
                      <w:szCs w:val="21"/>
                    </w:rPr>
                  </w:pPr>
                  <w:r>
                    <w:rPr>
                      <w:rFonts w:hint="eastAsia"/>
                      <w:bCs/>
                      <w:color w:val="auto"/>
                      <w:szCs w:val="21"/>
                    </w:rPr>
                    <w:t>45.5</w:t>
                  </w:r>
                </w:p>
              </w:tc>
            </w:tr>
            <w:tr w14:paraId="6138957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444" w:type="dxa"/>
                  <w:vAlign w:val="center"/>
                </w:tcPr>
                <w:p w14:paraId="6893EBCE">
                  <w:pPr>
                    <w:spacing w:line="276" w:lineRule="auto"/>
                    <w:jc w:val="center"/>
                    <w:rPr>
                      <w:bCs/>
                      <w:color w:val="auto"/>
                      <w:szCs w:val="21"/>
                    </w:rPr>
                  </w:pPr>
                  <w:r>
                    <w:rPr>
                      <w:rFonts w:hint="eastAsia"/>
                      <w:bCs/>
                      <w:color w:val="auto"/>
                      <w:szCs w:val="21"/>
                    </w:rPr>
                    <w:t>N</w:t>
                  </w:r>
                  <w:r>
                    <w:rPr>
                      <w:rFonts w:hint="eastAsia"/>
                      <w:bCs/>
                      <w:color w:val="auto"/>
                      <w:szCs w:val="21"/>
                      <w:vertAlign w:val="subscript"/>
                    </w:rPr>
                    <w:t>5</w:t>
                  </w:r>
                </w:p>
              </w:tc>
              <w:tc>
                <w:tcPr>
                  <w:tcW w:w="1843" w:type="dxa"/>
                  <w:vAlign w:val="center"/>
                </w:tcPr>
                <w:p w14:paraId="5192956F">
                  <w:pPr>
                    <w:spacing w:line="276" w:lineRule="auto"/>
                    <w:jc w:val="center"/>
                    <w:rPr>
                      <w:bCs/>
                      <w:color w:val="auto"/>
                      <w:szCs w:val="21"/>
                    </w:rPr>
                  </w:pPr>
                  <w:r>
                    <w:rPr>
                      <w:bCs/>
                      <w:color w:val="auto"/>
                      <w:szCs w:val="21"/>
                    </w:rPr>
                    <w:t>小东岗</w:t>
                  </w:r>
                </w:p>
              </w:tc>
              <w:tc>
                <w:tcPr>
                  <w:tcW w:w="2409" w:type="dxa"/>
                  <w:vAlign w:val="center"/>
                </w:tcPr>
                <w:p w14:paraId="2229AA92">
                  <w:pPr>
                    <w:spacing w:line="276" w:lineRule="auto"/>
                    <w:jc w:val="center"/>
                    <w:rPr>
                      <w:bCs/>
                      <w:color w:val="auto"/>
                      <w:szCs w:val="21"/>
                    </w:rPr>
                  </w:pPr>
                  <w:r>
                    <w:rPr>
                      <w:rFonts w:hint="eastAsia"/>
                      <w:bCs/>
                      <w:color w:val="auto"/>
                      <w:szCs w:val="21"/>
                    </w:rPr>
                    <w:t>51.8</w:t>
                  </w:r>
                </w:p>
              </w:tc>
              <w:tc>
                <w:tcPr>
                  <w:tcW w:w="2370" w:type="dxa"/>
                  <w:vAlign w:val="center"/>
                </w:tcPr>
                <w:p w14:paraId="1A435A9A">
                  <w:pPr>
                    <w:spacing w:line="276" w:lineRule="auto"/>
                    <w:jc w:val="center"/>
                    <w:rPr>
                      <w:bCs/>
                      <w:color w:val="auto"/>
                      <w:szCs w:val="21"/>
                    </w:rPr>
                  </w:pPr>
                  <w:r>
                    <w:rPr>
                      <w:rFonts w:hint="eastAsia"/>
                      <w:bCs/>
                      <w:color w:val="auto"/>
                      <w:szCs w:val="21"/>
                    </w:rPr>
                    <w:t>40.7</w:t>
                  </w:r>
                </w:p>
              </w:tc>
            </w:tr>
            <w:tr w14:paraId="60E1EC5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444" w:type="dxa"/>
                  <w:vAlign w:val="center"/>
                </w:tcPr>
                <w:p w14:paraId="2C2D2FC6">
                  <w:pPr>
                    <w:spacing w:line="276" w:lineRule="auto"/>
                    <w:jc w:val="center"/>
                    <w:rPr>
                      <w:bCs/>
                      <w:color w:val="auto"/>
                      <w:szCs w:val="21"/>
                    </w:rPr>
                  </w:pPr>
                  <w:r>
                    <w:rPr>
                      <w:rFonts w:hint="eastAsia"/>
                      <w:bCs/>
                      <w:color w:val="auto"/>
                      <w:szCs w:val="21"/>
                    </w:rPr>
                    <w:t>N</w:t>
                  </w:r>
                  <w:r>
                    <w:rPr>
                      <w:rFonts w:hint="eastAsia"/>
                      <w:bCs/>
                      <w:color w:val="auto"/>
                      <w:szCs w:val="21"/>
                      <w:vertAlign w:val="subscript"/>
                    </w:rPr>
                    <w:t>6</w:t>
                  </w:r>
                </w:p>
              </w:tc>
              <w:tc>
                <w:tcPr>
                  <w:tcW w:w="1843" w:type="dxa"/>
                  <w:vAlign w:val="center"/>
                </w:tcPr>
                <w:p w14:paraId="54D33481">
                  <w:pPr>
                    <w:spacing w:line="276" w:lineRule="auto"/>
                    <w:jc w:val="center"/>
                    <w:rPr>
                      <w:bCs/>
                      <w:color w:val="auto"/>
                      <w:szCs w:val="21"/>
                    </w:rPr>
                  </w:pPr>
                  <w:r>
                    <w:rPr>
                      <w:bCs/>
                      <w:color w:val="auto"/>
                      <w:szCs w:val="21"/>
                    </w:rPr>
                    <w:t>散户</w:t>
                  </w:r>
                  <w:r>
                    <w:rPr>
                      <w:rFonts w:hint="eastAsia"/>
                      <w:bCs/>
                      <w:color w:val="auto"/>
                      <w:szCs w:val="21"/>
                    </w:rPr>
                    <w:t>1</w:t>
                  </w:r>
                </w:p>
              </w:tc>
              <w:tc>
                <w:tcPr>
                  <w:tcW w:w="2409" w:type="dxa"/>
                  <w:vAlign w:val="center"/>
                </w:tcPr>
                <w:p w14:paraId="26E7F3EB">
                  <w:pPr>
                    <w:spacing w:line="276" w:lineRule="auto"/>
                    <w:jc w:val="center"/>
                    <w:rPr>
                      <w:bCs/>
                      <w:color w:val="auto"/>
                      <w:szCs w:val="21"/>
                    </w:rPr>
                  </w:pPr>
                  <w:r>
                    <w:rPr>
                      <w:rFonts w:hint="eastAsia"/>
                      <w:bCs/>
                      <w:color w:val="auto"/>
                      <w:szCs w:val="21"/>
                    </w:rPr>
                    <w:t>52.1</w:t>
                  </w:r>
                </w:p>
              </w:tc>
              <w:tc>
                <w:tcPr>
                  <w:tcW w:w="2370" w:type="dxa"/>
                  <w:vAlign w:val="center"/>
                </w:tcPr>
                <w:p w14:paraId="54881344">
                  <w:pPr>
                    <w:spacing w:line="276" w:lineRule="auto"/>
                    <w:jc w:val="center"/>
                    <w:rPr>
                      <w:bCs/>
                      <w:color w:val="auto"/>
                      <w:szCs w:val="21"/>
                    </w:rPr>
                  </w:pPr>
                  <w:r>
                    <w:rPr>
                      <w:rFonts w:hint="eastAsia"/>
                      <w:bCs/>
                      <w:color w:val="auto"/>
                      <w:szCs w:val="21"/>
                    </w:rPr>
                    <w:t>44.2</w:t>
                  </w:r>
                </w:p>
              </w:tc>
            </w:tr>
            <w:tr w14:paraId="6F17A37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444" w:type="dxa"/>
                  <w:vAlign w:val="center"/>
                </w:tcPr>
                <w:p w14:paraId="4B94C1C6">
                  <w:pPr>
                    <w:spacing w:line="276" w:lineRule="auto"/>
                    <w:jc w:val="center"/>
                    <w:rPr>
                      <w:bCs/>
                      <w:color w:val="auto"/>
                      <w:szCs w:val="21"/>
                    </w:rPr>
                  </w:pPr>
                  <w:r>
                    <w:rPr>
                      <w:rFonts w:hint="eastAsia"/>
                      <w:bCs/>
                      <w:color w:val="auto"/>
                      <w:szCs w:val="21"/>
                    </w:rPr>
                    <w:t>N</w:t>
                  </w:r>
                  <w:r>
                    <w:rPr>
                      <w:rFonts w:hint="eastAsia"/>
                      <w:bCs/>
                      <w:color w:val="auto"/>
                      <w:szCs w:val="21"/>
                      <w:vertAlign w:val="subscript"/>
                    </w:rPr>
                    <w:t>7</w:t>
                  </w:r>
                </w:p>
              </w:tc>
              <w:tc>
                <w:tcPr>
                  <w:tcW w:w="1843" w:type="dxa"/>
                  <w:vAlign w:val="center"/>
                </w:tcPr>
                <w:p w14:paraId="75E55B55">
                  <w:pPr>
                    <w:spacing w:line="276" w:lineRule="auto"/>
                    <w:jc w:val="center"/>
                    <w:rPr>
                      <w:bCs/>
                      <w:color w:val="auto"/>
                      <w:szCs w:val="21"/>
                    </w:rPr>
                  </w:pPr>
                  <w:r>
                    <w:rPr>
                      <w:bCs/>
                      <w:color w:val="auto"/>
                      <w:szCs w:val="21"/>
                    </w:rPr>
                    <w:t>散户</w:t>
                  </w:r>
                  <w:r>
                    <w:rPr>
                      <w:rFonts w:hint="eastAsia"/>
                      <w:bCs/>
                      <w:color w:val="auto"/>
                      <w:szCs w:val="21"/>
                    </w:rPr>
                    <w:t>2</w:t>
                  </w:r>
                </w:p>
              </w:tc>
              <w:tc>
                <w:tcPr>
                  <w:tcW w:w="2409" w:type="dxa"/>
                  <w:vAlign w:val="center"/>
                </w:tcPr>
                <w:p w14:paraId="1C763BB4">
                  <w:pPr>
                    <w:spacing w:line="276" w:lineRule="auto"/>
                    <w:jc w:val="center"/>
                    <w:rPr>
                      <w:bCs/>
                      <w:color w:val="auto"/>
                      <w:szCs w:val="21"/>
                    </w:rPr>
                  </w:pPr>
                  <w:r>
                    <w:rPr>
                      <w:rFonts w:hint="eastAsia"/>
                      <w:bCs/>
                      <w:color w:val="auto"/>
                      <w:szCs w:val="21"/>
                    </w:rPr>
                    <w:t>54.3</w:t>
                  </w:r>
                </w:p>
              </w:tc>
              <w:tc>
                <w:tcPr>
                  <w:tcW w:w="2370" w:type="dxa"/>
                  <w:vAlign w:val="center"/>
                </w:tcPr>
                <w:p w14:paraId="64B749D5">
                  <w:pPr>
                    <w:spacing w:line="276" w:lineRule="auto"/>
                    <w:jc w:val="center"/>
                    <w:rPr>
                      <w:bCs/>
                      <w:color w:val="auto"/>
                      <w:szCs w:val="21"/>
                    </w:rPr>
                  </w:pPr>
                  <w:r>
                    <w:rPr>
                      <w:rFonts w:hint="eastAsia"/>
                      <w:bCs/>
                      <w:color w:val="auto"/>
                      <w:szCs w:val="21"/>
                    </w:rPr>
                    <w:t>44.3</w:t>
                  </w:r>
                </w:p>
              </w:tc>
            </w:tr>
          </w:tbl>
          <w:p w14:paraId="50206995">
            <w:pPr>
              <w:spacing w:line="360" w:lineRule="auto"/>
              <w:ind w:firstLine="480" w:firstLineChars="200"/>
              <w:rPr>
                <w:bCs/>
                <w:color w:val="auto"/>
                <w:sz w:val="24"/>
                <w:szCs w:val="28"/>
              </w:rPr>
            </w:pPr>
            <w:r>
              <w:rPr>
                <w:rFonts w:hint="eastAsia"/>
                <w:bCs/>
                <w:color w:val="auto"/>
                <w:sz w:val="24"/>
                <w:szCs w:val="28"/>
              </w:rPr>
              <w:t>经现状监测，项目区东、南、西、北厂界及声环境保护目标均满足《声环境质量标准》（GB3096-2008）中2类标准。</w:t>
            </w:r>
          </w:p>
          <w:p w14:paraId="03F0895A">
            <w:pPr>
              <w:spacing w:line="360" w:lineRule="auto"/>
              <w:ind w:firstLine="482" w:firstLineChars="200"/>
              <w:rPr>
                <w:b/>
                <w:bCs/>
                <w:color w:val="auto"/>
                <w:sz w:val="24"/>
                <w:szCs w:val="28"/>
              </w:rPr>
            </w:pPr>
            <w:r>
              <w:rPr>
                <w:rFonts w:hint="eastAsia"/>
                <w:b/>
                <w:bCs/>
                <w:color w:val="auto"/>
                <w:sz w:val="24"/>
                <w:szCs w:val="28"/>
              </w:rPr>
              <w:t>四、生态环境</w:t>
            </w:r>
          </w:p>
          <w:p w14:paraId="5109293B">
            <w:pPr>
              <w:spacing w:line="360" w:lineRule="auto"/>
              <w:ind w:firstLine="480" w:firstLineChars="200"/>
              <w:rPr>
                <w:color w:val="auto"/>
                <w:sz w:val="24"/>
              </w:rPr>
            </w:pPr>
            <w:r>
              <w:rPr>
                <w:rFonts w:hAnsi="宋体"/>
                <w:color w:val="auto"/>
                <w:sz w:val="24"/>
                <w:szCs w:val="24"/>
              </w:rPr>
              <w:t>本项目位于</w:t>
            </w:r>
            <w:r>
              <w:rPr>
                <w:rFonts w:hint="eastAsia" w:hAnsi="宋体"/>
                <w:color w:val="auto"/>
                <w:sz w:val="24"/>
                <w:szCs w:val="24"/>
              </w:rPr>
              <w:t>安徽省淮南市安成镇十涧湖中路1号安徽发强玻璃有限责任公司现有厂区一车间（厂房1#）、三车间（厂房20#）内</w:t>
            </w:r>
            <w:r>
              <w:rPr>
                <w:rFonts w:hint="eastAsia"/>
                <w:color w:val="auto"/>
                <w:sz w:val="24"/>
              </w:rPr>
              <w:t>，</w:t>
            </w:r>
            <w:r>
              <w:rPr>
                <w:rFonts w:hint="eastAsia"/>
                <w:color w:val="auto"/>
                <w:sz w:val="24"/>
                <w:szCs w:val="28"/>
              </w:rPr>
              <w:t>不新增用地，现建设</w:t>
            </w:r>
            <w:r>
              <w:rPr>
                <w:rFonts w:hint="eastAsia"/>
                <w:color w:val="auto"/>
                <w:sz w:val="24"/>
              </w:rPr>
              <w:t>用地范围内，无生态环境保护目标，</w:t>
            </w:r>
            <w:r>
              <w:rPr>
                <w:rFonts w:hint="eastAsia"/>
                <w:color w:val="auto"/>
                <w:sz w:val="24"/>
                <w:szCs w:val="28"/>
              </w:rPr>
              <w:t>无需进行生态现状调查。</w:t>
            </w:r>
          </w:p>
          <w:p w14:paraId="1EA6A172">
            <w:pPr>
              <w:spacing w:line="360" w:lineRule="auto"/>
              <w:ind w:firstLine="482" w:firstLineChars="200"/>
              <w:rPr>
                <w:b/>
                <w:color w:val="auto"/>
                <w:sz w:val="24"/>
              </w:rPr>
            </w:pPr>
            <w:r>
              <w:rPr>
                <w:rFonts w:hint="eastAsia"/>
                <w:b/>
                <w:color w:val="auto"/>
                <w:sz w:val="24"/>
              </w:rPr>
              <w:t>五、地下水、土壤环境</w:t>
            </w:r>
          </w:p>
          <w:p w14:paraId="15E99D30">
            <w:pPr>
              <w:spacing w:line="360" w:lineRule="auto"/>
              <w:ind w:firstLine="480" w:firstLineChars="200"/>
              <w:rPr>
                <w:color w:val="auto"/>
                <w:sz w:val="24"/>
              </w:rPr>
            </w:pPr>
            <w:r>
              <w:rPr>
                <w:rFonts w:hint="eastAsia"/>
                <w:color w:val="auto"/>
                <w:sz w:val="24"/>
              </w:rPr>
              <w:t>根据《建设项目环境影响报告表编制技术指南（污染影响类）》（试行），本项目非新增用地，原则上不对地下水和土壤开展环境质量现状调查。本项目依托现有厂区内已建成的标准化厂房（1#、20#），厂区地面已硬化，不具备采样条件；且本次改建项目新增原辅材料主要为水性漆，主要成分为水性丙烯酸树脂、乙醇、氧化铁（氧化铒、氧化钛）等，不涉及有毒有害污染物，因此，本次不开展地下水和土壤环境现状监测。</w:t>
            </w:r>
          </w:p>
          <w:p w14:paraId="022A41B1">
            <w:pPr>
              <w:spacing w:line="440" w:lineRule="exact"/>
              <w:ind w:firstLine="480" w:firstLineChars="200"/>
              <w:rPr>
                <w:color w:val="auto"/>
                <w:sz w:val="24"/>
              </w:rPr>
            </w:pPr>
          </w:p>
          <w:p w14:paraId="5F161672">
            <w:pPr>
              <w:spacing w:line="440" w:lineRule="exact"/>
              <w:ind w:firstLine="480" w:firstLineChars="200"/>
              <w:rPr>
                <w:color w:val="auto"/>
                <w:sz w:val="24"/>
              </w:rPr>
            </w:pPr>
          </w:p>
          <w:p w14:paraId="3B83467F">
            <w:pPr>
              <w:spacing w:line="440" w:lineRule="exact"/>
              <w:ind w:firstLine="480" w:firstLineChars="200"/>
              <w:rPr>
                <w:color w:val="auto"/>
                <w:sz w:val="24"/>
              </w:rPr>
            </w:pPr>
          </w:p>
          <w:p w14:paraId="011677E8">
            <w:pPr>
              <w:spacing w:line="440" w:lineRule="exact"/>
              <w:ind w:firstLine="480" w:firstLineChars="200"/>
              <w:rPr>
                <w:color w:val="auto"/>
                <w:sz w:val="24"/>
              </w:rPr>
            </w:pPr>
          </w:p>
          <w:p w14:paraId="05E52CF2">
            <w:pPr>
              <w:spacing w:line="440" w:lineRule="exact"/>
              <w:rPr>
                <w:color w:val="auto"/>
                <w:sz w:val="24"/>
              </w:rPr>
            </w:pPr>
          </w:p>
          <w:p w14:paraId="1492978B">
            <w:pPr>
              <w:spacing w:line="440" w:lineRule="exact"/>
              <w:ind w:firstLine="420" w:firstLineChars="200"/>
              <w:rPr>
                <w:color w:val="auto"/>
              </w:rPr>
            </w:pPr>
          </w:p>
          <w:p w14:paraId="3A2234CE">
            <w:pPr>
              <w:spacing w:line="440" w:lineRule="exact"/>
              <w:ind w:firstLine="420" w:firstLineChars="200"/>
              <w:rPr>
                <w:color w:val="auto"/>
              </w:rPr>
            </w:pPr>
          </w:p>
          <w:p w14:paraId="3EFE1B2D">
            <w:pPr>
              <w:spacing w:line="440" w:lineRule="exact"/>
              <w:rPr>
                <w:color w:val="auto"/>
              </w:rPr>
            </w:pPr>
          </w:p>
        </w:tc>
      </w:tr>
    </w:tbl>
    <w:p w14:paraId="6793AC28">
      <w:pPr>
        <w:widowControl/>
        <w:outlineLvl w:val="0"/>
        <w:rPr>
          <w:rFonts w:ascii="宋体" w:hAnsi="宋体"/>
          <w:b/>
          <w:bCs/>
          <w:color w:val="auto"/>
          <w:kern w:val="0"/>
          <w:sz w:val="30"/>
          <w:szCs w:val="30"/>
        </w:rPr>
        <w:sectPr>
          <w:pgSz w:w="11906" w:h="16838"/>
          <w:pgMar w:top="1440" w:right="1508" w:bottom="1440" w:left="1797" w:header="851" w:footer="992" w:gutter="0"/>
          <w:cols w:space="720" w:num="1"/>
          <w:docGrid w:type="lines" w:linePitch="312" w:charSpace="0"/>
        </w:sectPr>
      </w:pPr>
      <w:bookmarkStart w:id="8" w:name="_Toc354926676"/>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8361"/>
      </w:tblGrid>
      <w:tr w14:paraId="2C057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Align w:val="center"/>
          </w:tcPr>
          <w:p w14:paraId="5A354DF3">
            <w:pPr>
              <w:pStyle w:val="178"/>
              <w:spacing w:line="360" w:lineRule="auto"/>
              <w:ind w:left="0" w:right="0" w:firstLine="0"/>
              <w:jc w:val="center"/>
              <w:rPr>
                <w:rFonts w:hAnsi="宋体"/>
                <w:color w:val="auto"/>
                <w:szCs w:val="22"/>
              </w:rPr>
            </w:pPr>
            <w:r>
              <w:rPr>
                <w:rFonts w:hAnsi="宋体"/>
                <w:color w:val="auto"/>
                <w:szCs w:val="22"/>
              </w:rPr>
              <w:t>环境保护目标</w:t>
            </w:r>
          </w:p>
        </w:tc>
        <w:tc>
          <w:tcPr>
            <w:tcW w:w="8361" w:type="dxa"/>
          </w:tcPr>
          <w:p w14:paraId="706B8AF3">
            <w:pPr>
              <w:spacing w:line="360" w:lineRule="auto"/>
              <w:ind w:firstLine="480" w:firstLineChars="200"/>
              <w:jc w:val="left"/>
              <w:rPr>
                <w:bCs/>
                <w:color w:val="auto"/>
                <w:kern w:val="0"/>
                <w:sz w:val="24"/>
              </w:rPr>
            </w:pPr>
            <w:r>
              <w:rPr>
                <w:bCs/>
                <w:color w:val="auto"/>
                <w:kern w:val="0"/>
                <w:sz w:val="24"/>
              </w:rPr>
              <w:t>根据建设项目地理位置和性质，项目</w:t>
            </w:r>
            <w:r>
              <w:rPr>
                <w:rFonts w:hint="eastAsia"/>
                <w:bCs/>
                <w:color w:val="auto"/>
                <w:kern w:val="0"/>
                <w:sz w:val="24"/>
              </w:rPr>
              <w:t>500m范围内存在大气环境保护目标，50m范围内存在声环境保护目标，本项目</w:t>
            </w:r>
            <w:r>
              <w:rPr>
                <w:bCs/>
                <w:color w:val="auto"/>
                <w:kern w:val="0"/>
                <w:sz w:val="24"/>
              </w:rPr>
              <w:t>周边主要环境保护对象见下表</w:t>
            </w:r>
            <w:r>
              <w:rPr>
                <w:rFonts w:hint="eastAsia"/>
                <w:bCs/>
                <w:color w:val="auto"/>
                <w:kern w:val="0"/>
                <w:sz w:val="24"/>
              </w:rPr>
              <w:t>33</w:t>
            </w:r>
            <w:r>
              <w:rPr>
                <w:bCs/>
                <w:color w:val="auto"/>
                <w:kern w:val="0"/>
                <w:sz w:val="24"/>
              </w:rPr>
              <w:t>及附图</w:t>
            </w:r>
            <w:r>
              <w:rPr>
                <w:rFonts w:hint="eastAsia"/>
                <w:bCs/>
                <w:color w:val="auto"/>
                <w:kern w:val="0"/>
                <w:sz w:val="24"/>
              </w:rPr>
              <w:t>3</w:t>
            </w:r>
            <w:r>
              <w:rPr>
                <w:bCs/>
                <w:color w:val="auto"/>
                <w:kern w:val="0"/>
                <w:sz w:val="24"/>
              </w:rPr>
              <w:t>。</w:t>
            </w:r>
          </w:p>
          <w:p w14:paraId="34B3CA17">
            <w:pPr>
              <w:spacing w:line="360" w:lineRule="auto"/>
              <w:jc w:val="center"/>
              <w:rPr>
                <w:rFonts w:eastAsia="黑体"/>
                <w:bCs/>
                <w:color w:val="auto"/>
                <w:sz w:val="24"/>
                <w:szCs w:val="24"/>
              </w:rPr>
            </w:pPr>
            <w:r>
              <w:rPr>
                <w:rFonts w:eastAsia="黑体"/>
                <w:color w:val="auto"/>
                <w:sz w:val="24"/>
                <w:szCs w:val="24"/>
              </w:rPr>
              <w:t>表</w:t>
            </w:r>
            <w:r>
              <w:rPr>
                <w:rFonts w:hint="eastAsia" w:eastAsia="黑体"/>
                <w:color w:val="auto"/>
                <w:sz w:val="24"/>
                <w:szCs w:val="24"/>
              </w:rPr>
              <w:t xml:space="preserve">33  </w:t>
            </w:r>
            <w:r>
              <w:rPr>
                <w:rFonts w:eastAsia="黑体"/>
                <w:color w:val="auto"/>
                <w:sz w:val="24"/>
                <w:szCs w:val="24"/>
              </w:rPr>
              <w:t>项目主要环境保护目标</w:t>
            </w:r>
            <w:r>
              <w:rPr>
                <w:rFonts w:hint="eastAsia" w:eastAsia="黑体"/>
                <w:color w:val="auto"/>
                <w:sz w:val="24"/>
                <w:szCs w:val="24"/>
              </w:rPr>
              <w:t>一览表</w:t>
            </w:r>
          </w:p>
          <w:tbl>
            <w:tblPr>
              <w:tblStyle w:val="35"/>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104"/>
              <w:gridCol w:w="1134"/>
              <w:gridCol w:w="1275"/>
              <w:gridCol w:w="851"/>
              <w:gridCol w:w="1134"/>
              <w:gridCol w:w="1276"/>
              <w:gridCol w:w="1371"/>
            </w:tblGrid>
            <w:tr w14:paraId="2965C89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04" w:type="dxa"/>
                  <w:vAlign w:val="center"/>
                </w:tcPr>
                <w:p w14:paraId="38EB17A6">
                  <w:pPr>
                    <w:spacing w:line="276" w:lineRule="auto"/>
                    <w:jc w:val="center"/>
                    <w:rPr>
                      <w:b/>
                      <w:color w:val="auto"/>
                      <w:szCs w:val="21"/>
                    </w:rPr>
                  </w:pPr>
                  <w:r>
                    <w:rPr>
                      <w:b/>
                      <w:color w:val="auto"/>
                      <w:szCs w:val="21"/>
                    </w:rPr>
                    <w:t>环境要素</w:t>
                  </w:r>
                </w:p>
              </w:tc>
              <w:tc>
                <w:tcPr>
                  <w:tcW w:w="1134" w:type="dxa"/>
                  <w:vAlign w:val="center"/>
                </w:tcPr>
                <w:p w14:paraId="0067AB9F">
                  <w:pPr>
                    <w:spacing w:line="276" w:lineRule="auto"/>
                    <w:jc w:val="center"/>
                    <w:rPr>
                      <w:b/>
                      <w:color w:val="auto"/>
                      <w:szCs w:val="21"/>
                    </w:rPr>
                  </w:pPr>
                  <w:r>
                    <w:rPr>
                      <w:b/>
                      <w:color w:val="auto"/>
                      <w:szCs w:val="21"/>
                    </w:rPr>
                    <w:t>环境保护目标</w:t>
                  </w:r>
                </w:p>
              </w:tc>
              <w:tc>
                <w:tcPr>
                  <w:tcW w:w="1275" w:type="dxa"/>
                  <w:vAlign w:val="center"/>
                </w:tcPr>
                <w:p w14:paraId="21A8452B">
                  <w:pPr>
                    <w:spacing w:line="276" w:lineRule="auto"/>
                    <w:jc w:val="center"/>
                    <w:rPr>
                      <w:b/>
                      <w:color w:val="auto"/>
                      <w:szCs w:val="21"/>
                    </w:rPr>
                  </w:pPr>
                  <w:r>
                    <w:rPr>
                      <w:b/>
                      <w:color w:val="auto"/>
                      <w:szCs w:val="21"/>
                    </w:rPr>
                    <w:t>坐标</w:t>
                  </w:r>
                  <w:r>
                    <w:rPr>
                      <w:rFonts w:hint="eastAsia"/>
                      <w:b/>
                      <w:color w:val="auto"/>
                      <w:szCs w:val="21"/>
                    </w:rPr>
                    <w:t>/m（X,Y）</w:t>
                  </w:r>
                </w:p>
              </w:tc>
              <w:tc>
                <w:tcPr>
                  <w:tcW w:w="851" w:type="dxa"/>
                  <w:vAlign w:val="center"/>
                </w:tcPr>
                <w:p w14:paraId="2C3201B3">
                  <w:pPr>
                    <w:spacing w:line="276" w:lineRule="auto"/>
                    <w:jc w:val="center"/>
                    <w:rPr>
                      <w:b/>
                      <w:color w:val="auto"/>
                      <w:szCs w:val="21"/>
                    </w:rPr>
                  </w:pPr>
                  <w:r>
                    <w:rPr>
                      <w:b/>
                      <w:color w:val="auto"/>
                      <w:szCs w:val="21"/>
                    </w:rPr>
                    <w:t>方位</w:t>
                  </w:r>
                </w:p>
              </w:tc>
              <w:tc>
                <w:tcPr>
                  <w:tcW w:w="1134" w:type="dxa"/>
                  <w:vAlign w:val="center"/>
                </w:tcPr>
                <w:p w14:paraId="47255538">
                  <w:pPr>
                    <w:spacing w:line="276" w:lineRule="auto"/>
                    <w:jc w:val="center"/>
                    <w:rPr>
                      <w:b/>
                      <w:color w:val="auto"/>
                      <w:szCs w:val="21"/>
                    </w:rPr>
                  </w:pPr>
                  <w:r>
                    <w:rPr>
                      <w:b/>
                      <w:color w:val="auto"/>
                      <w:szCs w:val="21"/>
                    </w:rPr>
                    <w:t>距离（m）</w:t>
                  </w:r>
                </w:p>
              </w:tc>
              <w:tc>
                <w:tcPr>
                  <w:tcW w:w="1276" w:type="dxa"/>
                  <w:vAlign w:val="center"/>
                </w:tcPr>
                <w:p w14:paraId="7F5B2E04">
                  <w:pPr>
                    <w:spacing w:line="276" w:lineRule="auto"/>
                    <w:jc w:val="center"/>
                    <w:rPr>
                      <w:b/>
                      <w:color w:val="auto"/>
                      <w:szCs w:val="21"/>
                    </w:rPr>
                  </w:pPr>
                  <w:r>
                    <w:rPr>
                      <w:b/>
                      <w:color w:val="auto"/>
                      <w:szCs w:val="21"/>
                    </w:rPr>
                    <w:t>规模</w:t>
                  </w:r>
                </w:p>
              </w:tc>
              <w:tc>
                <w:tcPr>
                  <w:tcW w:w="1371" w:type="dxa"/>
                  <w:vAlign w:val="center"/>
                </w:tcPr>
                <w:p w14:paraId="34D21E01">
                  <w:pPr>
                    <w:spacing w:line="276" w:lineRule="auto"/>
                    <w:jc w:val="center"/>
                    <w:rPr>
                      <w:b/>
                      <w:color w:val="auto"/>
                      <w:szCs w:val="21"/>
                    </w:rPr>
                  </w:pPr>
                  <w:r>
                    <w:rPr>
                      <w:b/>
                      <w:color w:val="auto"/>
                      <w:szCs w:val="21"/>
                    </w:rPr>
                    <w:t>环境功能</w:t>
                  </w:r>
                </w:p>
              </w:tc>
            </w:tr>
            <w:tr w14:paraId="3FEE835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04" w:type="dxa"/>
                  <w:vMerge w:val="restart"/>
                  <w:vAlign w:val="center"/>
                </w:tcPr>
                <w:p w14:paraId="139D4F58">
                  <w:pPr>
                    <w:spacing w:line="276" w:lineRule="auto"/>
                    <w:jc w:val="center"/>
                    <w:rPr>
                      <w:color w:val="auto"/>
                      <w:szCs w:val="21"/>
                    </w:rPr>
                  </w:pPr>
                  <w:r>
                    <w:rPr>
                      <w:color w:val="auto"/>
                      <w:szCs w:val="21"/>
                    </w:rPr>
                    <w:t>大气环境</w:t>
                  </w:r>
                </w:p>
              </w:tc>
              <w:tc>
                <w:tcPr>
                  <w:tcW w:w="1134" w:type="dxa"/>
                  <w:vAlign w:val="center"/>
                </w:tcPr>
                <w:p w14:paraId="670B2AF3">
                  <w:pPr>
                    <w:spacing w:line="276" w:lineRule="auto"/>
                    <w:jc w:val="center"/>
                    <w:rPr>
                      <w:color w:val="auto"/>
                      <w:szCs w:val="21"/>
                    </w:rPr>
                  </w:pPr>
                  <w:r>
                    <w:rPr>
                      <w:rFonts w:ascii="CIDFont+F2" w:hAnsi="CIDFont+F2"/>
                      <w:color w:val="auto"/>
                      <w:szCs w:val="21"/>
                    </w:rPr>
                    <w:t>小东岗</w:t>
                  </w:r>
                </w:p>
              </w:tc>
              <w:tc>
                <w:tcPr>
                  <w:tcW w:w="1275" w:type="dxa"/>
                  <w:vAlign w:val="center"/>
                </w:tcPr>
                <w:p w14:paraId="40F669F2">
                  <w:pPr>
                    <w:spacing w:line="276" w:lineRule="auto"/>
                    <w:jc w:val="center"/>
                    <w:rPr>
                      <w:color w:val="auto"/>
                      <w:szCs w:val="21"/>
                    </w:rPr>
                  </w:pPr>
                  <w:r>
                    <w:rPr>
                      <w:rFonts w:hint="eastAsia"/>
                      <w:color w:val="auto"/>
                      <w:szCs w:val="21"/>
                    </w:rPr>
                    <w:t>-153，225</w:t>
                  </w:r>
                </w:p>
              </w:tc>
              <w:tc>
                <w:tcPr>
                  <w:tcW w:w="851" w:type="dxa"/>
                  <w:vAlign w:val="center"/>
                </w:tcPr>
                <w:p w14:paraId="1C79F945">
                  <w:pPr>
                    <w:spacing w:line="276" w:lineRule="auto"/>
                    <w:jc w:val="center"/>
                    <w:rPr>
                      <w:color w:val="auto"/>
                      <w:szCs w:val="21"/>
                    </w:rPr>
                  </w:pPr>
                  <w:r>
                    <w:rPr>
                      <w:rFonts w:ascii="CIDFont+F1" w:hAnsi="CIDFont+F1"/>
                      <w:color w:val="auto"/>
                      <w:szCs w:val="21"/>
                    </w:rPr>
                    <w:t>NW</w:t>
                  </w:r>
                </w:p>
              </w:tc>
              <w:tc>
                <w:tcPr>
                  <w:tcW w:w="1134" w:type="dxa"/>
                  <w:vAlign w:val="center"/>
                </w:tcPr>
                <w:p w14:paraId="68631307">
                  <w:pPr>
                    <w:spacing w:line="276" w:lineRule="auto"/>
                    <w:jc w:val="center"/>
                    <w:rPr>
                      <w:color w:val="auto"/>
                      <w:szCs w:val="21"/>
                    </w:rPr>
                  </w:pPr>
                  <w:r>
                    <w:rPr>
                      <w:rFonts w:hint="eastAsia"/>
                      <w:color w:val="auto"/>
                      <w:szCs w:val="21"/>
                    </w:rPr>
                    <w:t>5</w:t>
                  </w:r>
                </w:p>
              </w:tc>
              <w:tc>
                <w:tcPr>
                  <w:tcW w:w="1276" w:type="dxa"/>
                  <w:vAlign w:val="center"/>
                </w:tcPr>
                <w:p w14:paraId="6D7E186C">
                  <w:pPr>
                    <w:spacing w:line="276" w:lineRule="auto"/>
                    <w:jc w:val="center"/>
                    <w:rPr>
                      <w:color w:val="auto"/>
                      <w:szCs w:val="21"/>
                    </w:rPr>
                  </w:pPr>
                  <w:r>
                    <w:rPr>
                      <w:rFonts w:hint="eastAsia"/>
                      <w:color w:val="auto"/>
                      <w:szCs w:val="21"/>
                    </w:rPr>
                    <w:t>约400人</w:t>
                  </w:r>
                </w:p>
              </w:tc>
              <w:tc>
                <w:tcPr>
                  <w:tcW w:w="1371" w:type="dxa"/>
                  <w:vMerge w:val="restart"/>
                  <w:vAlign w:val="center"/>
                </w:tcPr>
                <w:p w14:paraId="5985660E">
                  <w:pPr>
                    <w:spacing w:line="276" w:lineRule="auto"/>
                    <w:jc w:val="center"/>
                    <w:rPr>
                      <w:color w:val="auto"/>
                      <w:szCs w:val="21"/>
                    </w:rPr>
                  </w:pPr>
                  <w:r>
                    <w:rPr>
                      <w:rFonts w:ascii="CIDFont+F2" w:hAnsi="CIDFont+F2"/>
                      <w:color w:val="auto"/>
                      <w:szCs w:val="21"/>
                    </w:rPr>
                    <w:t>《环境空气质量标准》（</w:t>
                  </w:r>
                  <w:r>
                    <w:rPr>
                      <w:rFonts w:ascii="CIDFont+F1" w:hAnsi="CIDFont+F1"/>
                      <w:color w:val="auto"/>
                      <w:szCs w:val="21"/>
                    </w:rPr>
                    <w:t>GB3095-2012</w:t>
                  </w:r>
                  <w:r>
                    <w:rPr>
                      <w:rFonts w:ascii="CIDFont+F2" w:hAnsi="CIDFont+F2"/>
                      <w:color w:val="auto"/>
                      <w:szCs w:val="21"/>
                    </w:rPr>
                    <w:t>）及</w:t>
                  </w:r>
                  <w:r>
                    <w:rPr>
                      <w:rFonts w:hint="eastAsia" w:ascii="CIDFont+F2" w:hAnsi="CIDFont+F2"/>
                      <w:color w:val="auto"/>
                      <w:szCs w:val="21"/>
                    </w:rPr>
                    <w:t>2018年修改单中</w:t>
                  </w:r>
                  <w:r>
                    <w:rPr>
                      <w:rFonts w:ascii="CIDFont+F2" w:hAnsi="CIDFont+F2"/>
                      <w:color w:val="auto"/>
                      <w:szCs w:val="21"/>
                    </w:rPr>
                    <w:t>二级标准</w:t>
                  </w:r>
                </w:p>
              </w:tc>
            </w:tr>
            <w:tr w14:paraId="137BE71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04" w:type="dxa"/>
                  <w:vMerge w:val="continue"/>
                  <w:vAlign w:val="center"/>
                </w:tcPr>
                <w:p w14:paraId="45783B73">
                  <w:pPr>
                    <w:spacing w:line="276" w:lineRule="auto"/>
                    <w:jc w:val="center"/>
                    <w:rPr>
                      <w:color w:val="auto"/>
                      <w:szCs w:val="21"/>
                    </w:rPr>
                  </w:pPr>
                </w:p>
              </w:tc>
              <w:tc>
                <w:tcPr>
                  <w:tcW w:w="1134" w:type="dxa"/>
                  <w:vAlign w:val="center"/>
                </w:tcPr>
                <w:p w14:paraId="2A306FD0">
                  <w:pPr>
                    <w:spacing w:line="276" w:lineRule="auto"/>
                    <w:jc w:val="center"/>
                    <w:rPr>
                      <w:color w:val="auto"/>
                      <w:szCs w:val="21"/>
                    </w:rPr>
                  </w:pPr>
                  <w:r>
                    <w:rPr>
                      <w:rFonts w:ascii="CIDFont+F2" w:hAnsi="CIDFont+F2"/>
                      <w:color w:val="auto"/>
                      <w:szCs w:val="21"/>
                    </w:rPr>
                    <w:t>散户</w:t>
                  </w:r>
                  <w:r>
                    <w:rPr>
                      <w:rFonts w:ascii="CIDFont+F1" w:hAnsi="CIDFont+F1"/>
                      <w:color w:val="auto"/>
                      <w:szCs w:val="21"/>
                    </w:rPr>
                    <w:t>1</w:t>
                  </w:r>
                </w:p>
              </w:tc>
              <w:tc>
                <w:tcPr>
                  <w:tcW w:w="1275" w:type="dxa"/>
                  <w:vAlign w:val="center"/>
                </w:tcPr>
                <w:p w14:paraId="6CA5331E">
                  <w:pPr>
                    <w:spacing w:line="276" w:lineRule="auto"/>
                    <w:jc w:val="center"/>
                    <w:rPr>
                      <w:color w:val="auto"/>
                      <w:szCs w:val="21"/>
                    </w:rPr>
                  </w:pPr>
                  <w:r>
                    <w:rPr>
                      <w:rFonts w:hint="eastAsia"/>
                      <w:color w:val="auto"/>
                      <w:szCs w:val="21"/>
                    </w:rPr>
                    <w:t>-3，0</w:t>
                  </w:r>
                </w:p>
              </w:tc>
              <w:tc>
                <w:tcPr>
                  <w:tcW w:w="851" w:type="dxa"/>
                  <w:vAlign w:val="center"/>
                </w:tcPr>
                <w:p w14:paraId="7F6BDFEC">
                  <w:pPr>
                    <w:spacing w:line="276" w:lineRule="auto"/>
                    <w:jc w:val="center"/>
                    <w:rPr>
                      <w:color w:val="auto"/>
                      <w:szCs w:val="21"/>
                    </w:rPr>
                  </w:pPr>
                  <w:r>
                    <w:rPr>
                      <w:rFonts w:hint="eastAsia"/>
                      <w:color w:val="auto"/>
                      <w:szCs w:val="21"/>
                    </w:rPr>
                    <w:t>W</w:t>
                  </w:r>
                </w:p>
              </w:tc>
              <w:tc>
                <w:tcPr>
                  <w:tcW w:w="1134" w:type="dxa"/>
                  <w:vAlign w:val="center"/>
                </w:tcPr>
                <w:p w14:paraId="69140FBE">
                  <w:pPr>
                    <w:spacing w:line="276" w:lineRule="auto"/>
                    <w:jc w:val="center"/>
                    <w:rPr>
                      <w:color w:val="auto"/>
                      <w:szCs w:val="21"/>
                    </w:rPr>
                  </w:pPr>
                  <w:r>
                    <w:rPr>
                      <w:rFonts w:hint="eastAsia"/>
                      <w:color w:val="auto"/>
                      <w:szCs w:val="21"/>
                    </w:rPr>
                    <w:t>3</w:t>
                  </w:r>
                </w:p>
              </w:tc>
              <w:tc>
                <w:tcPr>
                  <w:tcW w:w="1276" w:type="dxa"/>
                  <w:vAlign w:val="center"/>
                </w:tcPr>
                <w:p w14:paraId="14F3141D">
                  <w:pPr>
                    <w:spacing w:line="276" w:lineRule="auto"/>
                    <w:jc w:val="center"/>
                    <w:rPr>
                      <w:color w:val="auto"/>
                      <w:szCs w:val="21"/>
                    </w:rPr>
                  </w:pPr>
                  <w:r>
                    <w:rPr>
                      <w:rFonts w:hint="eastAsia"/>
                      <w:color w:val="auto"/>
                      <w:szCs w:val="21"/>
                    </w:rPr>
                    <w:t>约150人</w:t>
                  </w:r>
                </w:p>
              </w:tc>
              <w:tc>
                <w:tcPr>
                  <w:tcW w:w="1371" w:type="dxa"/>
                  <w:vMerge w:val="continue"/>
                  <w:vAlign w:val="center"/>
                </w:tcPr>
                <w:p w14:paraId="79A44750">
                  <w:pPr>
                    <w:spacing w:line="276" w:lineRule="auto"/>
                    <w:jc w:val="center"/>
                    <w:rPr>
                      <w:color w:val="auto"/>
                      <w:szCs w:val="21"/>
                    </w:rPr>
                  </w:pPr>
                </w:p>
              </w:tc>
            </w:tr>
            <w:tr w14:paraId="1C7829E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04" w:type="dxa"/>
                  <w:vMerge w:val="continue"/>
                  <w:vAlign w:val="center"/>
                </w:tcPr>
                <w:p w14:paraId="1E19C408">
                  <w:pPr>
                    <w:spacing w:line="276" w:lineRule="auto"/>
                    <w:jc w:val="center"/>
                    <w:rPr>
                      <w:color w:val="auto"/>
                      <w:szCs w:val="21"/>
                    </w:rPr>
                  </w:pPr>
                </w:p>
              </w:tc>
              <w:tc>
                <w:tcPr>
                  <w:tcW w:w="1134" w:type="dxa"/>
                  <w:vAlign w:val="center"/>
                </w:tcPr>
                <w:p w14:paraId="53517A9D">
                  <w:pPr>
                    <w:spacing w:line="276" w:lineRule="auto"/>
                    <w:jc w:val="center"/>
                    <w:rPr>
                      <w:rFonts w:hint="eastAsia" w:ascii="CIDFont+F2" w:hAnsi="CIDFont+F2"/>
                      <w:color w:val="auto"/>
                      <w:szCs w:val="21"/>
                    </w:rPr>
                  </w:pPr>
                  <w:r>
                    <w:rPr>
                      <w:rFonts w:ascii="CIDFont+F2" w:hAnsi="CIDFont+F2"/>
                      <w:color w:val="auto"/>
                      <w:szCs w:val="21"/>
                    </w:rPr>
                    <w:t>散户</w:t>
                  </w:r>
                  <w:r>
                    <w:rPr>
                      <w:rFonts w:ascii="CIDFont+F1" w:hAnsi="CIDFont+F1"/>
                      <w:color w:val="auto"/>
                      <w:szCs w:val="21"/>
                    </w:rPr>
                    <w:t>2</w:t>
                  </w:r>
                </w:p>
              </w:tc>
              <w:tc>
                <w:tcPr>
                  <w:tcW w:w="1275" w:type="dxa"/>
                  <w:vAlign w:val="center"/>
                </w:tcPr>
                <w:p w14:paraId="76817AA9">
                  <w:pPr>
                    <w:spacing w:line="276" w:lineRule="auto"/>
                    <w:jc w:val="center"/>
                    <w:rPr>
                      <w:color w:val="auto"/>
                      <w:szCs w:val="21"/>
                    </w:rPr>
                  </w:pPr>
                  <w:r>
                    <w:rPr>
                      <w:rFonts w:hint="eastAsia" w:ascii="CIDFont+F1" w:hAnsi="CIDFont+F1"/>
                      <w:color w:val="auto"/>
                      <w:szCs w:val="21"/>
                    </w:rPr>
                    <w:t>20</w:t>
                  </w:r>
                  <w:r>
                    <w:rPr>
                      <w:rFonts w:ascii="CIDFont+F2" w:hAnsi="CIDFont+F2"/>
                      <w:color w:val="auto"/>
                      <w:szCs w:val="21"/>
                    </w:rPr>
                    <w:t>，</w:t>
                  </w:r>
                  <w:r>
                    <w:rPr>
                      <w:rFonts w:hint="eastAsia" w:ascii="CIDFont+F1" w:hAnsi="CIDFont+F1"/>
                      <w:color w:val="auto"/>
                      <w:szCs w:val="21"/>
                    </w:rPr>
                    <w:t>355</w:t>
                  </w:r>
                </w:p>
              </w:tc>
              <w:tc>
                <w:tcPr>
                  <w:tcW w:w="851" w:type="dxa"/>
                  <w:vAlign w:val="center"/>
                </w:tcPr>
                <w:p w14:paraId="7CB40B64">
                  <w:pPr>
                    <w:spacing w:line="276" w:lineRule="auto"/>
                    <w:jc w:val="center"/>
                    <w:rPr>
                      <w:color w:val="auto"/>
                      <w:szCs w:val="21"/>
                    </w:rPr>
                  </w:pPr>
                  <w:r>
                    <w:rPr>
                      <w:rFonts w:hint="eastAsia"/>
                      <w:color w:val="auto"/>
                      <w:szCs w:val="21"/>
                    </w:rPr>
                    <w:t>N</w:t>
                  </w:r>
                </w:p>
              </w:tc>
              <w:tc>
                <w:tcPr>
                  <w:tcW w:w="1134" w:type="dxa"/>
                  <w:vAlign w:val="center"/>
                </w:tcPr>
                <w:p w14:paraId="4BD7B351">
                  <w:pPr>
                    <w:spacing w:line="276" w:lineRule="auto"/>
                    <w:jc w:val="center"/>
                    <w:rPr>
                      <w:color w:val="auto"/>
                      <w:szCs w:val="21"/>
                    </w:rPr>
                  </w:pPr>
                  <w:r>
                    <w:rPr>
                      <w:rFonts w:hint="eastAsia"/>
                      <w:color w:val="auto"/>
                      <w:szCs w:val="21"/>
                    </w:rPr>
                    <w:t>9</w:t>
                  </w:r>
                </w:p>
              </w:tc>
              <w:tc>
                <w:tcPr>
                  <w:tcW w:w="1276" w:type="dxa"/>
                  <w:vAlign w:val="center"/>
                </w:tcPr>
                <w:p w14:paraId="1C9DF73B">
                  <w:pPr>
                    <w:spacing w:line="276" w:lineRule="auto"/>
                    <w:jc w:val="center"/>
                    <w:rPr>
                      <w:color w:val="auto"/>
                      <w:szCs w:val="21"/>
                    </w:rPr>
                  </w:pPr>
                  <w:r>
                    <w:rPr>
                      <w:rFonts w:hint="eastAsia"/>
                      <w:color w:val="auto"/>
                      <w:szCs w:val="21"/>
                    </w:rPr>
                    <w:t>约30人</w:t>
                  </w:r>
                </w:p>
              </w:tc>
              <w:tc>
                <w:tcPr>
                  <w:tcW w:w="1371" w:type="dxa"/>
                  <w:vMerge w:val="continue"/>
                  <w:vAlign w:val="center"/>
                </w:tcPr>
                <w:p w14:paraId="575C0F55">
                  <w:pPr>
                    <w:spacing w:line="276" w:lineRule="auto"/>
                    <w:jc w:val="center"/>
                    <w:rPr>
                      <w:color w:val="auto"/>
                      <w:szCs w:val="21"/>
                    </w:rPr>
                  </w:pPr>
                </w:p>
              </w:tc>
            </w:tr>
            <w:tr w14:paraId="0F94C00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jc w:val="center"/>
              </w:trPr>
              <w:tc>
                <w:tcPr>
                  <w:tcW w:w="1104" w:type="dxa"/>
                  <w:vMerge w:val="continue"/>
                  <w:vAlign w:val="center"/>
                </w:tcPr>
                <w:p w14:paraId="6A212FA3">
                  <w:pPr>
                    <w:spacing w:line="276" w:lineRule="auto"/>
                    <w:jc w:val="center"/>
                    <w:rPr>
                      <w:color w:val="auto"/>
                      <w:szCs w:val="21"/>
                    </w:rPr>
                  </w:pPr>
                </w:p>
              </w:tc>
              <w:tc>
                <w:tcPr>
                  <w:tcW w:w="1134" w:type="dxa"/>
                  <w:vAlign w:val="center"/>
                </w:tcPr>
                <w:p w14:paraId="6C4F073A">
                  <w:pPr>
                    <w:spacing w:line="276" w:lineRule="auto"/>
                    <w:jc w:val="center"/>
                    <w:rPr>
                      <w:color w:val="auto"/>
                      <w:szCs w:val="21"/>
                    </w:rPr>
                  </w:pPr>
                  <w:r>
                    <w:rPr>
                      <w:rFonts w:ascii="CIDFont+F2" w:hAnsi="CIDFont+F2"/>
                      <w:color w:val="auto"/>
                      <w:szCs w:val="21"/>
                    </w:rPr>
                    <w:t>刘郢孜</w:t>
                  </w:r>
                </w:p>
              </w:tc>
              <w:tc>
                <w:tcPr>
                  <w:tcW w:w="1275" w:type="dxa"/>
                  <w:vAlign w:val="center"/>
                </w:tcPr>
                <w:p w14:paraId="04769DD8">
                  <w:pPr>
                    <w:spacing w:line="276" w:lineRule="auto"/>
                    <w:jc w:val="center"/>
                    <w:rPr>
                      <w:color w:val="auto"/>
                      <w:szCs w:val="21"/>
                    </w:rPr>
                  </w:pPr>
                  <w:r>
                    <w:rPr>
                      <w:rFonts w:hint="eastAsia"/>
                      <w:color w:val="auto"/>
                      <w:szCs w:val="21"/>
                    </w:rPr>
                    <w:t>370，75</w:t>
                  </w:r>
                </w:p>
              </w:tc>
              <w:tc>
                <w:tcPr>
                  <w:tcW w:w="851" w:type="dxa"/>
                  <w:vAlign w:val="center"/>
                </w:tcPr>
                <w:p w14:paraId="63A1E05F">
                  <w:pPr>
                    <w:spacing w:line="276" w:lineRule="auto"/>
                    <w:jc w:val="center"/>
                    <w:rPr>
                      <w:color w:val="auto"/>
                      <w:szCs w:val="21"/>
                    </w:rPr>
                  </w:pPr>
                  <w:r>
                    <w:rPr>
                      <w:rFonts w:ascii="CIDFont+F1" w:hAnsi="CIDFont+F1"/>
                      <w:color w:val="auto"/>
                      <w:szCs w:val="21"/>
                    </w:rPr>
                    <w:t>SE</w:t>
                  </w:r>
                </w:p>
              </w:tc>
              <w:tc>
                <w:tcPr>
                  <w:tcW w:w="1134" w:type="dxa"/>
                  <w:vAlign w:val="center"/>
                </w:tcPr>
                <w:p w14:paraId="0822CAD6">
                  <w:pPr>
                    <w:spacing w:line="276" w:lineRule="auto"/>
                    <w:jc w:val="center"/>
                    <w:rPr>
                      <w:color w:val="auto"/>
                      <w:szCs w:val="21"/>
                    </w:rPr>
                  </w:pPr>
                  <w:r>
                    <w:rPr>
                      <w:rFonts w:hint="eastAsia"/>
                      <w:color w:val="auto"/>
                      <w:szCs w:val="21"/>
                    </w:rPr>
                    <w:t>120</w:t>
                  </w:r>
                </w:p>
              </w:tc>
              <w:tc>
                <w:tcPr>
                  <w:tcW w:w="1276" w:type="dxa"/>
                  <w:vAlign w:val="center"/>
                </w:tcPr>
                <w:p w14:paraId="2A9226DD">
                  <w:pPr>
                    <w:spacing w:line="276" w:lineRule="auto"/>
                    <w:jc w:val="center"/>
                    <w:rPr>
                      <w:color w:val="auto"/>
                      <w:szCs w:val="21"/>
                    </w:rPr>
                  </w:pPr>
                  <w:r>
                    <w:rPr>
                      <w:rFonts w:hint="eastAsia"/>
                      <w:color w:val="auto"/>
                      <w:szCs w:val="21"/>
                    </w:rPr>
                    <w:t>约300人</w:t>
                  </w:r>
                </w:p>
              </w:tc>
              <w:tc>
                <w:tcPr>
                  <w:tcW w:w="1371" w:type="dxa"/>
                  <w:vMerge w:val="continue"/>
                  <w:vAlign w:val="center"/>
                </w:tcPr>
                <w:p w14:paraId="623D4120">
                  <w:pPr>
                    <w:spacing w:line="276" w:lineRule="auto"/>
                    <w:jc w:val="center"/>
                    <w:rPr>
                      <w:color w:val="auto"/>
                      <w:szCs w:val="21"/>
                    </w:rPr>
                  </w:pPr>
                </w:p>
              </w:tc>
            </w:tr>
            <w:tr w14:paraId="7673FD7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04" w:type="dxa"/>
                  <w:vMerge w:val="continue"/>
                  <w:vAlign w:val="center"/>
                </w:tcPr>
                <w:p w14:paraId="37028DCC">
                  <w:pPr>
                    <w:spacing w:line="276" w:lineRule="auto"/>
                    <w:jc w:val="center"/>
                    <w:rPr>
                      <w:color w:val="auto"/>
                      <w:szCs w:val="21"/>
                    </w:rPr>
                  </w:pPr>
                </w:p>
              </w:tc>
              <w:tc>
                <w:tcPr>
                  <w:tcW w:w="1134" w:type="dxa"/>
                  <w:vAlign w:val="center"/>
                </w:tcPr>
                <w:p w14:paraId="05B687FB">
                  <w:pPr>
                    <w:spacing w:line="276" w:lineRule="auto"/>
                    <w:jc w:val="center"/>
                    <w:rPr>
                      <w:color w:val="auto"/>
                      <w:szCs w:val="21"/>
                    </w:rPr>
                  </w:pPr>
                  <w:r>
                    <w:rPr>
                      <w:rFonts w:ascii="CIDFont+F2" w:hAnsi="CIDFont+F2"/>
                      <w:color w:val="auto"/>
                      <w:szCs w:val="21"/>
                    </w:rPr>
                    <w:t>辛家郢</w:t>
                  </w:r>
                </w:p>
              </w:tc>
              <w:tc>
                <w:tcPr>
                  <w:tcW w:w="1275" w:type="dxa"/>
                  <w:vAlign w:val="center"/>
                </w:tcPr>
                <w:p w14:paraId="3501D529">
                  <w:pPr>
                    <w:spacing w:line="276" w:lineRule="auto"/>
                    <w:jc w:val="center"/>
                    <w:rPr>
                      <w:color w:val="auto"/>
                      <w:szCs w:val="21"/>
                    </w:rPr>
                  </w:pPr>
                  <w:r>
                    <w:rPr>
                      <w:rFonts w:hint="eastAsia"/>
                      <w:color w:val="auto"/>
                      <w:szCs w:val="21"/>
                    </w:rPr>
                    <w:t>0，585</w:t>
                  </w:r>
                </w:p>
              </w:tc>
              <w:tc>
                <w:tcPr>
                  <w:tcW w:w="851" w:type="dxa"/>
                  <w:vAlign w:val="center"/>
                </w:tcPr>
                <w:p w14:paraId="49195B70">
                  <w:pPr>
                    <w:spacing w:line="276" w:lineRule="auto"/>
                    <w:jc w:val="center"/>
                    <w:rPr>
                      <w:color w:val="auto"/>
                      <w:szCs w:val="21"/>
                    </w:rPr>
                  </w:pPr>
                  <w:r>
                    <w:rPr>
                      <w:rFonts w:hint="eastAsia" w:ascii="CIDFont+F1" w:hAnsi="CIDFont+F1"/>
                      <w:color w:val="auto"/>
                      <w:szCs w:val="21"/>
                    </w:rPr>
                    <w:t>NW</w:t>
                  </w:r>
                </w:p>
              </w:tc>
              <w:tc>
                <w:tcPr>
                  <w:tcW w:w="1134" w:type="dxa"/>
                  <w:vAlign w:val="center"/>
                </w:tcPr>
                <w:p w14:paraId="149A2427">
                  <w:pPr>
                    <w:spacing w:line="276" w:lineRule="auto"/>
                    <w:jc w:val="center"/>
                    <w:rPr>
                      <w:color w:val="auto"/>
                      <w:szCs w:val="21"/>
                    </w:rPr>
                  </w:pPr>
                  <w:r>
                    <w:rPr>
                      <w:rFonts w:hint="eastAsia"/>
                      <w:color w:val="auto"/>
                      <w:szCs w:val="21"/>
                    </w:rPr>
                    <w:t>123</w:t>
                  </w:r>
                </w:p>
              </w:tc>
              <w:tc>
                <w:tcPr>
                  <w:tcW w:w="1276" w:type="dxa"/>
                  <w:vAlign w:val="center"/>
                </w:tcPr>
                <w:p w14:paraId="790DCBB3">
                  <w:pPr>
                    <w:spacing w:line="276" w:lineRule="auto"/>
                    <w:jc w:val="center"/>
                    <w:rPr>
                      <w:color w:val="auto"/>
                      <w:szCs w:val="21"/>
                    </w:rPr>
                  </w:pPr>
                  <w:r>
                    <w:rPr>
                      <w:rFonts w:hint="eastAsia"/>
                      <w:color w:val="auto"/>
                      <w:szCs w:val="21"/>
                    </w:rPr>
                    <w:t>约300人</w:t>
                  </w:r>
                </w:p>
              </w:tc>
              <w:tc>
                <w:tcPr>
                  <w:tcW w:w="1371" w:type="dxa"/>
                  <w:vMerge w:val="continue"/>
                  <w:vAlign w:val="center"/>
                </w:tcPr>
                <w:p w14:paraId="53726908">
                  <w:pPr>
                    <w:spacing w:line="276" w:lineRule="auto"/>
                    <w:jc w:val="center"/>
                    <w:rPr>
                      <w:color w:val="auto"/>
                      <w:szCs w:val="21"/>
                    </w:rPr>
                  </w:pPr>
                </w:p>
              </w:tc>
            </w:tr>
            <w:tr w14:paraId="15DC6ED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04" w:type="dxa"/>
                  <w:vMerge w:val="continue"/>
                  <w:vAlign w:val="center"/>
                </w:tcPr>
                <w:p w14:paraId="7CEC3BB7">
                  <w:pPr>
                    <w:spacing w:line="276" w:lineRule="auto"/>
                    <w:jc w:val="center"/>
                    <w:rPr>
                      <w:color w:val="auto"/>
                      <w:szCs w:val="21"/>
                    </w:rPr>
                  </w:pPr>
                </w:p>
              </w:tc>
              <w:tc>
                <w:tcPr>
                  <w:tcW w:w="1134" w:type="dxa"/>
                  <w:vAlign w:val="center"/>
                </w:tcPr>
                <w:p w14:paraId="15C789C5">
                  <w:pPr>
                    <w:spacing w:line="276" w:lineRule="auto"/>
                    <w:jc w:val="center"/>
                    <w:rPr>
                      <w:color w:val="auto"/>
                      <w:szCs w:val="21"/>
                    </w:rPr>
                  </w:pPr>
                  <w:r>
                    <w:rPr>
                      <w:rFonts w:ascii="CIDFont+F2" w:hAnsi="CIDFont+F2"/>
                      <w:color w:val="auto"/>
                      <w:szCs w:val="21"/>
                    </w:rPr>
                    <w:t>大东岗</w:t>
                  </w:r>
                </w:p>
              </w:tc>
              <w:tc>
                <w:tcPr>
                  <w:tcW w:w="1275" w:type="dxa"/>
                  <w:vAlign w:val="center"/>
                </w:tcPr>
                <w:p w14:paraId="2C5050F6">
                  <w:pPr>
                    <w:spacing w:line="276" w:lineRule="auto"/>
                    <w:jc w:val="center"/>
                    <w:rPr>
                      <w:color w:val="auto"/>
                      <w:szCs w:val="21"/>
                    </w:rPr>
                  </w:pPr>
                  <w:r>
                    <w:rPr>
                      <w:rFonts w:hint="eastAsia"/>
                      <w:color w:val="auto"/>
                      <w:szCs w:val="21"/>
                    </w:rPr>
                    <w:t>345，622</w:t>
                  </w:r>
                </w:p>
              </w:tc>
              <w:tc>
                <w:tcPr>
                  <w:tcW w:w="851" w:type="dxa"/>
                  <w:vAlign w:val="center"/>
                </w:tcPr>
                <w:p w14:paraId="6A10303C">
                  <w:pPr>
                    <w:spacing w:line="276" w:lineRule="auto"/>
                    <w:jc w:val="center"/>
                    <w:rPr>
                      <w:color w:val="auto"/>
                      <w:szCs w:val="21"/>
                    </w:rPr>
                  </w:pPr>
                  <w:r>
                    <w:rPr>
                      <w:rFonts w:hint="eastAsia"/>
                      <w:color w:val="auto"/>
                      <w:szCs w:val="21"/>
                    </w:rPr>
                    <w:t>NE</w:t>
                  </w:r>
                </w:p>
              </w:tc>
              <w:tc>
                <w:tcPr>
                  <w:tcW w:w="1134" w:type="dxa"/>
                  <w:vAlign w:val="center"/>
                </w:tcPr>
                <w:p w14:paraId="5C94CF03">
                  <w:pPr>
                    <w:spacing w:line="276" w:lineRule="auto"/>
                    <w:jc w:val="center"/>
                    <w:rPr>
                      <w:color w:val="auto"/>
                      <w:szCs w:val="21"/>
                    </w:rPr>
                  </w:pPr>
                  <w:r>
                    <w:rPr>
                      <w:rFonts w:hint="eastAsia"/>
                      <w:color w:val="auto"/>
                      <w:szCs w:val="21"/>
                    </w:rPr>
                    <w:t>180</w:t>
                  </w:r>
                </w:p>
              </w:tc>
              <w:tc>
                <w:tcPr>
                  <w:tcW w:w="1276" w:type="dxa"/>
                  <w:vAlign w:val="center"/>
                </w:tcPr>
                <w:p w14:paraId="25C320DA">
                  <w:pPr>
                    <w:spacing w:line="276" w:lineRule="auto"/>
                    <w:jc w:val="center"/>
                    <w:rPr>
                      <w:color w:val="auto"/>
                      <w:szCs w:val="21"/>
                    </w:rPr>
                  </w:pPr>
                  <w:r>
                    <w:rPr>
                      <w:rFonts w:hint="eastAsia"/>
                      <w:color w:val="auto"/>
                      <w:szCs w:val="21"/>
                    </w:rPr>
                    <w:t>约300人</w:t>
                  </w:r>
                </w:p>
              </w:tc>
              <w:tc>
                <w:tcPr>
                  <w:tcW w:w="1371" w:type="dxa"/>
                  <w:vMerge w:val="continue"/>
                  <w:vAlign w:val="center"/>
                </w:tcPr>
                <w:p w14:paraId="5FE464EC">
                  <w:pPr>
                    <w:spacing w:line="276" w:lineRule="auto"/>
                    <w:jc w:val="center"/>
                    <w:rPr>
                      <w:color w:val="auto"/>
                      <w:szCs w:val="21"/>
                    </w:rPr>
                  </w:pPr>
                </w:p>
              </w:tc>
            </w:tr>
            <w:tr w14:paraId="4177B67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04" w:type="dxa"/>
                  <w:vMerge w:val="continue"/>
                  <w:vAlign w:val="center"/>
                </w:tcPr>
                <w:p w14:paraId="0A324F38">
                  <w:pPr>
                    <w:spacing w:line="276" w:lineRule="auto"/>
                    <w:jc w:val="center"/>
                    <w:rPr>
                      <w:color w:val="auto"/>
                      <w:szCs w:val="21"/>
                    </w:rPr>
                  </w:pPr>
                </w:p>
              </w:tc>
              <w:tc>
                <w:tcPr>
                  <w:tcW w:w="1134" w:type="dxa"/>
                  <w:vAlign w:val="center"/>
                </w:tcPr>
                <w:p w14:paraId="6BFF4572">
                  <w:pPr>
                    <w:spacing w:line="276" w:lineRule="auto"/>
                    <w:jc w:val="center"/>
                    <w:rPr>
                      <w:color w:val="auto"/>
                      <w:szCs w:val="21"/>
                    </w:rPr>
                  </w:pPr>
                  <w:r>
                    <w:rPr>
                      <w:rFonts w:ascii="CIDFont+F2" w:hAnsi="CIDFont+F2"/>
                      <w:color w:val="auto"/>
                      <w:szCs w:val="21"/>
                    </w:rPr>
                    <w:t>辛东村</w:t>
                  </w:r>
                </w:p>
              </w:tc>
              <w:tc>
                <w:tcPr>
                  <w:tcW w:w="1275" w:type="dxa"/>
                  <w:vAlign w:val="center"/>
                </w:tcPr>
                <w:p w14:paraId="5FBCF4A7">
                  <w:pPr>
                    <w:spacing w:line="276" w:lineRule="auto"/>
                    <w:jc w:val="center"/>
                    <w:rPr>
                      <w:color w:val="auto"/>
                      <w:szCs w:val="21"/>
                    </w:rPr>
                  </w:pPr>
                  <w:r>
                    <w:rPr>
                      <w:rFonts w:hint="eastAsia"/>
                      <w:color w:val="auto"/>
                      <w:szCs w:val="21"/>
                    </w:rPr>
                    <w:t>0，-78</w:t>
                  </w:r>
                </w:p>
              </w:tc>
              <w:tc>
                <w:tcPr>
                  <w:tcW w:w="851" w:type="dxa"/>
                  <w:vAlign w:val="center"/>
                </w:tcPr>
                <w:p w14:paraId="1E47CD0C">
                  <w:pPr>
                    <w:spacing w:line="276" w:lineRule="auto"/>
                    <w:jc w:val="center"/>
                    <w:rPr>
                      <w:color w:val="auto"/>
                      <w:szCs w:val="21"/>
                    </w:rPr>
                  </w:pPr>
                  <w:r>
                    <w:rPr>
                      <w:rFonts w:hint="eastAsia"/>
                      <w:color w:val="auto"/>
                      <w:szCs w:val="21"/>
                    </w:rPr>
                    <w:t>SW</w:t>
                  </w:r>
                </w:p>
              </w:tc>
              <w:tc>
                <w:tcPr>
                  <w:tcW w:w="1134" w:type="dxa"/>
                  <w:vAlign w:val="center"/>
                </w:tcPr>
                <w:p w14:paraId="556F82B5">
                  <w:pPr>
                    <w:spacing w:line="276" w:lineRule="auto"/>
                    <w:jc w:val="center"/>
                    <w:rPr>
                      <w:color w:val="auto"/>
                      <w:szCs w:val="21"/>
                    </w:rPr>
                  </w:pPr>
                  <w:r>
                    <w:rPr>
                      <w:rFonts w:hint="eastAsia"/>
                      <w:color w:val="auto"/>
                      <w:szCs w:val="21"/>
                    </w:rPr>
                    <w:t>78</w:t>
                  </w:r>
                </w:p>
              </w:tc>
              <w:tc>
                <w:tcPr>
                  <w:tcW w:w="1276" w:type="dxa"/>
                  <w:vAlign w:val="center"/>
                </w:tcPr>
                <w:p w14:paraId="4730E6DE">
                  <w:pPr>
                    <w:spacing w:line="276" w:lineRule="auto"/>
                    <w:jc w:val="center"/>
                    <w:rPr>
                      <w:color w:val="auto"/>
                      <w:szCs w:val="21"/>
                    </w:rPr>
                  </w:pPr>
                  <w:r>
                    <w:rPr>
                      <w:rFonts w:hint="eastAsia"/>
                      <w:color w:val="auto"/>
                      <w:szCs w:val="21"/>
                    </w:rPr>
                    <w:t>约300人</w:t>
                  </w:r>
                </w:p>
              </w:tc>
              <w:tc>
                <w:tcPr>
                  <w:tcW w:w="1371" w:type="dxa"/>
                  <w:vMerge w:val="continue"/>
                  <w:vAlign w:val="center"/>
                </w:tcPr>
                <w:p w14:paraId="4E4B14F1">
                  <w:pPr>
                    <w:spacing w:line="276" w:lineRule="auto"/>
                    <w:jc w:val="center"/>
                    <w:rPr>
                      <w:color w:val="auto"/>
                      <w:szCs w:val="21"/>
                    </w:rPr>
                  </w:pPr>
                </w:p>
              </w:tc>
            </w:tr>
            <w:tr w14:paraId="7CE98CD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04" w:type="dxa"/>
                  <w:vMerge w:val="continue"/>
                  <w:vAlign w:val="center"/>
                </w:tcPr>
                <w:p w14:paraId="509EE6B4">
                  <w:pPr>
                    <w:spacing w:line="276" w:lineRule="auto"/>
                    <w:jc w:val="center"/>
                    <w:rPr>
                      <w:color w:val="auto"/>
                      <w:szCs w:val="21"/>
                    </w:rPr>
                  </w:pPr>
                </w:p>
              </w:tc>
              <w:tc>
                <w:tcPr>
                  <w:tcW w:w="1134" w:type="dxa"/>
                  <w:vAlign w:val="center"/>
                </w:tcPr>
                <w:p w14:paraId="62F28DBB">
                  <w:pPr>
                    <w:spacing w:line="276" w:lineRule="auto"/>
                    <w:jc w:val="center"/>
                    <w:rPr>
                      <w:rFonts w:hint="eastAsia" w:ascii="CIDFont+F2" w:hAnsi="CIDFont+F2"/>
                      <w:color w:val="auto"/>
                      <w:szCs w:val="21"/>
                    </w:rPr>
                  </w:pPr>
                  <w:r>
                    <w:rPr>
                      <w:rFonts w:ascii="CIDFont+F2" w:hAnsi="CIDFont+F2"/>
                      <w:color w:val="auto"/>
                      <w:szCs w:val="21"/>
                    </w:rPr>
                    <w:t>廖小孜郢</w:t>
                  </w:r>
                </w:p>
              </w:tc>
              <w:tc>
                <w:tcPr>
                  <w:tcW w:w="1275" w:type="dxa"/>
                  <w:vAlign w:val="center"/>
                </w:tcPr>
                <w:p w14:paraId="41816D6A">
                  <w:pPr>
                    <w:spacing w:line="276" w:lineRule="auto"/>
                    <w:jc w:val="center"/>
                    <w:rPr>
                      <w:color w:val="auto"/>
                      <w:szCs w:val="21"/>
                    </w:rPr>
                  </w:pPr>
                  <w:r>
                    <w:rPr>
                      <w:rFonts w:hint="eastAsia"/>
                      <w:color w:val="auto"/>
                      <w:szCs w:val="21"/>
                    </w:rPr>
                    <w:t>700，350</w:t>
                  </w:r>
                </w:p>
              </w:tc>
              <w:tc>
                <w:tcPr>
                  <w:tcW w:w="851" w:type="dxa"/>
                  <w:vAlign w:val="center"/>
                </w:tcPr>
                <w:p w14:paraId="10DDFC12">
                  <w:pPr>
                    <w:spacing w:line="276" w:lineRule="auto"/>
                    <w:jc w:val="center"/>
                    <w:rPr>
                      <w:color w:val="auto"/>
                      <w:szCs w:val="21"/>
                    </w:rPr>
                  </w:pPr>
                  <w:r>
                    <w:rPr>
                      <w:rFonts w:hint="eastAsia"/>
                      <w:color w:val="auto"/>
                      <w:szCs w:val="21"/>
                    </w:rPr>
                    <w:t>NE</w:t>
                  </w:r>
                </w:p>
              </w:tc>
              <w:tc>
                <w:tcPr>
                  <w:tcW w:w="1134" w:type="dxa"/>
                  <w:vAlign w:val="center"/>
                </w:tcPr>
                <w:p w14:paraId="5F995B1E">
                  <w:pPr>
                    <w:spacing w:line="276" w:lineRule="auto"/>
                    <w:jc w:val="center"/>
                    <w:rPr>
                      <w:color w:val="auto"/>
                      <w:szCs w:val="21"/>
                    </w:rPr>
                  </w:pPr>
                  <w:r>
                    <w:rPr>
                      <w:rFonts w:hint="eastAsia"/>
                      <w:color w:val="auto"/>
                      <w:szCs w:val="21"/>
                    </w:rPr>
                    <w:t>245</w:t>
                  </w:r>
                </w:p>
              </w:tc>
              <w:tc>
                <w:tcPr>
                  <w:tcW w:w="1276" w:type="dxa"/>
                  <w:vAlign w:val="center"/>
                </w:tcPr>
                <w:p w14:paraId="74572952">
                  <w:pPr>
                    <w:spacing w:line="276" w:lineRule="auto"/>
                    <w:jc w:val="center"/>
                    <w:rPr>
                      <w:color w:val="auto"/>
                      <w:szCs w:val="21"/>
                    </w:rPr>
                  </w:pPr>
                  <w:r>
                    <w:rPr>
                      <w:rFonts w:hint="eastAsia"/>
                      <w:color w:val="auto"/>
                      <w:szCs w:val="21"/>
                    </w:rPr>
                    <w:t>约200人</w:t>
                  </w:r>
                </w:p>
              </w:tc>
              <w:tc>
                <w:tcPr>
                  <w:tcW w:w="1371" w:type="dxa"/>
                  <w:vMerge w:val="continue"/>
                  <w:vAlign w:val="center"/>
                </w:tcPr>
                <w:p w14:paraId="751F47B0">
                  <w:pPr>
                    <w:spacing w:line="276" w:lineRule="auto"/>
                    <w:jc w:val="center"/>
                    <w:rPr>
                      <w:color w:val="auto"/>
                      <w:szCs w:val="21"/>
                    </w:rPr>
                  </w:pPr>
                </w:p>
              </w:tc>
            </w:tr>
            <w:tr w14:paraId="770DD5E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04" w:type="dxa"/>
                  <w:vMerge w:val="continue"/>
                  <w:vAlign w:val="center"/>
                </w:tcPr>
                <w:p w14:paraId="7CA2BF47">
                  <w:pPr>
                    <w:spacing w:line="276" w:lineRule="auto"/>
                    <w:jc w:val="center"/>
                    <w:rPr>
                      <w:color w:val="auto"/>
                      <w:szCs w:val="21"/>
                    </w:rPr>
                  </w:pPr>
                </w:p>
              </w:tc>
              <w:tc>
                <w:tcPr>
                  <w:tcW w:w="1134" w:type="dxa"/>
                  <w:vAlign w:val="center"/>
                </w:tcPr>
                <w:p w14:paraId="7FC73AD0">
                  <w:pPr>
                    <w:spacing w:line="276" w:lineRule="auto"/>
                    <w:jc w:val="center"/>
                    <w:rPr>
                      <w:rFonts w:hint="eastAsia" w:ascii="CIDFont+F2" w:hAnsi="CIDFont+F2"/>
                      <w:color w:val="auto"/>
                      <w:szCs w:val="21"/>
                    </w:rPr>
                  </w:pPr>
                  <w:r>
                    <w:rPr>
                      <w:rFonts w:ascii="CIDFont+F2" w:hAnsi="CIDFont+F2"/>
                      <w:color w:val="auto"/>
                      <w:szCs w:val="21"/>
                    </w:rPr>
                    <w:t>上郭村</w:t>
                  </w:r>
                </w:p>
              </w:tc>
              <w:tc>
                <w:tcPr>
                  <w:tcW w:w="1275" w:type="dxa"/>
                  <w:vAlign w:val="center"/>
                </w:tcPr>
                <w:p w14:paraId="03606255">
                  <w:pPr>
                    <w:spacing w:line="276" w:lineRule="auto"/>
                    <w:jc w:val="center"/>
                    <w:rPr>
                      <w:rFonts w:hint="eastAsia" w:ascii="CIDFont+F1" w:hAnsi="CIDFont+F1"/>
                      <w:color w:val="auto"/>
                      <w:szCs w:val="21"/>
                    </w:rPr>
                  </w:pPr>
                  <w:r>
                    <w:rPr>
                      <w:rFonts w:hint="eastAsia" w:ascii="CIDFont+F1" w:hAnsi="CIDFont+F1"/>
                      <w:color w:val="auto"/>
                      <w:szCs w:val="21"/>
                    </w:rPr>
                    <w:t>-625，-200</w:t>
                  </w:r>
                </w:p>
              </w:tc>
              <w:tc>
                <w:tcPr>
                  <w:tcW w:w="851" w:type="dxa"/>
                  <w:vAlign w:val="center"/>
                </w:tcPr>
                <w:p w14:paraId="64892F3C">
                  <w:pPr>
                    <w:spacing w:line="276" w:lineRule="auto"/>
                    <w:jc w:val="center"/>
                    <w:rPr>
                      <w:color w:val="auto"/>
                      <w:szCs w:val="21"/>
                    </w:rPr>
                  </w:pPr>
                  <w:r>
                    <w:rPr>
                      <w:rFonts w:hint="eastAsia"/>
                      <w:color w:val="auto"/>
                      <w:szCs w:val="21"/>
                    </w:rPr>
                    <w:t>W</w:t>
                  </w:r>
                </w:p>
              </w:tc>
              <w:tc>
                <w:tcPr>
                  <w:tcW w:w="1134" w:type="dxa"/>
                  <w:vAlign w:val="center"/>
                </w:tcPr>
                <w:p w14:paraId="776233F2">
                  <w:pPr>
                    <w:spacing w:line="276" w:lineRule="auto"/>
                    <w:jc w:val="center"/>
                    <w:rPr>
                      <w:color w:val="auto"/>
                      <w:szCs w:val="21"/>
                    </w:rPr>
                  </w:pPr>
                  <w:r>
                    <w:rPr>
                      <w:rFonts w:hint="eastAsia"/>
                      <w:color w:val="auto"/>
                      <w:szCs w:val="21"/>
                    </w:rPr>
                    <w:t>705</w:t>
                  </w:r>
                </w:p>
              </w:tc>
              <w:tc>
                <w:tcPr>
                  <w:tcW w:w="1276" w:type="dxa"/>
                  <w:vAlign w:val="center"/>
                </w:tcPr>
                <w:p w14:paraId="5EE40FBF">
                  <w:pPr>
                    <w:spacing w:line="276" w:lineRule="auto"/>
                    <w:jc w:val="center"/>
                    <w:rPr>
                      <w:color w:val="auto"/>
                      <w:szCs w:val="21"/>
                    </w:rPr>
                  </w:pPr>
                  <w:r>
                    <w:rPr>
                      <w:rFonts w:hint="eastAsia"/>
                      <w:color w:val="auto"/>
                      <w:szCs w:val="21"/>
                    </w:rPr>
                    <w:t>约5人</w:t>
                  </w:r>
                </w:p>
              </w:tc>
              <w:tc>
                <w:tcPr>
                  <w:tcW w:w="1371" w:type="dxa"/>
                  <w:vMerge w:val="continue"/>
                  <w:vAlign w:val="center"/>
                </w:tcPr>
                <w:p w14:paraId="792702F4">
                  <w:pPr>
                    <w:spacing w:line="276" w:lineRule="auto"/>
                    <w:jc w:val="center"/>
                    <w:rPr>
                      <w:color w:val="auto"/>
                      <w:szCs w:val="21"/>
                    </w:rPr>
                  </w:pPr>
                </w:p>
              </w:tc>
            </w:tr>
            <w:tr w14:paraId="03FE448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jc w:val="center"/>
              </w:trPr>
              <w:tc>
                <w:tcPr>
                  <w:tcW w:w="1104" w:type="dxa"/>
                  <w:vMerge w:val="continue"/>
                  <w:vAlign w:val="center"/>
                </w:tcPr>
                <w:p w14:paraId="3F58D0A2">
                  <w:pPr>
                    <w:spacing w:line="276" w:lineRule="auto"/>
                    <w:jc w:val="center"/>
                    <w:rPr>
                      <w:color w:val="auto"/>
                      <w:szCs w:val="21"/>
                    </w:rPr>
                  </w:pPr>
                </w:p>
              </w:tc>
              <w:tc>
                <w:tcPr>
                  <w:tcW w:w="1134" w:type="dxa"/>
                  <w:vAlign w:val="center"/>
                </w:tcPr>
                <w:p w14:paraId="7760D21E">
                  <w:pPr>
                    <w:spacing w:line="276" w:lineRule="auto"/>
                    <w:jc w:val="center"/>
                    <w:rPr>
                      <w:rFonts w:hint="eastAsia" w:ascii="CIDFont+F2" w:hAnsi="CIDFont+F2"/>
                      <w:color w:val="auto"/>
                      <w:szCs w:val="21"/>
                    </w:rPr>
                  </w:pPr>
                  <w:r>
                    <w:rPr>
                      <w:rFonts w:ascii="CIDFont+F2" w:hAnsi="CIDFont+F2"/>
                      <w:color w:val="auto"/>
                      <w:szCs w:val="21"/>
                    </w:rPr>
                    <w:t>下郢孜</w:t>
                  </w:r>
                </w:p>
              </w:tc>
              <w:tc>
                <w:tcPr>
                  <w:tcW w:w="1275" w:type="dxa"/>
                  <w:vAlign w:val="center"/>
                </w:tcPr>
                <w:p w14:paraId="1930C9A0">
                  <w:pPr>
                    <w:spacing w:line="276" w:lineRule="auto"/>
                    <w:jc w:val="center"/>
                    <w:rPr>
                      <w:rFonts w:hint="eastAsia" w:ascii="CIDFont+F1" w:hAnsi="CIDFont+F1"/>
                      <w:color w:val="auto"/>
                      <w:szCs w:val="21"/>
                    </w:rPr>
                  </w:pPr>
                  <w:r>
                    <w:rPr>
                      <w:rFonts w:hint="eastAsia" w:ascii="CIDFont+F1" w:hAnsi="CIDFont+F1"/>
                      <w:color w:val="auto"/>
                      <w:szCs w:val="21"/>
                    </w:rPr>
                    <w:t>-355，-410</w:t>
                  </w:r>
                </w:p>
              </w:tc>
              <w:tc>
                <w:tcPr>
                  <w:tcW w:w="851" w:type="dxa"/>
                  <w:vAlign w:val="center"/>
                </w:tcPr>
                <w:p w14:paraId="034B075F">
                  <w:pPr>
                    <w:spacing w:line="276" w:lineRule="auto"/>
                    <w:jc w:val="center"/>
                    <w:rPr>
                      <w:color w:val="auto"/>
                      <w:szCs w:val="21"/>
                    </w:rPr>
                  </w:pPr>
                  <w:r>
                    <w:rPr>
                      <w:rFonts w:hint="eastAsia"/>
                      <w:color w:val="auto"/>
                      <w:szCs w:val="21"/>
                    </w:rPr>
                    <w:t>SW</w:t>
                  </w:r>
                </w:p>
              </w:tc>
              <w:tc>
                <w:tcPr>
                  <w:tcW w:w="1134" w:type="dxa"/>
                  <w:vAlign w:val="center"/>
                </w:tcPr>
                <w:p w14:paraId="4D0B0336">
                  <w:pPr>
                    <w:spacing w:line="276" w:lineRule="auto"/>
                    <w:jc w:val="center"/>
                    <w:rPr>
                      <w:color w:val="auto"/>
                      <w:szCs w:val="21"/>
                    </w:rPr>
                  </w:pPr>
                  <w:r>
                    <w:rPr>
                      <w:rFonts w:hint="eastAsia"/>
                      <w:color w:val="auto"/>
                      <w:szCs w:val="21"/>
                    </w:rPr>
                    <w:t>550</w:t>
                  </w:r>
                </w:p>
              </w:tc>
              <w:tc>
                <w:tcPr>
                  <w:tcW w:w="1276" w:type="dxa"/>
                  <w:vAlign w:val="center"/>
                </w:tcPr>
                <w:p w14:paraId="2255E120">
                  <w:pPr>
                    <w:spacing w:line="276" w:lineRule="auto"/>
                    <w:jc w:val="center"/>
                    <w:rPr>
                      <w:color w:val="auto"/>
                      <w:szCs w:val="21"/>
                    </w:rPr>
                  </w:pPr>
                  <w:r>
                    <w:rPr>
                      <w:rFonts w:hint="eastAsia"/>
                      <w:color w:val="auto"/>
                      <w:szCs w:val="21"/>
                    </w:rPr>
                    <w:t>约150人</w:t>
                  </w:r>
                </w:p>
              </w:tc>
              <w:tc>
                <w:tcPr>
                  <w:tcW w:w="1371" w:type="dxa"/>
                  <w:vMerge w:val="continue"/>
                  <w:vAlign w:val="center"/>
                </w:tcPr>
                <w:p w14:paraId="028DE6E2">
                  <w:pPr>
                    <w:spacing w:line="276" w:lineRule="auto"/>
                    <w:jc w:val="center"/>
                    <w:rPr>
                      <w:color w:val="auto"/>
                      <w:szCs w:val="21"/>
                    </w:rPr>
                  </w:pPr>
                </w:p>
              </w:tc>
            </w:tr>
            <w:tr w14:paraId="6EAB161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04" w:type="dxa"/>
                  <w:vAlign w:val="center"/>
                </w:tcPr>
                <w:p w14:paraId="27F20734">
                  <w:pPr>
                    <w:spacing w:line="276" w:lineRule="auto"/>
                    <w:jc w:val="center"/>
                    <w:rPr>
                      <w:color w:val="auto"/>
                      <w:szCs w:val="21"/>
                    </w:rPr>
                  </w:pPr>
                  <w:r>
                    <w:rPr>
                      <w:color w:val="auto"/>
                      <w:szCs w:val="21"/>
                    </w:rPr>
                    <w:t>地表水环境</w:t>
                  </w:r>
                </w:p>
              </w:tc>
              <w:tc>
                <w:tcPr>
                  <w:tcW w:w="1134" w:type="dxa"/>
                  <w:vAlign w:val="center"/>
                </w:tcPr>
                <w:p w14:paraId="677C48B0">
                  <w:pPr>
                    <w:spacing w:line="276" w:lineRule="auto"/>
                    <w:jc w:val="center"/>
                    <w:rPr>
                      <w:rFonts w:hint="eastAsia" w:ascii="CIDFont+F2" w:hAnsi="CIDFont+F2"/>
                      <w:color w:val="auto"/>
                      <w:szCs w:val="21"/>
                    </w:rPr>
                  </w:pPr>
                  <w:r>
                    <w:rPr>
                      <w:rFonts w:ascii="CIDFont+F2" w:hAnsi="CIDFont+F2"/>
                      <w:color w:val="auto"/>
                      <w:szCs w:val="21"/>
                    </w:rPr>
                    <w:t>淮河</w:t>
                  </w:r>
                </w:p>
              </w:tc>
              <w:tc>
                <w:tcPr>
                  <w:tcW w:w="1275" w:type="dxa"/>
                  <w:vAlign w:val="center"/>
                </w:tcPr>
                <w:p w14:paraId="7E6DAAF6">
                  <w:pPr>
                    <w:spacing w:line="276" w:lineRule="auto"/>
                    <w:jc w:val="center"/>
                    <w:rPr>
                      <w:color w:val="auto"/>
                      <w:szCs w:val="21"/>
                    </w:rPr>
                  </w:pPr>
                  <w:r>
                    <w:rPr>
                      <w:rFonts w:hint="eastAsia"/>
                      <w:color w:val="auto"/>
                      <w:szCs w:val="21"/>
                    </w:rPr>
                    <w:t>/</w:t>
                  </w:r>
                </w:p>
              </w:tc>
              <w:tc>
                <w:tcPr>
                  <w:tcW w:w="851" w:type="dxa"/>
                  <w:vAlign w:val="center"/>
                </w:tcPr>
                <w:p w14:paraId="10EE3DB5">
                  <w:pPr>
                    <w:spacing w:line="276" w:lineRule="auto"/>
                    <w:jc w:val="center"/>
                    <w:rPr>
                      <w:color w:val="auto"/>
                      <w:szCs w:val="21"/>
                    </w:rPr>
                  </w:pPr>
                  <w:r>
                    <w:rPr>
                      <w:rFonts w:hint="eastAsia"/>
                      <w:color w:val="auto"/>
                      <w:szCs w:val="21"/>
                    </w:rPr>
                    <w:t>NW</w:t>
                  </w:r>
                </w:p>
              </w:tc>
              <w:tc>
                <w:tcPr>
                  <w:tcW w:w="1134" w:type="dxa"/>
                  <w:vAlign w:val="center"/>
                </w:tcPr>
                <w:p w14:paraId="6A368889">
                  <w:pPr>
                    <w:spacing w:line="276" w:lineRule="auto"/>
                    <w:jc w:val="center"/>
                    <w:rPr>
                      <w:color w:val="auto"/>
                      <w:szCs w:val="21"/>
                    </w:rPr>
                  </w:pPr>
                  <w:r>
                    <w:rPr>
                      <w:rFonts w:hint="eastAsia"/>
                      <w:color w:val="auto"/>
                      <w:szCs w:val="21"/>
                    </w:rPr>
                    <w:t>2732</w:t>
                  </w:r>
                </w:p>
              </w:tc>
              <w:tc>
                <w:tcPr>
                  <w:tcW w:w="1276" w:type="dxa"/>
                  <w:vAlign w:val="center"/>
                </w:tcPr>
                <w:p w14:paraId="16973E01">
                  <w:pPr>
                    <w:spacing w:line="276" w:lineRule="auto"/>
                    <w:jc w:val="center"/>
                    <w:rPr>
                      <w:color w:val="auto"/>
                      <w:szCs w:val="21"/>
                    </w:rPr>
                  </w:pPr>
                  <w:r>
                    <w:rPr>
                      <w:color w:val="auto"/>
                      <w:szCs w:val="21"/>
                    </w:rPr>
                    <w:t>大型</w:t>
                  </w:r>
                </w:p>
              </w:tc>
              <w:tc>
                <w:tcPr>
                  <w:tcW w:w="1371" w:type="dxa"/>
                  <w:vAlign w:val="center"/>
                </w:tcPr>
                <w:p w14:paraId="68BBFEE7">
                  <w:pPr>
                    <w:spacing w:line="276" w:lineRule="auto"/>
                    <w:jc w:val="center"/>
                    <w:rPr>
                      <w:color w:val="auto"/>
                      <w:szCs w:val="21"/>
                    </w:rPr>
                  </w:pPr>
                  <w:r>
                    <w:rPr>
                      <w:rFonts w:ascii="CIDFont+F2" w:hAnsi="CIDFont+F2"/>
                      <w:color w:val="auto"/>
                      <w:szCs w:val="21"/>
                    </w:rPr>
                    <w:t>《地表水环境质量标准》（</w:t>
                  </w:r>
                  <w:r>
                    <w:rPr>
                      <w:rFonts w:ascii="CIDFont+F1" w:hAnsi="CIDFont+F1"/>
                      <w:color w:val="auto"/>
                      <w:szCs w:val="21"/>
                    </w:rPr>
                    <w:t>GB3838</w:t>
                  </w:r>
                  <w:r>
                    <w:rPr>
                      <w:rFonts w:hint="eastAsia" w:ascii="CIDFont+F9" w:hAnsi="CIDFont+F9"/>
                      <w:color w:val="auto"/>
                      <w:szCs w:val="21"/>
                    </w:rPr>
                    <w:sym w:font="Symbol" w:char="F02D"/>
                  </w:r>
                  <w:r>
                    <w:rPr>
                      <w:rFonts w:ascii="CIDFont+F1" w:hAnsi="CIDFont+F1"/>
                      <w:color w:val="auto"/>
                      <w:szCs w:val="21"/>
                    </w:rPr>
                    <w:t>2002</w:t>
                  </w:r>
                  <w:r>
                    <w:rPr>
                      <w:rFonts w:ascii="CIDFont+F2" w:hAnsi="CIDFont+F2"/>
                      <w:color w:val="auto"/>
                      <w:szCs w:val="21"/>
                    </w:rPr>
                    <w:t>）中的</w:t>
                  </w:r>
                  <w:r>
                    <w:rPr>
                      <w:rFonts w:ascii="CIDFont+F1" w:hAnsi="CIDFont+F1"/>
                      <w:color w:val="auto"/>
                      <w:szCs w:val="21"/>
                    </w:rPr>
                    <w:t>Ⅲ</w:t>
                  </w:r>
                  <w:r>
                    <w:rPr>
                      <w:rFonts w:ascii="CIDFont+F2" w:hAnsi="CIDFont+F2"/>
                      <w:color w:val="auto"/>
                      <w:szCs w:val="21"/>
                    </w:rPr>
                    <w:t>类标准</w:t>
                  </w:r>
                </w:p>
              </w:tc>
            </w:tr>
            <w:tr w14:paraId="47F8B7A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04" w:type="dxa"/>
                  <w:vAlign w:val="center"/>
                </w:tcPr>
                <w:p w14:paraId="74E572D4">
                  <w:pPr>
                    <w:spacing w:line="276" w:lineRule="auto"/>
                    <w:jc w:val="center"/>
                    <w:rPr>
                      <w:color w:val="auto"/>
                      <w:szCs w:val="21"/>
                    </w:rPr>
                  </w:pPr>
                  <w:r>
                    <w:rPr>
                      <w:color w:val="auto"/>
                      <w:szCs w:val="21"/>
                    </w:rPr>
                    <w:t>地下水环境</w:t>
                  </w:r>
                </w:p>
              </w:tc>
              <w:tc>
                <w:tcPr>
                  <w:tcW w:w="7041" w:type="dxa"/>
                  <w:gridSpan w:val="6"/>
                  <w:vAlign w:val="center"/>
                </w:tcPr>
                <w:p w14:paraId="5064A3B8">
                  <w:pPr>
                    <w:spacing w:line="276" w:lineRule="auto"/>
                    <w:jc w:val="center"/>
                    <w:rPr>
                      <w:color w:val="auto"/>
                      <w:szCs w:val="21"/>
                    </w:rPr>
                  </w:pPr>
                  <w:r>
                    <w:rPr>
                      <w:rFonts w:ascii="CIDFont+F2" w:hAnsi="CIDFont+F2"/>
                      <w:color w:val="auto"/>
                      <w:szCs w:val="21"/>
                    </w:rPr>
                    <w:t>厂界外</w:t>
                  </w:r>
                  <w:r>
                    <w:rPr>
                      <w:rFonts w:hint="eastAsia" w:ascii="CIDFont+F2" w:hAnsi="CIDFont+F2"/>
                      <w:color w:val="auto"/>
                      <w:szCs w:val="21"/>
                    </w:rPr>
                    <w:t>5</w:t>
                  </w:r>
                  <w:r>
                    <w:rPr>
                      <w:rFonts w:ascii="CIDFont+F1" w:hAnsi="CIDFont+F1"/>
                      <w:color w:val="auto"/>
                      <w:szCs w:val="21"/>
                    </w:rPr>
                    <w:t>00</w:t>
                  </w:r>
                  <w:r>
                    <w:rPr>
                      <w:rFonts w:ascii="CIDFont+F2" w:hAnsi="CIDFont+F2"/>
                      <w:color w:val="auto"/>
                      <w:szCs w:val="21"/>
                    </w:rPr>
                    <w:t>米范围内无地下水集中式饮用水水源和热水、矿泉水、温泉等特殊地下水资源</w:t>
                  </w:r>
                </w:p>
              </w:tc>
            </w:tr>
            <w:tr w14:paraId="5E4C51D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104" w:type="dxa"/>
                  <w:vAlign w:val="center"/>
                </w:tcPr>
                <w:p w14:paraId="536921CF">
                  <w:pPr>
                    <w:spacing w:line="276" w:lineRule="auto"/>
                    <w:jc w:val="center"/>
                    <w:rPr>
                      <w:color w:val="auto"/>
                      <w:szCs w:val="21"/>
                    </w:rPr>
                  </w:pPr>
                  <w:r>
                    <w:rPr>
                      <w:color w:val="auto"/>
                      <w:szCs w:val="21"/>
                    </w:rPr>
                    <w:t>生态环境</w:t>
                  </w:r>
                </w:p>
              </w:tc>
              <w:tc>
                <w:tcPr>
                  <w:tcW w:w="7041" w:type="dxa"/>
                  <w:gridSpan w:val="6"/>
                  <w:vAlign w:val="center"/>
                </w:tcPr>
                <w:p w14:paraId="0E65DA46">
                  <w:pPr>
                    <w:spacing w:line="276" w:lineRule="auto"/>
                    <w:jc w:val="center"/>
                    <w:rPr>
                      <w:color w:val="auto"/>
                      <w:szCs w:val="21"/>
                    </w:rPr>
                  </w:pPr>
                  <w:r>
                    <w:rPr>
                      <w:rFonts w:ascii="CIDFont+F2" w:hAnsi="CIDFont+F2"/>
                      <w:color w:val="auto"/>
                      <w:szCs w:val="21"/>
                    </w:rPr>
                    <w:t>用地范围内无生态环境保护目标</w:t>
                  </w:r>
                </w:p>
              </w:tc>
            </w:tr>
          </w:tbl>
          <w:p w14:paraId="21162EAE">
            <w:pPr>
              <w:rPr>
                <w:b/>
                <w:color w:val="auto"/>
              </w:rPr>
            </w:pPr>
            <w:r>
              <w:rPr>
                <w:b/>
                <w:color w:val="auto"/>
              </w:rPr>
              <w:t>注：以厂房西南角为坐标起点。</w:t>
            </w:r>
          </w:p>
          <w:p w14:paraId="22E14BC1">
            <w:pPr>
              <w:spacing w:line="360" w:lineRule="auto"/>
              <w:jc w:val="center"/>
              <w:rPr>
                <w:rFonts w:eastAsia="黑体"/>
                <w:bCs/>
                <w:color w:val="auto"/>
                <w:sz w:val="24"/>
                <w:szCs w:val="24"/>
              </w:rPr>
            </w:pPr>
            <w:r>
              <w:rPr>
                <w:rFonts w:ascii="黑体" w:hAnsi="黑体" w:eastAsia="黑体"/>
                <w:color w:val="auto"/>
                <w:sz w:val="24"/>
                <w:szCs w:val="24"/>
              </w:rPr>
              <w:t>表</w:t>
            </w:r>
            <w:r>
              <w:rPr>
                <w:rFonts w:hint="eastAsia" w:eastAsia="黑体"/>
                <w:color w:val="auto"/>
                <w:sz w:val="24"/>
                <w:szCs w:val="24"/>
              </w:rPr>
              <w:t xml:space="preserve">34  </w:t>
            </w:r>
            <w:r>
              <w:rPr>
                <w:rFonts w:ascii="黑体" w:hAnsi="黑体" w:eastAsia="黑体"/>
                <w:color w:val="auto"/>
                <w:sz w:val="24"/>
                <w:szCs w:val="24"/>
              </w:rPr>
              <w:t>声环境保护目标调查表</w:t>
            </w:r>
          </w:p>
          <w:tbl>
            <w:tblPr>
              <w:tblStyle w:val="35"/>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1131"/>
              <w:gridCol w:w="1135"/>
              <w:gridCol w:w="582"/>
              <w:gridCol w:w="836"/>
              <w:gridCol w:w="1134"/>
              <w:gridCol w:w="709"/>
              <w:gridCol w:w="1228"/>
              <w:gridCol w:w="852"/>
            </w:tblGrid>
            <w:tr w14:paraId="6AEA161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30" w:type="pct"/>
                  <w:tcBorders>
                    <w:top w:val="single" w:color="000000" w:sz="12" w:space="0"/>
                    <w:left w:val="nil"/>
                    <w:bottom w:val="single" w:color="000000" w:sz="4" w:space="0"/>
                    <w:right w:val="single" w:color="000000" w:sz="4" w:space="0"/>
                  </w:tcBorders>
                  <w:vAlign w:val="center"/>
                </w:tcPr>
                <w:p w14:paraId="67C6E70D">
                  <w:pPr>
                    <w:spacing w:line="273" w:lineRule="auto"/>
                    <w:jc w:val="center"/>
                    <w:rPr>
                      <w:b/>
                      <w:color w:val="auto"/>
                      <w:szCs w:val="21"/>
                    </w:rPr>
                  </w:pPr>
                  <w:r>
                    <w:rPr>
                      <w:rFonts w:ascii="宋体" w:hAnsi="宋体"/>
                      <w:b/>
                      <w:color w:val="auto"/>
                    </w:rPr>
                    <w:t>序号</w:t>
                  </w:r>
                </w:p>
              </w:tc>
              <w:tc>
                <w:tcPr>
                  <w:tcW w:w="694" w:type="pct"/>
                  <w:tcBorders>
                    <w:top w:val="single" w:color="000000" w:sz="12" w:space="0"/>
                    <w:left w:val="single" w:color="000000" w:sz="4" w:space="0"/>
                    <w:bottom w:val="single" w:color="000000" w:sz="4" w:space="0"/>
                    <w:right w:val="single" w:color="000000" w:sz="4" w:space="0"/>
                  </w:tcBorders>
                  <w:vAlign w:val="center"/>
                </w:tcPr>
                <w:p w14:paraId="3635B479">
                  <w:pPr>
                    <w:spacing w:line="273" w:lineRule="auto"/>
                    <w:jc w:val="center"/>
                    <w:rPr>
                      <w:b/>
                      <w:color w:val="auto"/>
                      <w:szCs w:val="21"/>
                    </w:rPr>
                  </w:pPr>
                  <w:r>
                    <w:rPr>
                      <w:rFonts w:ascii="宋体" w:hAnsi="宋体"/>
                      <w:b/>
                      <w:color w:val="auto"/>
                    </w:rPr>
                    <w:t>声环境保护目标</w:t>
                  </w:r>
                </w:p>
              </w:tc>
              <w:tc>
                <w:tcPr>
                  <w:tcW w:w="697" w:type="pct"/>
                  <w:tcBorders>
                    <w:top w:val="single" w:color="000000" w:sz="12" w:space="0"/>
                    <w:left w:val="single" w:color="000000" w:sz="4" w:space="0"/>
                    <w:bottom w:val="single" w:color="000000" w:sz="4" w:space="0"/>
                    <w:right w:val="single" w:color="000000" w:sz="4" w:space="0"/>
                  </w:tcBorders>
                  <w:vAlign w:val="center"/>
                </w:tcPr>
                <w:p w14:paraId="242CA8EC">
                  <w:pPr>
                    <w:spacing w:line="273" w:lineRule="auto"/>
                    <w:jc w:val="center"/>
                    <w:rPr>
                      <w:b/>
                      <w:color w:val="auto"/>
                      <w:szCs w:val="21"/>
                    </w:rPr>
                  </w:pPr>
                  <w:r>
                    <w:rPr>
                      <w:rFonts w:ascii="宋体" w:hAnsi="宋体"/>
                      <w:b/>
                      <w:color w:val="auto"/>
                    </w:rPr>
                    <w:t>坐标</w:t>
                  </w:r>
                  <w:r>
                    <w:rPr>
                      <w:rFonts w:hint="eastAsia"/>
                      <w:b/>
                      <w:color w:val="auto"/>
                    </w:rPr>
                    <w:t>/m</w:t>
                  </w:r>
                  <w:r>
                    <w:rPr>
                      <w:rFonts w:hint="eastAsia" w:ascii="宋体" w:hAnsi="宋体"/>
                      <w:b/>
                      <w:color w:val="auto"/>
                    </w:rPr>
                    <w:t>（</w:t>
                  </w:r>
                  <w:r>
                    <w:rPr>
                      <w:rFonts w:hint="eastAsia"/>
                      <w:b/>
                      <w:color w:val="auto"/>
                    </w:rPr>
                    <w:t>X,Y</w:t>
                  </w:r>
                  <w:r>
                    <w:rPr>
                      <w:rFonts w:hint="eastAsia" w:ascii="宋体" w:hAnsi="宋体"/>
                      <w:b/>
                      <w:color w:val="auto"/>
                    </w:rPr>
                    <w:t>）</w:t>
                  </w:r>
                </w:p>
              </w:tc>
              <w:tc>
                <w:tcPr>
                  <w:tcW w:w="357" w:type="pct"/>
                  <w:tcBorders>
                    <w:top w:val="single" w:color="000000" w:sz="12" w:space="0"/>
                    <w:left w:val="single" w:color="000000" w:sz="4" w:space="0"/>
                    <w:bottom w:val="single" w:color="000000" w:sz="4" w:space="0"/>
                    <w:right w:val="single" w:color="000000" w:sz="4" w:space="0"/>
                  </w:tcBorders>
                  <w:vAlign w:val="center"/>
                </w:tcPr>
                <w:p w14:paraId="5DC5AB4C">
                  <w:pPr>
                    <w:spacing w:line="273" w:lineRule="auto"/>
                    <w:jc w:val="center"/>
                    <w:rPr>
                      <w:b/>
                      <w:color w:val="auto"/>
                      <w:szCs w:val="21"/>
                    </w:rPr>
                  </w:pPr>
                  <w:r>
                    <w:rPr>
                      <w:rFonts w:ascii="宋体" w:hAnsi="宋体"/>
                      <w:b/>
                      <w:color w:val="auto"/>
                    </w:rPr>
                    <w:t>方位</w:t>
                  </w:r>
                </w:p>
              </w:tc>
              <w:tc>
                <w:tcPr>
                  <w:tcW w:w="513" w:type="pct"/>
                  <w:tcBorders>
                    <w:top w:val="single" w:color="000000" w:sz="12" w:space="0"/>
                    <w:left w:val="single" w:color="000000" w:sz="4" w:space="0"/>
                    <w:bottom w:val="single" w:color="000000" w:sz="4" w:space="0"/>
                    <w:right w:val="single" w:color="000000" w:sz="4" w:space="0"/>
                  </w:tcBorders>
                  <w:vAlign w:val="center"/>
                </w:tcPr>
                <w:p w14:paraId="76E2AA6B">
                  <w:pPr>
                    <w:spacing w:line="273" w:lineRule="auto"/>
                    <w:jc w:val="center"/>
                    <w:rPr>
                      <w:b/>
                      <w:color w:val="auto"/>
                      <w:szCs w:val="21"/>
                    </w:rPr>
                  </w:pPr>
                  <w:r>
                    <w:rPr>
                      <w:rFonts w:ascii="宋体" w:hAnsi="宋体"/>
                      <w:b/>
                      <w:color w:val="auto"/>
                    </w:rPr>
                    <w:t>距离（</w:t>
                  </w:r>
                  <w:r>
                    <w:rPr>
                      <w:b/>
                      <w:color w:val="auto"/>
                    </w:rPr>
                    <w:t>m</w:t>
                  </w:r>
                  <w:r>
                    <w:rPr>
                      <w:rFonts w:ascii="宋体" w:hAnsi="宋体"/>
                      <w:b/>
                      <w:color w:val="auto"/>
                    </w:rPr>
                    <w:t>）</w:t>
                  </w:r>
                </w:p>
              </w:tc>
              <w:tc>
                <w:tcPr>
                  <w:tcW w:w="696" w:type="pct"/>
                  <w:tcBorders>
                    <w:top w:val="single" w:color="000000" w:sz="12" w:space="0"/>
                    <w:left w:val="single" w:color="000000" w:sz="4" w:space="0"/>
                    <w:bottom w:val="single" w:color="000000" w:sz="4" w:space="0"/>
                    <w:right w:val="single" w:color="000000" w:sz="4" w:space="0"/>
                  </w:tcBorders>
                  <w:vAlign w:val="center"/>
                </w:tcPr>
                <w:p w14:paraId="61467AFE">
                  <w:pPr>
                    <w:spacing w:line="273" w:lineRule="auto"/>
                    <w:jc w:val="center"/>
                    <w:rPr>
                      <w:b/>
                      <w:color w:val="auto"/>
                      <w:szCs w:val="21"/>
                    </w:rPr>
                  </w:pPr>
                  <w:r>
                    <w:rPr>
                      <w:rFonts w:hint="eastAsia"/>
                      <w:b/>
                      <w:color w:val="auto"/>
                    </w:rPr>
                    <w:t>2</w:t>
                  </w:r>
                  <w:r>
                    <w:rPr>
                      <w:rFonts w:hint="eastAsia" w:ascii="宋体" w:hAnsi="宋体"/>
                      <w:b/>
                      <w:color w:val="auto"/>
                    </w:rPr>
                    <w:t>类</w:t>
                  </w:r>
                  <w:r>
                    <w:rPr>
                      <w:rFonts w:ascii="宋体" w:hAnsi="宋体"/>
                      <w:b/>
                      <w:color w:val="auto"/>
                    </w:rPr>
                    <w:t>功能区户数</w:t>
                  </w:r>
                </w:p>
              </w:tc>
              <w:tc>
                <w:tcPr>
                  <w:tcW w:w="435" w:type="pct"/>
                  <w:tcBorders>
                    <w:top w:val="single" w:color="000000" w:sz="12" w:space="0"/>
                    <w:left w:val="single" w:color="000000" w:sz="4" w:space="0"/>
                    <w:bottom w:val="single" w:color="000000" w:sz="4" w:space="0"/>
                    <w:right w:val="single" w:color="000000" w:sz="4" w:space="0"/>
                  </w:tcBorders>
                  <w:vAlign w:val="center"/>
                </w:tcPr>
                <w:p w14:paraId="4D605D55">
                  <w:pPr>
                    <w:spacing w:line="273" w:lineRule="auto"/>
                    <w:jc w:val="center"/>
                    <w:rPr>
                      <w:b/>
                      <w:color w:val="auto"/>
                      <w:szCs w:val="21"/>
                    </w:rPr>
                  </w:pPr>
                  <w:r>
                    <w:rPr>
                      <w:rFonts w:ascii="宋体" w:hAnsi="宋体"/>
                      <w:b/>
                      <w:color w:val="auto"/>
                    </w:rPr>
                    <w:t>建筑结构</w:t>
                  </w:r>
                </w:p>
              </w:tc>
              <w:tc>
                <w:tcPr>
                  <w:tcW w:w="754" w:type="pct"/>
                  <w:tcBorders>
                    <w:top w:val="single" w:color="000000" w:sz="12" w:space="0"/>
                    <w:left w:val="single" w:color="000000" w:sz="4" w:space="0"/>
                    <w:bottom w:val="single" w:color="000000" w:sz="4" w:space="0"/>
                    <w:right w:val="single" w:color="000000" w:sz="4" w:space="0"/>
                  </w:tcBorders>
                  <w:vAlign w:val="center"/>
                </w:tcPr>
                <w:p w14:paraId="029E691B">
                  <w:pPr>
                    <w:spacing w:line="273" w:lineRule="auto"/>
                    <w:jc w:val="center"/>
                    <w:rPr>
                      <w:b/>
                      <w:color w:val="auto"/>
                      <w:szCs w:val="21"/>
                    </w:rPr>
                  </w:pPr>
                  <w:r>
                    <w:rPr>
                      <w:rFonts w:ascii="宋体" w:hAnsi="宋体"/>
                      <w:b/>
                      <w:color w:val="auto"/>
                    </w:rPr>
                    <w:t>朝向</w:t>
                  </w:r>
                </w:p>
              </w:tc>
              <w:tc>
                <w:tcPr>
                  <w:tcW w:w="523" w:type="pct"/>
                  <w:tcBorders>
                    <w:top w:val="single" w:color="000000" w:sz="12" w:space="0"/>
                    <w:left w:val="single" w:color="000000" w:sz="4" w:space="0"/>
                    <w:bottom w:val="single" w:color="000000" w:sz="4" w:space="0"/>
                    <w:right w:val="nil"/>
                  </w:tcBorders>
                  <w:vAlign w:val="center"/>
                </w:tcPr>
                <w:p w14:paraId="711CC8DD">
                  <w:pPr>
                    <w:spacing w:line="273" w:lineRule="auto"/>
                    <w:jc w:val="center"/>
                    <w:rPr>
                      <w:b/>
                      <w:color w:val="auto"/>
                      <w:szCs w:val="21"/>
                    </w:rPr>
                  </w:pPr>
                  <w:r>
                    <w:rPr>
                      <w:rFonts w:ascii="宋体" w:hAnsi="宋体"/>
                      <w:b/>
                      <w:color w:val="auto"/>
                    </w:rPr>
                    <w:t>楼层</w:t>
                  </w:r>
                </w:p>
              </w:tc>
            </w:tr>
            <w:tr w14:paraId="4323EC2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330" w:type="pct"/>
                  <w:tcBorders>
                    <w:top w:val="single" w:color="000000" w:sz="4" w:space="0"/>
                    <w:left w:val="nil"/>
                    <w:bottom w:val="single" w:color="000000" w:sz="4" w:space="0"/>
                    <w:right w:val="single" w:color="000000" w:sz="4" w:space="0"/>
                  </w:tcBorders>
                  <w:vAlign w:val="center"/>
                </w:tcPr>
                <w:p w14:paraId="25112445">
                  <w:pPr>
                    <w:spacing w:line="273" w:lineRule="auto"/>
                    <w:jc w:val="center"/>
                    <w:rPr>
                      <w:color w:val="auto"/>
                      <w:szCs w:val="21"/>
                    </w:rPr>
                  </w:pPr>
                  <w:r>
                    <w:rPr>
                      <w:rFonts w:hint="eastAsia"/>
                      <w:color w:val="auto"/>
                    </w:rPr>
                    <w:t>1</w:t>
                  </w:r>
                </w:p>
              </w:tc>
              <w:tc>
                <w:tcPr>
                  <w:tcW w:w="694" w:type="pct"/>
                  <w:tcBorders>
                    <w:top w:val="single" w:color="000000" w:sz="4" w:space="0"/>
                    <w:left w:val="single" w:color="000000" w:sz="4" w:space="0"/>
                    <w:bottom w:val="single" w:color="000000" w:sz="4" w:space="0"/>
                    <w:right w:val="single" w:color="000000" w:sz="4" w:space="0"/>
                  </w:tcBorders>
                  <w:vAlign w:val="center"/>
                </w:tcPr>
                <w:p w14:paraId="46A2840F">
                  <w:pPr>
                    <w:keepNext/>
                    <w:keepLines/>
                    <w:spacing w:before="340" w:after="330" w:line="273" w:lineRule="auto"/>
                    <w:jc w:val="center"/>
                    <w:outlineLvl w:val="0"/>
                    <w:rPr>
                      <w:color w:val="auto"/>
                      <w:szCs w:val="21"/>
                    </w:rPr>
                  </w:pPr>
                  <w:r>
                    <w:rPr>
                      <w:rFonts w:hint="eastAsia" w:ascii="宋体" w:hAnsi="宋体"/>
                      <w:color w:val="auto"/>
                    </w:rPr>
                    <w:t>小东岗</w:t>
                  </w:r>
                </w:p>
              </w:tc>
              <w:tc>
                <w:tcPr>
                  <w:tcW w:w="697" w:type="pct"/>
                  <w:tcBorders>
                    <w:top w:val="single" w:color="000000" w:sz="4" w:space="0"/>
                    <w:left w:val="single" w:color="000000" w:sz="4" w:space="0"/>
                    <w:bottom w:val="single" w:color="000000" w:sz="4" w:space="0"/>
                    <w:right w:val="single" w:color="000000" w:sz="4" w:space="0"/>
                  </w:tcBorders>
                  <w:vAlign w:val="center"/>
                </w:tcPr>
                <w:p w14:paraId="4FDDF7BC">
                  <w:pPr>
                    <w:keepNext/>
                    <w:keepLines/>
                    <w:spacing w:before="340" w:after="330" w:line="273" w:lineRule="auto"/>
                    <w:jc w:val="center"/>
                    <w:outlineLvl w:val="0"/>
                    <w:rPr>
                      <w:color w:val="auto"/>
                      <w:szCs w:val="21"/>
                    </w:rPr>
                  </w:pPr>
                  <w:r>
                    <w:rPr>
                      <w:rFonts w:hint="eastAsia"/>
                      <w:color w:val="auto"/>
                    </w:rPr>
                    <w:t>-153</w:t>
                  </w:r>
                  <w:r>
                    <w:rPr>
                      <w:rFonts w:hint="eastAsia" w:ascii="宋体" w:hAnsi="宋体"/>
                      <w:color w:val="auto"/>
                    </w:rPr>
                    <w:t>，</w:t>
                  </w:r>
                  <w:r>
                    <w:rPr>
                      <w:rFonts w:hint="eastAsia"/>
                      <w:color w:val="auto"/>
                    </w:rPr>
                    <w:t>225</w:t>
                  </w:r>
                </w:p>
              </w:tc>
              <w:tc>
                <w:tcPr>
                  <w:tcW w:w="357" w:type="pct"/>
                  <w:tcBorders>
                    <w:top w:val="single" w:color="000000" w:sz="4" w:space="0"/>
                    <w:left w:val="single" w:color="000000" w:sz="4" w:space="0"/>
                    <w:bottom w:val="single" w:color="000000" w:sz="4" w:space="0"/>
                    <w:right w:val="single" w:color="000000" w:sz="4" w:space="0"/>
                  </w:tcBorders>
                  <w:vAlign w:val="center"/>
                </w:tcPr>
                <w:p w14:paraId="2979DB0C">
                  <w:pPr>
                    <w:keepNext/>
                    <w:keepLines/>
                    <w:spacing w:before="340" w:after="330" w:line="273" w:lineRule="auto"/>
                    <w:jc w:val="center"/>
                    <w:outlineLvl w:val="0"/>
                    <w:rPr>
                      <w:color w:val="auto"/>
                      <w:szCs w:val="21"/>
                    </w:rPr>
                  </w:pPr>
                  <w:r>
                    <w:rPr>
                      <w:rFonts w:hint="eastAsia" w:ascii="CIDFont+F1" w:hAnsi="CIDFont+F1"/>
                      <w:color w:val="auto"/>
                    </w:rPr>
                    <w:t>NW</w:t>
                  </w:r>
                </w:p>
              </w:tc>
              <w:tc>
                <w:tcPr>
                  <w:tcW w:w="513" w:type="pct"/>
                  <w:tcBorders>
                    <w:top w:val="single" w:color="000000" w:sz="4" w:space="0"/>
                    <w:left w:val="single" w:color="000000" w:sz="4" w:space="0"/>
                    <w:bottom w:val="single" w:color="000000" w:sz="4" w:space="0"/>
                    <w:right w:val="single" w:color="000000" w:sz="4" w:space="0"/>
                  </w:tcBorders>
                  <w:vAlign w:val="center"/>
                </w:tcPr>
                <w:p w14:paraId="149475B4">
                  <w:pPr>
                    <w:spacing w:line="273" w:lineRule="auto"/>
                    <w:jc w:val="center"/>
                    <w:rPr>
                      <w:color w:val="auto"/>
                      <w:szCs w:val="21"/>
                    </w:rPr>
                  </w:pPr>
                  <w:r>
                    <w:rPr>
                      <w:rFonts w:hint="eastAsia"/>
                      <w:color w:val="auto"/>
                    </w:rPr>
                    <w:t>5</w:t>
                  </w:r>
                </w:p>
              </w:tc>
              <w:tc>
                <w:tcPr>
                  <w:tcW w:w="696" w:type="pct"/>
                  <w:tcBorders>
                    <w:top w:val="single" w:color="000000" w:sz="4" w:space="0"/>
                    <w:left w:val="single" w:color="000000" w:sz="4" w:space="0"/>
                    <w:bottom w:val="single" w:color="000000" w:sz="4" w:space="0"/>
                    <w:right w:val="single" w:color="000000" w:sz="4" w:space="0"/>
                  </w:tcBorders>
                  <w:vAlign w:val="center"/>
                </w:tcPr>
                <w:p w14:paraId="4FD2D83E">
                  <w:pPr>
                    <w:spacing w:line="273" w:lineRule="auto"/>
                    <w:jc w:val="center"/>
                    <w:rPr>
                      <w:color w:val="auto"/>
                      <w:szCs w:val="21"/>
                    </w:rPr>
                  </w:pPr>
                  <w:r>
                    <w:rPr>
                      <w:rFonts w:ascii="宋体" w:hAnsi="宋体"/>
                      <w:color w:val="auto"/>
                    </w:rPr>
                    <w:t>约</w:t>
                  </w:r>
                  <w:r>
                    <w:rPr>
                      <w:rFonts w:hint="eastAsia"/>
                      <w:color w:val="auto"/>
                    </w:rPr>
                    <w:t>80</w:t>
                  </w:r>
                  <w:r>
                    <w:rPr>
                      <w:rFonts w:hint="eastAsia" w:ascii="宋体" w:hAnsi="宋体"/>
                      <w:color w:val="auto"/>
                    </w:rPr>
                    <w:t>户，约</w:t>
                  </w:r>
                  <w:r>
                    <w:rPr>
                      <w:rFonts w:hint="eastAsia"/>
                      <w:color w:val="auto"/>
                    </w:rPr>
                    <w:t>400</w:t>
                  </w:r>
                  <w:r>
                    <w:rPr>
                      <w:rFonts w:hint="eastAsia" w:ascii="宋体" w:hAnsi="宋体"/>
                      <w:color w:val="auto"/>
                    </w:rPr>
                    <w:t>人</w:t>
                  </w:r>
                </w:p>
              </w:tc>
              <w:tc>
                <w:tcPr>
                  <w:tcW w:w="435" w:type="pct"/>
                  <w:tcBorders>
                    <w:top w:val="single" w:color="000000" w:sz="4" w:space="0"/>
                    <w:left w:val="single" w:color="000000" w:sz="4" w:space="0"/>
                    <w:bottom w:val="single" w:color="000000" w:sz="4" w:space="0"/>
                    <w:right w:val="single" w:color="000000" w:sz="4" w:space="0"/>
                  </w:tcBorders>
                  <w:vAlign w:val="center"/>
                </w:tcPr>
                <w:p w14:paraId="61A58DE9">
                  <w:pPr>
                    <w:spacing w:line="273" w:lineRule="auto"/>
                    <w:jc w:val="center"/>
                    <w:rPr>
                      <w:color w:val="auto"/>
                      <w:szCs w:val="21"/>
                    </w:rPr>
                  </w:pPr>
                  <w:r>
                    <w:rPr>
                      <w:rFonts w:ascii="宋体" w:hAnsi="宋体"/>
                      <w:color w:val="auto"/>
                    </w:rPr>
                    <w:t>砖混结构</w:t>
                  </w:r>
                </w:p>
              </w:tc>
              <w:tc>
                <w:tcPr>
                  <w:tcW w:w="754" w:type="pct"/>
                  <w:tcBorders>
                    <w:top w:val="single" w:color="000000" w:sz="4" w:space="0"/>
                    <w:left w:val="single" w:color="000000" w:sz="4" w:space="0"/>
                    <w:bottom w:val="single" w:color="000000" w:sz="4" w:space="0"/>
                    <w:right w:val="single" w:color="000000" w:sz="4" w:space="0"/>
                  </w:tcBorders>
                  <w:vAlign w:val="center"/>
                </w:tcPr>
                <w:p w14:paraId="4F560A54">
                  <w:pPr>
                    <w:spacing w:line="273" w:lineRule="auto"/>
                    <w:jc w:val="center"/>
                    <w:rPr>
                      <w:color w:val="auto"/>
                      <w:szCs w:val="21"/>
                    </w:rPr>
                  </w:pPr>
                  <w:r>
                    <w:rPr>
                      <w:rFonts w:hint="eastAsia"/>
                      <w:color w:val="auto"/>
                    </w:rPr>
                    <w:t>门窗侧朝厂区</w:t>
                  </w:r>
                </w:p>
              </w:tc>
              <w:tc>
                <w:tcPr>
                  <w:tcW w:w="523" w:type="pct"/>
                  <w:tcBorders>
                    <w:top w:val="single" w:color="000000" w:sz="4" w:space="0"/>
                    <w:left w:val="single" w:color="000000" w:sz="4" w:space="0"/>
                    <w:bottom w:val="single" w:color="000000" w:sz="4" w:space="0"/>
                    <w:right w:val="nil"/>
                  </w:tcBorders>
                  <w:vAlign w:val="center"/>
                </w:tcPr>
                <w:p w14:paraId="50BF435B">
                  <w:pPr>
                    <w:spacing w:line="273" w:lineRule="auto"/>
                    <w:jc w:val="center"/>
                    <w:rPr>
                      <w:color w:val="auto"/>
                      <w:szCs w:val="21"/>
                    </w:rPr>
                  </w:pPr>
                  <w:r>
                    <w:rPr>
                      <w:rFonts w:hint="eastAsia"/>
                      <w:color w:val="auto"/>
                    </w:rPr>
                    <w:t>2</w:t>
                  </w:r>
                </w:p>
              </w:tc>
            </w:tr>
            <w:tr w14:paraId="5FBAD63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30" w:type="pct"/>
                  <w:tcBorders>
                    <w:top w:val="single" w:color="000000" w:sz="4" w:space="0"/>
                    <w:left w:val="nil"/>
                    <w:bottom w:val="single" w:color="000000" w:sz="4" w:space="0"/>
                    <w:right w:val="single" w:color="000000" w:sz="4" w:space="0"/>
                  </w:tcBorders>
                  <w:vAlign w:val="center"/>
                </w:tcPr>
                <w:p w14:paraId="69A126BB">
                  <w:pPr>
                    <w:spacing w:line="273" w:lineRule="auto"/>
                    <w:jc w:val="center"/>
                    <w:rPr>
                      <w:color w:val="auto"/>
                      <w:szCs w:val="21"/>
                    </w:rPr>
                  </w:pPr>
                  <w:r>
                    <w:rPr>
                      <w:rFonts w:hint="eastAsia"/>
                      <w:color w:val="auto"/>
                    </w:rPr>
                    <w:t>2</w:t>
                  </w:r>
                </w:p>
              </w:tc>
              <w:tc>
                <w:tcPr>
                  <w:tcW w:w="694" w:type="pct"/>
                  <w:tcBorders>
                    <w:top w:val="single" w:color="000000" w:sz="4" w:space="0"/>
                    <w:left w:val="single" w:color="000000" w:sz="4" w:space="0"/>
                    <w:bottom w:val="single" w:color="000000" w:sz="4" w:space="0"/>
                    <w:right w:val="single" w:color="000000" w:sz="4" w:space="0"/>
                  </w:tcBorders>
                  <w:vAlign w:val="center"/>
                </w:tcPr>
                <w:p w14:paraId="536F1D98">
                  <w:pPr>
                    <w:spacing w:line="273" w:lineRule="auto"/>
                    <w:jc w:val="center"/>
                    <w:rPr>
                      <w:color w:val="auto"/>
                      <w:szCs w:val="21"/>
                    </w:rPr>
                  </w:pPr>
                  <w:r>
                    <w:rPr>
                      <w:rFonts w:hint="eastAsia" w:ascii="宋体" w:hAnsi="宋体"/>
                      <w:color w:val="auto"/>
                    </w:rPr>
                    <w:t>散户</w:t>
                  </w:r>
                  <w:r>
                    <w:rPr>
                      <w:rFonts w:hint="eastAsia" w:ascii="CIDFont+F1" w:hAnsi="CIDFont+F1"/>
                      <w:color w:val="auto"/>
                    </w:rPr>
                    <w:t>1</w:t>
                  </w:r>
                </w:p>
              </w:tc>
              <w:tc>
                <w:tcPr>
                  <w:tcW w:w="697" w:type="pct"/>
                  <w:tcBorders>
                    <w:top w:val="single" w:color="000000" w:sz="4" w:space="0"/>
                    <w:left w:val="single" w:color="000000" w:sz="4" w:space="0"/>
                    <w:bottom w:val="single" w:color="000000" w:sz="4" w:space="0"/>
                    <w:right w:val="single" w:color="000000" w:sz="4" w:space="0"/>
                  </w:tcBorders>
                  <w:vAlign w:val="center"/>
                </w:tcPr>
                <w:p w14:paraId="109ADD8C">
                  <w:pPr>
                    <w:spacing w:line="273" w:lineRule="auto"/>
                    <w:jc w:val="center"/>
                    <w:rPr>
                      <w:color w:val="auto"/>
                      <w:szCs w:val="21"/>
                    </w:rPr>
                  </w:pPr>
                  <w:r>
                    <w:rPr>
                      <w:rFonts w:hint="eastAsia"/>
                      <w:color w:val="auto"/>
                    </w:rPr>
                    <w:t>-3</w:t>
                  </w:r>
                  <w:r>
                    <w:rPr>
                      <w:rFonts w:hint="eastAsia" w:ascii="宋体" w:hAnsi="宋体"/>
                      <w:color w:val="auto"/>
                    </w:rPr>
                    <w:t>，</w:t>
                  </w:r>
                  <w:r>
                    <w:rPr>
                      <w:rFonts w:hint="eastAsia"/>
                      <w:color w:val="auto"/>
                    </w:rPr>
                    <w:t>0</w:t>
                  </w:r>
                </w:p>
              </w:tc>
              <w:tc>
                <w:tcPr>
                  <w:tcW w:w="357" w:type="pct"/>
                  <w:tcBorders>
                    <w:top w:val="single" w:color="000000" w:sz="4" w:space="0"/>
                    <w:left w:val="single" w:color="000000" w:sz="4" w:space="0"/>
                    <w:bottom w:val="single" w:color="000000" w:sz="4" w:space="0"/>
                    <w:right w:val="single" w:color="000000" w:sz="4" w:space="0"/>
                  </w:tcBorders>
                  <w:vAlign w:val="center"/>
                </w:tcPr>
                <w:p w14:paraId="42E56D80">
                  <w:pPr>
                    <w:spacing w:line="273" w:lineRule="auto"/>
                    <w:jc w:val="center"/>
                    <w:rPr>
                      <w:color w:val="auto"/>
                      <w:szCs w:val="21"/>
                    </w:rPr>
                  </w:pPr>
                  <w:r>
                    <w:rPr>
                      <w:color w:val="auto"/>
                    </w:rPr>
                    <w:t>W</w:t>
                  </w:r>
                </w:p>
              </w:tc>
              <w:tc>
                <w:tcPr>
                  <w:tcW w:w="513" w:type="pct"/>
                  <w:tcBorders>
                    <w:top w:val="single" w:color="000000" w:sz="4" w:space="0"/>
                    <w:left w:val="single" w:color="000000" w:sz="4" w:space="0"/>
                    <w:bottom w:val="single" w:color="000000" w:sz="4" w:space="0"/>
                    <w:right w:val="single" w:color="000000" w:sz="4" w:space="0"/>
                  </w:tcBorders>
                  <w:vAlign w:val="center"/>
                </w:tcPr>
                <w:p w14:paraId="7441083A">
                  <w:pPr>
                    <w:spacing w:line="273" w:lineRule="auto"/>
                    <w:jc w:val="center"/>
                    <w:rPr>
                      <w:color w:val="auto"/>
                      <w:szCs w:val="21"/>
                    </w:rPr>
                  </w:pPr>
                  <w:r>
                    <w:rPr>
                      <w:rFonts w:hint="eastAsia"/>
                      <w:color w:val="auto"/>
                    </w:rPr>
                    <w:t>3</w:t>
                  </w:r>
                </w:p>
              </w:tc>
              <w:tc>
                <w:tcPr>
                  <w:tcW w:w="696" w:type="pct"/>
                  <w:tcBorders>
                    <w:top w:val="single" w:color="000000" w:sz="4" w:space="0"/>
                    <w:left w:val="single" w:color="000000" w:sz="4" w:space="0"/>
                    <w:bottom w:val="single" w:color="000000" w:sz="4" w:space="0"/>
                    <w:right w:val="single" w:color="000000" w:sz="4" w:space="0"/>
                  </w:tcBorders>
                  <w:vAlign w:val="center"/>
                </w:tcPr>
                <w:p w14:paraId="61C15589">
                  <w:pPr>
                    <w:spacing w:line="273" w:lineRule="auto"/>
                    <w:jc w:val="center"/>
                    <w:rPr>
                      <w:color w:val="auto"/>
                      <w:szCs w:val="21"/>
                    </w:rPr>
                  </w:pPr>
                  <w:r>
                    <w:rPr>
                      <w:rFonts w:ascii="宋体" w:hAnsi="宋体"/>
                      <w:color w:val="auto"/>
                    </w:rPr>
                    <w:t>约</w:t>
                  </w:r>
                  <w:r>
                    <w:rPr>
                      <w:rFonts w:hint="eastAsia"/>
                      <w:color w:val="auto"/>
                    </w:rPr>
                    <w:t>30</w:t>
                  </w:r>
                  <w:r>
                    <w:rPr>
                      <w:rFonts w:hint="eastAsia" w:ascii="宋体" w:hAnsi="宋体"/>
                      <w:color w:val="auto"/>
                    </w:rPr>
                    <w:t>户，约</w:t>
                  </w:r>
                  <w:r>
                    <w:rPr>
                      <w:rFonts w:hint="eastAsia"/>
                      <w:color w:val="auto"/>
                    </w:rPr>
                    <w:t>150</w:t>
                  </w:r>
                  <w:r>
                    <w:rPr>
                      <w:rFonts w:hint="eastAsia" w:ascii="宋体" w:hAnsi="宋体"/>
                      <w:color w:val="auto"/>
                    </w:rPr>
                    <w:t>人</w:t>
                  </w:r>
                </w:p>
              </w:tc>
              <w:tc>
                <w:tcPr>
                  <w:tcW w:w="435" w:type="pct"/>
                  <w:tcBorders>
                    <w:top w:val="single" w:color="000000" w:sz="4" w:space="0"/>
                    <w:left w:val="single" w:color="000000" w:sz="4" w:space="0"/>
                    <w:bottom w:val="single" w:color="000000" w:sz="4" w:space="0"/>
                    <w:right w:val="single" w:color="000000" w:sz="4" w:space="0"/>
                  </w:tcBorders>
                  <w:vAlign w:val="center"/>
                </w:tcPr>
                <w:p w14:paraId="147E2B86">
                  <w:pPr>
                    <w:spacing w:line="273" w:lineRule="auto"/>
                    <w:jc w:val="center"/>
                    <w:rPr>
                      <w:color w:val="auto"/>
                      <w:szCs w:val="21"/>
                    </w:rPr>
                  </w:pPr>
                  <w:r>
                    <w:rPr>
                      <w:rFonts w:ascii="宋体" w:hAnsi="宋体"/>
                      <w:color w:val="auto"/>
                    </w:rPr>
                    <w:t>砖混结构</w:t>
                  </w:r>
                </w:p>
              </w:tc>
              <w:tc>
                <w:tcPr>
                  <w:tcW w:w="754" w:type="pct"/>
                  <w:tcBorders>
                    <w:top w:val="single" w:color="000000" w:sz="4" w:space="0"/>
                    <w:left w:val="single" w:color="000000" w:sz="4" w:space="0"/>
                    <w:bottom w:val="single" w:color="000000" w:sz="4" w:space="0"/>
                    <w:right w:val="single" w:color="000000" w:sz="4" w:space="0"/>
                  </w:tcBorders>
                  <w:vAlign w:val="center"/>
                </w:tcPr>
                <w:p w14:paraId="2A45E04B">
                  <w:pPr>
                    <w:spacing w:line="273" w:lineRule="auto"/>
                    <w:jc w:val="center"/>
                    <w:rPr>
                      <w:color w:val="auto"/>
                      <w:szCs w:val="21"/>
                    </w:rPr>
                  </w:pPr>
                  <w:r>
                    <w:rPr>
                      <w:rFonts w:hint="eastAsia"/>
                      <w:color w:val="auto"/>
                    </w:rPr>
                    <w:t>门窗侧朝厂区</w:t>
                  </w:r>
                </w:p>
              </w:tc>
              <w:tc>
                <w:tcPr>
                  <w:tcW w:w="523" w:type="pct"/>
                  <w:tcBorders>
                    <w:top w:val="single" w:color="000000" w:sz="4" w:space="0"/>
                    <w:left w:val="single" w:color="000000" w:sz="4" w:space="0"/>
                    <w:bottom w:val="single" w:color="000000" w:sz="4" w:space="0"/>
                    <w:right w:val="nil"/>
                  </w:tcBorders>
                  <w:vAlign w:val="center"/>
                </w:tcPr>
                <w:p w14:paraId="4B960BAF">
                  <w:pPr>
                    <w:spacing w:line="273" w:lineRule="auto"/>
                    <w:jc w:val="center"/>
                    <w:rPr>
                      <w:color w:val="auto"/>
                      <w:szCs w:val="21"/>
                    </w:rPr>
                  </w:pPr>
                  <w:r>
                    <w:rPr>
                      <w:rFonts w:hint="eastAsia"/>
                      <w:color w:val="auto"/>
                    </w:rPr>
                    <w:t>2</w:t>
                  </w:r>
                </w:p>
              </w:tc>
            </w:tr>
            <w:tr w14:paraId="7E34A82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30" w:type="pct"/>
                  <w:tcBorders>
                    <w:top w:val="single" w:color="000000" w:sz="4" w:space="0"/>
                    <w:left w:val="nil"/>
                    <w:bottom w:val="single" w:color="000000" w:sz="12" w:space="0"/>
                    <w:right w:val="single" w:color="000000" w:sz="4" w:space="0"/>
                  </w:tcBorders>
                  <w:vAlign w:val="center"/>
                </w:tcPr>
                <w:p w14:paraId="2CB71AF1">
                  <w:pPr>
                    <w:spacing w:line="273" w:lineRule="auto"/>
                    <w:jc w:val="center"/>
                    <w:rPr>
                      <w:color w:val="auto"/>
                      <w:szCs w:val="21"/>
                    </w:rPr>
                  </w:pPr>
                  <w:r>
                    <w:rPr>
                      <w:rFonts w:hint="eastAsia"/>
                      <w:color w:val="auto"/>
                    </w:rPr>
                    <w:t>3</w:t>
                  </w:r>
                </w:p>
              </w:tc>
              <w:tc>
                <w:tcPr>
                  <w:tcW w:w="694" w:type="pct"/>
                  <w:tcBorders>
                    <w:top w:val="single" w:color="000000" w:sz="4" w:space="0"/>
                    <w:left w:val="single" w:color="000000" w:sz="4" w:space="0"/>
                    <w:bottom w:val="single" w:color="000000" w:sz="12" w:space="0"/>
                    <w:right w:val="single" w:color="000000" w:sz="4" w:space="0"/>
                  </w:tcBorders>
                  <w:vAlign w:val="center"/>
                </w:tcPr>
                <w:p w14:paraId="42A568AD">
                  <w:pPr>
                    <w:spacing w:line="273" w:lineRule="auto"/>
                    <w:jc w:val="center"/>
                    <w:rPr>
                      <w:rFonts w:hint="eastAsia" w:ascii="CIDFont+F2" w:hAnsi="CIDFont+F2"/>
                      <w:color w:val="auto"/>
                      <w:szCs w:val="21"/>
                    </w:rPr>
                  </w:pPr>
                  <w:r>
                    <w:rPr>
                      <w:rFonts w:hint="eastAsia" w:ascii="宋体" w:hAnsi="宋体"/>
                      <w:color w:val="auto"/>
                    </w:rPr>
                    <w:t>散户</w:t>
                  </w:r>
                  <w:r>
                    <w:rPr>
                      <w:rFonts w:hint="eastAsia" w:ascii="CIDFont+F1" w:hAnsi="CIDFont+F1"/>
                      <w:color w:val="auto"/>
                    </w:rPr>
                    <w:t>2</w:t>
                  </w:r>
                </w:p>
              </w:tc>
              <w:tc>
                <w:tcPr>
                  <w:tcW w:w="697" w:type="pct"/>
                  <w:tcBorders>
                    <w:top w:val="single" w:color="000000" w:sz="4" w:space="0"/>
                    <w:left w:val="single" w:color="000000" w:sz="4" w:space="0"/>
                    <w:bottom w:val="single" w:color="000000" w:sz="12" w:space="0"/>
                    <w:right w:val="single" w:color="000000" w:sz="4" w:space="0"/>
                  </w:tcBorders>
                  <w:vAlign w:val="center"/>
                </w:tcPr>
                <w:p w14:paraId="176D3949">
                  <w:pPr>
                    <w:spacing w:line="273" w:lineRule="auto"/>
                    <w:jc w:val="center"/>
                    <w:rPr>
                      <w:color w:val="auto"/>
                      <w:szCs w:val="21"/>
                    </w:rPr>
                  </w:pPr>
                  <w:r>
                    <w:rPr>
                      <w:rFonts w:hint="eastAsia" w:ascii="CIDFont+F1" w:hAnsi="CIDFont+F1"/>
                      <w:color w:val="auto"/>
                    </w:rPr>
                    <w:t>20</w:t>
                  </w:r>
                  <w:r>
                    <w:rPr>
                      <w:rFonts w:hint="eastAsia" w:ascii="宋体" w:hAnsi="宋体"/>
                      <w:color w:val="auto"/>
                    </w:rPr>
                    <w:t>，</w:t>
                  </w:r>
                  <w:r>
                    <w:rPr>
                      <w:rFonts w:hint="eastAsia" w:ascii="CIDFont+F1" w:hAnsi="CIDFont+F1"/>
                      <w:color w:val="auto"/>
                    </w:rPr>
                    <w:t>355</w:t>
                  </w:r>
                </w:p>
              </w:tc>
              <w:tc>
                <w:tcPr>
                  <w:tcW w:w="357" w:type="pct"/>
                  <w:tcBorders>
                    <w:top w:val="single" w:color="000000" w:sz="4" w:space="0"/>
                    <w:left w:val="single" w:color="000000" w:sz="4" w:space="0"/>
                    <w:bottom w:val="single" w:color="000000" w:sz="12" w:space="0"/>
                    <w:right w:val="single" w:color="000000" w:sz="4" w:space="0"/>
                  </w:tcBorders>
                  <w:vAlign w:val="center"/>
                </w:tcPr>
                <w:p w14:paraId="0F728694">
                  <w:pPr>
                    <w:spacing w:line="273" w:lineRule="auto"/>
                    <w:jc w:val="center"/>
                    <w:rPr>
                      <w:color w:val="auto"/>
                      <w:szCs w:val="21"/>
                    </w:rPr>
                  </w:pPr>
                  <w:r>
                    <w:rPr>
                      <w:color w:val="auto"/>
                    </w:rPr>
                    <w:t>N</w:t>
                  </w:r>
                </w:p>
              </w:tc>
              <w:tc>
                <w:tcPr>
                  <w:tcW w:w="513" w:type="pct"/>
                  <w:tcBorders>
                    <w:top w:val="single" w:color="000000" w:sz="4" w:space="0"/>
                    <w:left w:val="single" w:color="000000" w:sz="4" w:space="0"/>
                    <w:bottom w:val="single" w:color="000000" w:sz="12" w:space="0"/>
                    <w:right w:val="single" w:color="000000" w:sz="4" w:space="0"/>
                  </w:tcBorders>
                  <w:vAlign w:val="center"/>
                </w:tcPr>
                <w:p w14:paraId="1DA61F19">
                  <w:pPr>
                    <w:spacing w:line="273" w:lineRule="auto"/>
                    <w:jc w:val="center"/>
                    <w:rPr>
                      <w:color w:val="auto"/>
                      <w:szCs w:val="21"/>
                    </w:rPr>
                  </w:pPr>
                  <w:r>
                    <w:rPr>
                      <w:rFonts w:hint="eastAsia"/>
                      <w:color w:val="auto"/>
                    </w:rPr>
                    <w:t>9</w:t>
                  </w:r>
                </w:p>
              </w:tc>
              <w:tc>
                <w:tcPr>
                  <w:tcW w:w="696" w:type="pct"/>
                  <w:tcBorders>
                    <w:top w:val="single" w:color="000000" w:sz="4" w:space="0"/>
                    <w:left w:val="single" w:color="000000" w:sz="4" w:space="0"/>
                    <w:bottom w:val="single" w:color="000000" w:sz="12" w:space="0"/>
                    <w:right w:val="single" w:color="000000" w:sz="4" w:space="0"/>
                  </w:tcBorders>
                  <w:vAlign w:val="center"/>
                </w:tcPr>
                <w:p w14:paraId="0CB9D56B">
                  <w:pPr>
                    <w:spacing w:line="273" w:lineRule="auto"/>
                    <w:jc w:val="center"/>
                    <w:rPr>
                      <w:color w:val="auto"/>
                      <w:szCs w:val="21"/>
                    </w:rPr>
                  </w:pPr>
                  <w:r>
                    <w:rPr>
                      <w:rFonts w:ascii="宋体" w:hAnsi="宋体"/>
                      <w:color w:val="auto"/>
                    </w:rPr>
                    <w:t>约</w:t>
                  </w:r>
                  <w:r>
                    <w:rPr>
                      <w:rFonts w:hint="eastAsia"/>
                      <w:color w:val="auto"/>
                    </w:rPr>
                    <w:t>6</w:t>
                  </w:r>
                  <w:r>
                    <w:rPr>
                      <w:rFonts w:hint="eastAsia" w:ascii="宋体" w:hAnsi="宋体"/>
                      <w:color w:val="auto"/>
                    </w:rPr>
                    <w:t>户，约</w:t>
                  </w:r>
                  <w:r>
                    <w:rPr>
                      <w:rFonts w:hint="eastAsia"/>
                      <w:color w:val="auto"/>
                    </w:rPr>
                    <w:t>30</w:t>
                  </w:r>
                  <w:r>
                    <w:rPr>
                      <w:rFonts w:hint="eastAsia" w:ascii="宋体" w:hAnsi="宋体"/>
                      <w:color w:val="auto"/>
                    </w:rPr>
                    <w:t>人</w:t>
                  </w:r>
                </w:p>
              </w:tc>
              <w:tc>
                <w:tcPr>
                  <w:tcW w:w="435" w:type="pct"/>
                  <w:tcBorders>
                    <w:top w:val="single" w:color="000000" w:sz="4" w:space="0"/>
                    <w:left w:val="single" w:color="000000" w:sz="4" w:space="0"/>
                    <w:bottom w:val="single" w:color="000000" w:sz="12" w:space="0"/>
                    <w:right w:val="single" w:color="000000" w:sz="4" w:space="0"/>
                  </w:tcBorders>
                  <w:vAlign w:val="center"/>
                </w:tcPr>
                <w:p w14:paraId="6B0A20E8">
                  <w:pPr>
                    <w:spacing w:line="273" w:lineRule="auto"/>
                    <w:jc w:val="center"/>
                    <w:rPr>
                      <w:color w:val="auto"/>
                      <w:szCs w:val="21"/>
                    </w:rPr>
                  </w:pPr>
                  <w:r>
                    <w:rPr>
                      <w:rFonts w:ascii="宋体" w:hAnsi="宋体"/>
                      <w:color w:val="auto"/>
                    </w:rPr>
                    <w:t>砖混结构</w:t>
                  </w:r>
                </w:p>
              </w:tc>
              <w:tc>
                <w:tcPr>
                  <w:tcW w:w="754" w:type="pct"/>
                  <w:tcBorders>
                    <w:top w:val="single" w:color="000000" w:sz="4" w:space="0"/>
                    <w:left w:val="single" w:color="000000" w:sz="4" w:space="0"/>
                    <w:bottom w:val="single" w:color="000000" w:sz="12" w:space="0"/>
                    <w:right w:val="single" w:color="000000" w:sz="4" w:space="0"/>
                  </w:tcBorders>
                  <w:vAlign w:val="center"/>
                </w:tcPr>
                <w:p w14:paraId="6C392F59">
                  <w:pPr>
                    <w:spacing w:line="273" w:lineRule="auto"/>
                    <w:jc w:val="center"/>
                    <w:rPr>
                      <w:color w:val="auto"/>
                      <w:szCs w:val="21"/>
                    </w:rPr>
                  </w:pPr>
                  <w:r>
                    <w:rPr>
                      <w:rFonts w:hint="eastAsia"/>
                      <w:color w:val="auto"/>
                    </w:rPr>
                    <w:t>门窗背朝厂区</w:t>
                  </w:r>
                </w:p>
              </w:tc>
              <w:tc>
                <w:tcPr>
                  <w:tcW w:w="523" w:type="pct"/>
                  <w:tcBorders>
                    <w:top w:val="single" w:color="000000" w:sz="4" w:space="0"/>
                    <w:left w:val="single" w:color="000000" w:sz="4" w:space="0"/>
                    <w:bottom w:val="single" w:color="000000" w:sz="12" w:space="0"/>
                    <w:right w:val="nil"/>
                  </w:tcBorders>
                  <w:vAlign w:val="center"/>
                </w:tcPr>
                <w:p w14:paraId="419EC81E">
                  <w:pPr>
                    <w:spacing w:line="273" w:lineRule="auto"/>
                    <w:jc w:val="center"/>
                    <w:rPr>
                      <w:color w:val="auto"/>
                      <w:szCs w:val="21"/>
                    </w:rPr>
                  </w:pPr>
                  <w:r>
                    <w:rPr>
                      <w:rFonts w:hint="eastAsia"/>
                      <w:color w:val="auto"/>
                    </w:rPr>
                    <w:t>2</w:t>
                  </w:r>
                </w:p>
              </w:tc>
            </w:tr>
          </w:tbl>
          <w:p w14:paraId="53D4D245">
            <w:pPr>
              <w:rPr>
                <w:b/>
                <w:color w:val="auto"/>
              </w:rPr>
            </w:pPr>
            <w:r>
              <w:rPr>
                <w:b/>
                <w:color w:val="auto"/>
              </w:rPr>
              <w:t>注：以厂房西南角为坐标起点。</w:t>
            </w:r>
          </w:p>
        </w:tc>
      </w:tr>
    </w:tbl>
    <w:p w14:paraId="3BCC1B93">
      <w:pPr>
        <w:widowControl/>
        <w:outlineLvl w:val="0"/>
        <w:rPr>
          <w:rFonts w:ascii="宋体" w:hAnsi="宋体"/>
          <w:b/>
          <w:bCs/>
          <w:color w:val="auto"/>
          <w:kern w:val="0"/>
          <w:sz w:val="30"/>
          <w:szCs w:val="30"/>
        </w:rPr>
        <w:sectPr>
          <w:pgSz w:w="11906" w:h="16838"/>
          <w:pgMar w:top="1440" w:right="1508" w:bottom="1440" w:left="1797" w:header="851" w:footer="992" w:gutter="0"/>
          <w:cols w:space="720" w:num="1"/>
          <w:docGrid w:type="lines" w:linePitch="312" w:charSpace="0"/>
        </w:sectPr>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6"/>
        <w:gridCol w:w="7941"/>
      </w:tblGrid>
      <w:tr w14:paraId="113A4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8" w:hRule="atLeast"/>
        </w:trPr>
        <w:tc>
          <w:tcPr>
            <w:tcW w:w="456" w:type="dxa"/>
            <w:vAlign w:val="center"/>
          </w:tcPr>
          <w:p w14:paraId="5869C12B">
            <w:pPr>
              <w:pStyle w:val="142"/>
              <w:widowControl/>
              <w:spacing w:line="360" w:lineRule="auto"/>
              <w:ind w:firstLine="480"/>
              <w:jc w:val="center"/>
              <w:rPr>
                <w:b/>
                <w:color w:val="auto"/>
                <w:sz w:val="24"/>
                <w:szCs w:val="24"/>
              </w:rPr>
            </w:pPr>
            <w:r>
              <w:rPr>
                <w:rFonts w:hAnsi="宋体"/>
                <w:color w:val="auto"/>
                <w:kern w:val="0"/>
                <w:sz w:val="24"/>
              </w:rPr>
              <w:t>污污染物排放控制标准</w:t>
            </w:r>
          </w:p>
        </w:tc>
        <w:tc>
          <w:tcPr>
            <w:tcW w:w="8358" w:type="dxa"/>
          </w:tcPr>
          <w:p w14:paraId="21434C57">
            <w:pPr>
              <w:pStyle w:val="142"/>
              <w:widowControl/>
              <w:spacing w:line="360" w:lineRule="auto"/>
              <w:ind w:firstLine="482"/>
              <w:rPr>
                <w:b/>
                <w:color w:val="auto"/>
                <w:sz w:val="24"/>
                <w:szCs w:val="24"/>
              </w:rPr>
            </w:pPr>
            <w:r>
              <w:rPr>
                <w:b/>
                <w:color w:val="auto"/>
                <w:sz w:val="24"/>
                <w:szCs w:val="24"/>
              </w:rPr>
              <w:t>1、</w:t>
            </w:r>
            <w:r>
              <w:rPr>
                <w:rFonts w:hint="eastAsia"/>
                <w:b/>
                <w:color w:val="auto"/>
                <w:sz w:val="24"/>
                <w:szCs w:val="24"/>
              </w:rPr>
              <w:t>大气</w:t>
            </w:r>
            <w:r>
              <w:rPr>
                <w:b/>
                <w:color w:val="auto"/>
                <w:sz w:val="24"/>
                <w:szCs w:val="24"/>
              </w:rPr>
              <w:t>污染物</w:t>
            </w:r>
          </w:p>
          <w:p w14:paraId="4AE98998">
            <w:pPr>
              <w:pStyle w:val="142"/>
              <w:widowControl/>
              <w:spacing w:line="360" w:lineRule="auto"/>
              <w:ind w:firstLine="472"/>
              <w:rPr>
                <w:color w:val="auto"/>
                <w:spacing w:val="-2"/>
                <w:kern w:val="0"/>
                <w:sz w:val="24"/>
                <w:szCs w:val="20"/>
              </w:rPr>
            </w:pPr>
            <w:r>
              <w:rPr>
                <w:rFonts w:hint="eastAsia"/>
                <w:color w:val="auto"/>
                <w:spacing w:val="-2"/>
                <w:kern w:val="0"/>
                <w:sz w:val="24"/>
                <w:szCs w:val="20"/>
              </w:rPr>
              <w:t>本次改建项目生产过程中产生的废气污染物主要为非甲烷总烃，经查阅，安徽省《玻璃工业大气污染物排放标准》（DB34/4295-2022）不涉及非甲烷总烃排放限值要求。故本次改建项目非甲烷总烃有组织排放执行安徽省《固定源挥发性有机物综合排放标准 第6部分：其他行业》（DB34/4812.6-2024）表1中排放限值要求；无组织排放执行</w:t>
            </w:r>
            <w:r>
              <w:rPr>
                <w:rFonts w:hint="eastAsia"/>
                <w:color w:val="auto"/>
                <w:sz w:val="24"/>
                <w:szCs w:val="24"/>
              </w:rPr>
              <w:t>《大气污染物综合排放标准》（GB16297-1996）表2中无组织排放限值要求。</w:t>
            </w:r>
          </w:p>
          <w:p w14:paraId="265D1635">
            <w:pPr>
              <w:spacing w:line="360" w:lineRule="auto"/>
              <w:ind w:firstLine="472" w:firstLineChars="200"/>
              <w:rPr>
                <w:color w:val="auto"/>
                <w:sz w:val="24"/>
              </w:rPr>
            </w:pPr>
            <w:r>
              <w:rPr>
                <w:rFonts w:hint="eastAsia"/>
                <w:color w:val="auto"/>
                <w:spacing w:val="-2"/>
                <w:kern w:val="0"/>
                <w:sz w:val="24"/>
                <w:szCs w:val="20"/>
              </w:rPr>
              <w:t>企业厂区内VOCs无组织排放限值执行安徽省《固定源挥发性有机物综合排放标准 第6部分：其他行业》（DB34/4812.6-2024）表4中排放限值</w:t>
            </w:r>
            <w:r>
              <w:rPr>
                <w:rFonts w:hint="eastAsia"/>
                <w:color w:val="auto"/>
                <w:sz w:val="24"/>
                <w:szCs w:val="24"/>
              </w:rPr>
              <w:t>。</w:t>
            </w:r>
          </w:p>
          <w:p w14:paraId="36A1A577">
            <w:pPr>
              <w:pStyle w:val="142"/>
              <w:widowControl/>
              <w:spacing w:line="360" w:lineRule="auto"/>
              <w:ind w:firstLine="480"/>
              <w:rPr>
                <w:color w:val="auto"/>
                <w:kern w:val="0"/>
                <w:sz w:val="24"/>
              </w:rPr>
            </w:pPr>
            <w:r>
              <w:rPr>
                <w:color w:val="auto"/>
                <w:sz w:val="24"/>
              </w:rPr>
              <w:t>具体详见下表：</w:t>
            </w:r>
          </w:p>
          <w:p w14:paraId="654FDC9A">
            <w:pPr>
              <w:pStyle w:val="219"/>
              <w:jc w:val="center"/>
              <w:rPr>
                <w:rFonts w:eastAsia="黑体" w:cs="Times New Roman"/>
                <w:color w:val="auto"/>
                <w:szCs w:val="21"/>
              </w:rPr>
            </w:pPr>
            <w:r>
              <w:rPr>
                <w:rFonts w:hAnsi="黑体" w:eastAsia="黑体" w:cs="Times New Roman"/>
                <w:color w:val="auto"/>
              </w:rPr>
              <w:t>表</w:t>
            </w:r>
            <w:r>
              <w:rPr>
                <w:rFonts w:hint="eastAsia" w:eastAsia="黑体" w:cs="Times New Roman"/>
                <w:color w:val="auto"/>
              </w:rPr>
              <w:t>35</w:t>
            </w:r>
            <w:r>
              <w:rPr>
                <w:rFonts w:eastAsia="黑体" w:cs="Times New Roman"/>
                <w:color w:val="auto"/>
              </w:rPr>
              <w:t xml:space="preserve">  </w:t>
            </w:r>
            <w:r>
              <w:rPr>
                <w:rFonts w:eastAsia="黑体" w:cs="Times New Roman"/>
                <w:color w:val="auto"/>
                <w:szCs w:val="20"/>
              </w:rPr>
              <w:t>DB34/4812.6-2024</w:t>
            </w:r>
            <w:r>
              <w:rPr>
                <w:rFonts w:hAnsi="黑体" w:eastAsia="黑体" w:cs="Times New Roman"/>
                <w:color w:val="auto"/>
              </w:rPr>
              <w:t>大气污染物排放限值</w:t>
            </w:r>
          </w:p>
          <w:tbl>
            <w:tblPr>
              <w:tblStyle w:val="34"/>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293"/>
              <w:gridCol w:w="1382"/>
              <w:gridCol w:w="1349"/>
              <w:gridCol w:w="1241"/>
              <w:gridCol w:w="2460"/>
            </w:tblGrid>
            <w:tr w14:paraId="2B7DFF4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1387" w:type="dxa"/>
                  <w:vAlign w:val="center"/>
                </w:tcPr>
                <w:p w14:paraId="5A23B16A">
                  <w:pPr>
                    <w:spacing w:line="276" w:lineRule="auto"/>
                    <w:jc w:val="center"/>
                    <w:rPr>
                      <w:b/>
                      <w:color w:val="auto"/>
                      <w:szCs w:val="21"/>
                    </w:rPr>
                  </w:pPr>
                  <w:r>
                    <w:rPr>
                      <w:rFonts w:hint="eastAsia"/>
                      <w:b/>
                      <w:color w:val="auto"/>
                      <w:szCs w:val="21"/>
                    </w:rPr>
                    <w:t>指标</w:t>
                  </w:r>
                </w:p>
              </w:tc>
              <w:tc>
                <w:tcPr>
                  <w:tcW w:w="1418" w:type="dxa"/>
                  <w:vAlign w:val="center"/>
                </w:tcPr>
                <w:p w14:paraId="1CFB7717">
                  <w:pPr>
                    <w:widowControl/>
                    <w:spacing w:line="276" w:lineRule="auto"/>
                    <w:jc w:val="center"/>
                    <w:rPr>
                      <w:b/>
                      <w:color w:val="auto"/>
                      <w:kern w:val="0"/>
                      <w:szCs w:val="21"/>
                    </w:rPr>
                  </w:pPr>
                  <w:r>
                    <w:rPr>
                      <w:rFonts w:hint="eastAsia"/>
                      <w:b/>
                      <w:color w:val="auto"/>
                      <w:kern w:val="0"/>
                      <w:szCs w:val="21"/>
                    </w:rPr>
                    <w:t>最高允许排放浓度（</w:t>
                  </w:r>
                  <w:r>
                    <w:rPr>
                      <w:b/>
                      <w:color w:val="auto"/>
                      <w:kern w:val="0"/>
                      <w:szCs w:val="21"/>
                    </w:rPr>
                    <w:t>mg/m</w:t>
                  </w:r>
                  <w:r>
                    <w:rPr>
                      <w:b/>
                      <w:color w:val="auto"/>
                      <w:kern w:val="0"/>
                      <w:szCs w:val="21"/>
                      <w:vertAlign w:val="superscript"/>
                    </w:rPr>
                    <w:t>3</w:t>
                  </w:r>
                  <w:r>
                    <w:rPr>
                      <w:rFonts w:hint="eastAsia"/>
                      <w:b/>
                      <w:color w:val="auto"/>
                      <w:kern w:val="0"/>
                      <w:szCs w:val="21"/>
                    </w:rPr>
                    <w:t>）</w:t>
                  </w:r>
                </w:p>
              </w:tc>
              <w:tc>
                <w:tcPr>
                  <w:tcW w:w="1417" w:type="dxa"/>
                  <w:vAlign w:val="center"/>
                </w:tcPr>
                <w:p w14:paraId="610A3CA7">
                  <w:pPr>
                    <w:widowControl/>
                    <w:spacing w:line="276" w:lineRule="auto"/>
                    <w:jc w:val="center"/>
                    <w:rPr>
                      <w:b/>
                      <w:color w:val="auto"/>
                      <w:kern w:val="0"/>
                      <w:szCs w:val="21"/>
                    </w:rPr>
                  </w:pPr>
                  <w:r>
                    <w:rPr>
                      <w:rFonts w:hint="eastAsia"/>
                      <w:b/>
                      <w:color w:val="auto"/>
                      <w:kern w:val="0"/>
                      <w:szCs w:val="21"/>
                    </w:rPr>
                    <w:t>最高允许排放速率（kg/h）</w:t>
                  </w:r>
                </w:p>
              </w:tc>
              <w:tc>
                <w:tcPr>
                  <w:tcW w:w="1418" w:type="dxa"/>
                  <w:vAlign w:val="center"/>
                </w:tcPr>
                <w:p w14:paraId="646DE19A">
                  <w:pPr>
                    <w:widowControl/>
                    <w:spacing w:line="276" w:lineRule="auto"/>
                    <w:jc w:val="center"/>
                    <w:rPr>
                      <w:b/>
                      <w:color w:val="auto"/>
                      <w:kern w:val="0"/>
                      <w:szCs w:val="21"/>
                    </w:rPr>
                  </w:pPr>
                  <w:r>
                    <w:rPr>
                      <w:rFonts w:hint="eastAsia"/>
                      <w:b/>
                      <w:color w:val="auto"/>
                      <w:kern w:val="0"/>
                      <w:szCs w:val="21"/>
                    </w:rPr>
                    <w:t>污染物排放监控位置</w:t>
                  </w:r>
                </w:p>
              </w:tc>
              <w:tc>
                <w:tcPr>
                  <w:tcW w:w="2502" w:type="dxa"/>
                  <w:vAlign w:val="center"/>
                </w:tcPr>
                <w:p w14:paraId="43A3A04C">
                  <w:pPr>
                    <w:widowControl/>
                    <w:spacing w:line="276" w:lineRule="auto"/>
                    <w:jc w:val="center"/>
                    <w:rPr>
                      <w:b/>
                      <w:color w:val="auto"/>
                      <w:kern w:val="0"/>
                      <w:szCs w:val="21"/>
                    </w:rPr>
                  </w:pPr>
                  <w:r>
                    <w:rPr>
                      <w:rFonts w:hint="eastAsia"/>
                      <w:b/>
                      <w:color w:val="auto"/>
                      <w:kern w:val="0"/>
                      <w:szCs w:val="21"/>
                    </w:rPr>
                    <w:t>标准来源</w:t>
                  </w:r>
                </w:p>
              </w:tc>
            </w:tr>
            <w:tr w14:paraId="4ABFF33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387" w:type="dxa"/>
                  <w:vAlign w:val="center"/>
                </w:tcPr>
                <w:p w14:paraId="082AFAE0">
                  <w:pPr>
                    <w:pStyle w:val="235"/>
                    <w:adjustRightInd/>
                    <w:snapToGrid/>
                    <w:spacing w:line="276" w:lineRule="auto"/>
                    <w:rPr>
                      <w:rFonts w:ascii="Times New Roman" w:hAnsi="Times New Roman" w:eastAsia="宋体"/>
                      <w:color w:val="auto"/>
                      <w:kern w:val="2"/>
                      <w:sz w:val="21"/>
                      <w:szCs w:val="21"/>
                    </w:rPr>
                  </w:pPr>
                  <w:r>
                    <w:rPr>
                      <w:rFonts w:ascii="Times New Roman" w:hAnsi="Times New Roman" w:eastAsia="宋体"/>
                      <w:color w:val="auto"/>
                      <w:kern w:val="2"/>
                      <w:sz w:val="21"/>
                      <w:szCs w:val="21"/>
                    </w:rPr>
                    <w:t>NMHC</w:t>
                  </w:r>
                </w:p>
              </w:tc>
              <w:tc>
                <w:tcPr>
                  <w:tcW w:w="1418" w:type="dxa"/>
                  <w:vAlign w:val="center"/>
                </w:tcPr>
                <w:p w14:paraId="02680EB1">
                  <w:pPr>
                    <w:pStyle w:val="235"/>
                    <w:adjustRightInd/>
                    <w:snapToGrid/>
                    <w:spacing w:line="276" w:lineRule="auto"/>
                    <w:rPr>
                      <w:rFonts w:ascii="Times New Roman" w:hAnsi="Times New Roman" w:eastAsia="宋体"/>
                      <w:color w:val="auto"/>
                      <w:kern w:val="2"/>
                      <w:sz w:val="21"/>
                      <w:szCs w:val="21"/>
                    </w:rPr>
                  </w:pPr>
                  <w:r>
                    <w:rPr>
                      <w:rFonts w:hint="eastAsia" w:ascii="Times New Roman" w:hAnsi="Times New Roman" w:eastAsia="宋体"/>
                      <w:color w:val="auto"/>
                      <w:kern w:val="2"/>
                      <w:sz w:val="21"/>
                      <w:szCs w:val="21"/>
                    </w:rPr>
                    <w:t>70</w:t>
                  </w:r>
                </w:p>
              </w:tc>
              <w:tc>
                <w:tcPr>
                  <w:tcW w:w="1417" w:type="dxa"/>
                  <w:vAlign w:val="center"/>
                </w:tcPr>
                <w:p w14:paraId="0717B98F">
                  <w:pPr>
                    <w:spacing w:line="276" w:lineRule="auto"/>
                    <w:jc w:val="center"/>
                    <w:rPr>
                      <w:color w:val="auto"/>
                      <w:szCs w:val="21"/>
                    </w:rPr>
                  </w:pPr>
                  <w:r>
                    <w:rPr>
                      <w:rFonts w:hint="eastAsia"/>
                      <w:color w:val="auto"/>
                      <w:szCs w:val="21"/>
                    </w:rPr>
                    <w:t>3.0</w:t>
                  </w:r>
                </w:p>
              </w:tc>
              <w:tc>
                <w:tcPr>
                  <w:tcW w:w="1418" w:type="dxa"/>
                  <w:vAlign w:val="center"/>
                </w:tcPr>
                <w:p w14:paraId="62B54ED6">
                  <w:pPr>
                    <w:spacing w:line="276" w:lineRule="auto"/>
                    <w:jc w:val="center"/>
                    <w:rPr>
                      <w:color w:val="auto"/>
                      <w:szCs w:val="21"/>
                    </w:rPr>
                  </w:pPr>
                  <w:r>
                    <w:rPr>
                      <w:rFonts w:hint="eastAsia"/>
                      <w:color w:val="auto"/>
                      <w:szCs w:val="21"/>
                    </w:rPr>
                    <w:t>车间或生产设施排气筒</w:t>
                  </w:r>
                </w:p>
              </w:tc>
              <w:tc>
                <w:tcPr>
                  <w:tcW w:w="2502" w:type="dxa"/>
                  <w:vAlign w:val="center"/>
                </w:tcPr>
                <w:p w14:paraId="162B7221">
                  <w:pPr>
                    <w:spacing w:line="276" w:lineRule="auto"/>
                    <w:jc w:val="center"/>
                    <w:rPr>
                      <w:color w:val="auto"/>
                      <w:szCs w:val="21"/>
                    </w:rPr>
                  </w:pPr>
                  <w:r>
                    <w:rPr>
                      <w:rFonts w:hint="eastAsia"/>
                      <w:color w:val="auto"/>
                      <w:szCs w:val="21"/>
                    </w:rPr>
                    <w:t>安徽省《固定源挥发性有机物综合排放标准 第6部分：其他行业》（DB34/4812.6-2024）</w:t>
                  </w:r>
                </w:p>
              </w:tc>
            </w:tr>
          </w:tbl>
          <w:p w14:paraId="15C484D8">
            <w:pPr>
              <w:pStyle w:val="219"/>
              <w:jc w:val="center"/>
              <w:rPr>
                <w:rFonts w:eastAsia="黑体" w:cs="Times New Roman"/>
                <w:bCs/>
                <w:color w:val="auto"/>
                <w:spacing w:val="-2"/>
                <w:kern w:val="0"/>
                <w:szCs w:val="21"/>
              </w:rPr>
            </w:pPr>
            <w:r>
              <w:rPr>
                <w:rFonts w:hAnsi="黑体" w:eastAsia="黑体" w:cs="Times New Roman"/>
                <w:color w:val="auto"/>
              </w:rPr>
              <w:t>表</w:t>
            </w:r>
            <w:r>
              <w:rPr>
                <w:rFonts w:hint="eastAsia" w:eastAsia="黑体" w:cs="Times New Roman"/>
                <w:color w:val="auto"/>
              </w:rPr>
              <w:t>36</w:t>
            </w:r>
            <w:r>
              <w:rPr>
                <w:rFonts w:eastAsia="黑体" w:cs="Times New Roman"/>
                <w:color w:val="auto"/>
              </w:rPr>
              <w:t xml:space="preserve">  GB16297-1996</w:t>
            </w:r>
            <w:r>
              <w:rPr>
                <w:rFonts w:hAnsi="黑体" w:eastAsia="黑体" w:cs="Times New Roman"/>
                <w:color w:val="auto"/>
              </w:rPr>
              <w:t>中大气污染物排放限值</w:t>
            </w:r>
            <w:r>
              <w:rPr>
                <w:rFonts w:eastAsia="黑体" w:cs="Times New Roman"/>
                <w:color w:val="auto"/>
              </w:rPr>
              <w:t xml:space="preserve">  </w:t>
            </w:r>
            <w:r>
              <w:rPr>
                <w:rFonts w:hAnsi="黑体" w:eastAsia="黑体" w:cs="Times New Roman"/>
                <w:color w:val="auto"/>
              </w:rPr>
              <w:t>单位：</w:t>
            </w:r>
            <w:r>
              <w:rPr>
                <w:rFonts w:eastAsia="黑体" w:cs="Times New Roman"/>
                <w:color w:val="auto"/>
              </w:rPr>
              <w:t>mg/m</w:t>
            </w:r>
            <w:r>
              <w:rPr>
                <w:rFonts w:eastAsia="黑体" w:cs="Times New Roman"/>
                <w:color w:val="auto"/>
                <w:vertAlign w:val="superscript"/>
              </w:rPr>
              <w:t>3</w:t>
            </w:r>
          </w:p>
          <w:tbl>
            <w:tblPr>
              <w:tblStyle w:val="3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875"/>
              <w:gridCol w:w="4850"/>
            </w:tblGrid>
            <w:tr w14:paraId="1E8E1C1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1861" w:type="pct"/>
                  <w:vMerge w:val="restart"/>
                  <w:vAlign w:val="center"/>
                </w:tcPr>
                <w:p w14:paraId="10FC42EB">
                  <w:pPr>
                    <w:spacing w:line="276" w:lineRule="auto"/>
                    <w:jc w:val="center"/>
                    <w:rPr>
                      <w:b/>
                      <w:bCs/>
                      <w:color w:val="auto"/>
                      <w:spacing w:val="-2"/>
                      <w:kern w:val="0"/>
                      <w:szCs w:val="21"/>
                    </w:rPr>
                  </w:pPr>
                  <w:r>
                    <w:rPr>
                      <w:rFonts w:hint="eastAsia"/>
                      <w:b/>
                      <w:bCs/>
                      <w:color w:val="auto"/>
                      <w:spacing w:val="-2"/>
                      <w:kern w:val="0"/>
                      <w:szCs w:val="21"/>
                    </w:rPr>
                    <w:t>污染物项目</w:t>
                  </w:r>
                </w:p>
              </w:tc>
              <w:tc>
                <w:tcPr>
                  <w:tcW w:w="3139" w:type="pct"/>
                  <w:vMerge w:val="restart"/>
                  <w:vAlign w:val="center"/>
                </w:tcPr>
                <w:p w14:paraId="33F693E1">
                  <w:pPr>
                    <w:spacing w:line="276" w:lineRule="auto"/>
                    <w:jc w:val="center"/>
                    <w:rPr>
                      <w:b/>
                      <w:bCs/>
                      <w:color w:val="auto"/>
                      <w:spacing w:val="-2"/>
                      <w:kern w:val="0"/>
                      <w:szCs w:val="21"/>
                    </w:rPr>
                  </w:pPr>
                  <w:r>
                    <w:rPr>
                      <w:rFonts w:hint="eastAsia"/>
                      <w:b/>
                      <w:bCs/>
                      <w:color w:val="auto"/>
                      <w:spacing w:val="-2"/>
                      <w:kern w:val="0"/>
                      <w:szCs w:val="21"/>
                    </w:rPr>
                    <w:t>企业边界大气污染物浓度限值</w:t>
                  </w:r>
                </w:p>
              </w:tc>
            </w:tr>
            <w:tr w14:paraId="42D71FC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1861" w:type="pct"/>
                  <w:vMerge w:val="continue"/>
                  <w:vAlign w:val="center"/>
                </w:tcPr>
                <w:p w14:paraId="42F74074">
                  <w:pPr>
                    <w:spacing w:line="276" w:lineRule="auto"/>
                    <w:jc w:val="center"/>
                    <w:rPr>
                      <w:b/>
                      <w:bCs/>
                      <w:color w:val="auto"/>
                      <w:spacing w:val="-2"/>
                      <w:kern w:val="0"/>
                      <w:szCs w:val="21"/>
                    </w:rPr>
                  </w:pPr>
                </w:p>
              </w:tc>
              <w:tc>
                <w:tcPr>
                  <w:tcW w:w="3139" w:type="pct"/>
                  <w:vMerge w:val="continue"/>
                  <w:vAlign w:val="center"/>
                </w:tcPr>
                <w:p w14:paraId="3BF10050">
                  <w:pPr>
                    <w:spacing w:line="276" w:lineRule="auto"/>
                    <w:jc w:val="center"/>
                    <w:rPr>
                      <w:b/>
                      <w:bCs/>
                      <w:color w:val="auto"/>
                      <w:spacing w:val="-2"/>
                      <w:kern w:val="0"/>
                      <w:szCs w:val="21"/>
                    </w:rPr>
                  </w:pPr>
                </w:p>
              </w:tc>
            </w:tr>
            <w:tr w14:paraId="23BC8FF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861" w:type="pct"/>
                  <w:vAlign w:val="center"/>
                </w:tcPr>
                <w:p w14:paraId="435A53E4">
                  <w:pPr>
                    <w:spacing w:line="276" w:lineRule="auto"/>
                    <w:jc w:val="center"/>
                    <w:rPr>
                      <w:bCs/>
                      <w:color w:val="auto"/>
                      <w:spacing w:val="-2"/>
                      <w:kern w:val="0"/>
                      <w:szCs w:val="21"/>
                    </w:rPr>
                  </w:pPr>
                  <w:r>
                    <w:rPr>
                      <w:rFonts w:hint="eastAsia"/>
                      <w:bCs/>
                      <w:color w:val="auto"/>
                      <w:spacing w:val="-2"/>
                      <w:kern w:val="0"/>
                      <w:szCs w:val="21"/>
                    </w:rPr>
                    <w:t>非甲烷总烃</w:t>
                  </w:r>
                </w:p>
              </w:tc>
              <w:tc>
                <w:tcPr>
                  <w:tcW w:w="3139" w:type="pct"/>
                  <w:vAlign w:val="center"/>
                </w:tcPr>
                <w:p w14:paraId="02BF7D6F">
                  <w:pPr>
                    <w:spacing w:line="276" w:lineRule="auto"/>
                    <w:jc w:val="center"/>
                    <w:rPr>
                      <w:bCs/>
                      <w:color w:val="auto"/>
                      <w:spacing w:val="-2"/>
                      <w:kern w:val="0"/>
                      <w:szCs w:val="21"/>
                    </w:rPr>
                  </w:pPr>
                  <w:r>
                    <w:rPr>
                      <w:rFonts w:hint="eastAsia"/>
                      <w:bCs/>
                      <w:color w:val="auto"/>
                      <w:spacing w:val="-2"/>
                      <w:kern w:val="0"/>
                      <w:szCs w:val="21"/>
                    </w:rPr>
                    <w:t>4</w:t>
                  </w:r>
                  <w:r>
                    <w:rPr>
                      <w:bCs/>
                      <w:color w:val="auto"/>
                      <w:spacing w:val="-2"/>
                      <w:kern w:val="0"/>
                      <w:szCs w:val="21"/>
                    </w:rPr>
                    <w:t>.0</w:t>
                  </w:r>
                </w:p>
              </w:tc>
            </w:tr>
          </w:tbl>
          <w:p w14:paraId="4AABE85F">
            <w:pPr>
              <w:pStyle w:val="219"/>
              <w:jc w:val="center"/>
              <w:rPr>
                <w:rFonts w:eastAsia="黑体" w:cs="Times New Roman"/>
                <w:bCs/>
                <w:color w:val="auto"/>
                <w:spacing w:val="-2"/>
                <w:kern w:val="0"/>
                <w:szCs w:val="21"/>
              </w:rPr>
            </w:pPr>
            <w:r>
              <w:rPr>
                <w:rFonts w:hAnsi="黑体" w:eastAsia="黑体" w:cs="Times New Roman"/>
                <w:color w:val="auto"/>
              </w:rPr>
              <w:t>表</w:t>
            </w:r>
            <w:r>
              <w:rPr>
                <w:rFonts w:hint="eastAsia" w:eastAsia="黑体" w:cs="Times New Roman"/>
                <w:color w:val="auto"/>
              </w:rPr>
              <w:t>37</w:t>
            </w:r>
            <w:r>
              <w:rPr>
                <w:rFonts w:eastAsia="黑体" w:cs="Times New Roman"/>
                <w:color w:val="auto"/>
              </w:rPr>
              <w:t xml:space="preserve">  </w:t>
            </w:r>
            <w:r>
              <w:rPr>
                <w:rFonts w:hAnsi="黑体" w:eastAsia="黑体" w:cs="Times New Roman"/>
                <w:color w:val="auto"/>
              </w:rPr>
              <w:t>厂区内</w:t>
            </w:r>
            <w:r>
              <w:rPr>
                <w:rFonts w:eastAsia="黑体" w:cs="Times New Roman"/>
                <w:color w:val="auto"/>
              </w:rPr>
              <w:t>VOCs</w:t>
            </w:r>
            <w:r>
              <w:rPr>
                <w:rFonts w:hAnsi="黑体" w:eastAsia="黑体" w:cs="Times New Roman"/>
                <w:color w:val="auto"/>
              </w:rPr>
              <w:t>无组织排放监控要求</w:t>
            </w:r>
          </w:p>
          <w:tbl>
            <w:tblPr>
              <w:tblStyle w:val="3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534"/>
              <w:gridCol w:w="2511"/>
              <w:gridCol w:w="2313"/>
            </w:tblGrid>
            <w:tr w14:paraId="74CCDB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5" w:type="pct"/>
                  <w:tcBorders>
                    <w:top w:val="single" w:color="auto" w:sz="12" w:space="0"/>
                    <w:left w:val="nil"/>
                    <w:bottom w:val="single" w:color="auto" w:sz="4" w:space="0"/>
                    <w:right w:val="single" w:color="auto" w:sz="4" w:space="0"/>
                  </w:tcBorders>
                  <w:vAlign w:val="center"/>
                </w:tcPr>
                <w:p w14:paraId="334B2B81">
                  <w:pPr>
                    <w:spacing w:line="276" w:lineRule="auto"/>
                    <w:jc w:val="center"/>
                    <w:rPr>
                      <w:b/>
                      <w:bCs/>
                      <w:color w:val="auto"/>
                      <w:spacing w:val="-2"/>
                      <w:kern w:val="0"/>
                      <w:szCs w:val="21"/>
                    </w:rPr>
                  </w:pPr>
                  <w:r>
                    <w:rPr>
                      <w:rFonts w:hint="eastAsia"/>
                      <w:b/>
                      <w:bCs/>
                      <w:color w:val="auto"/>
                      <w:spacing w:val="-2"/>
                      <w:kern w:val="0"/>
                      <w:szCs w:val="21"/>
                    </w:rPr>
                    <w:t>污染物项目</w:t>
                  </w:r>
                </w:p>
              </w:tc>
              <w:tc>
                <w:tcPr>
                  <w:tcW w:w="993" w:type="pct"/>
                  <w:tcBorders>
                    <w:top w:val="single" w:color="auto" w:sz="12" w:space="0"/>
                    <w:left w:val="single" w:color="auto" w:sz="4" w:space="0"/>
                    <w:bottom w:val="single" w:color="auto" w:sz="4" w:space="0"/>
                    <w:right w:val="single" w:color="auto" w:sz="4" w:space="0"/>
                  </w:tcBorders>
                  <w:vAlign w:val="center"/>
                </w:tcPr>
                <w:p w14:paraId="3C6A9D95">
                  <w:pPr>
                    <w:spacing w:line="276" w:lineRule="auto"/>
                    <w:jc w:val="center"/>
                    <w:rPr>
                      <w:b/>
                      <w:bCs/>
                      <w:color w:val="auto"/>
                      <w:spacing w:val="-2"/>
                      <w:kern w:val="0"/>
                      <w:szCs w:val="21"/>
                    </w:rPr>
                  </w:pPr>
                  <w:r>
                    <w:rPr>
                      <w:rFonts w:hint="eastAsia"/>
                      <w:b/>
                      <w:bCs/>
                      <w:color w:val="auto"/>
                      <w:spacing w:val="-2"/>
                      <w:kern w:val="0"/>
                      <w:szCs w:val="21"/>
                    </w:rPr>
                    <w:t>最高允许排放浓度（</w:t>
                  </w:r>
                  <w:r>
                    <w:rPr>
                      <w:b/>
                      <w:color w:val="auto"/>
                      <w:kern w:val="0"/>
                      <w:szCs w:val="21"/>
                    </w:rPr>
                    <w:t>mg/m</w:t>
                  </w:r>
                  <w:r>
                    <w:rPr>
                      <w:b/>
                      <w:color w:val="auto"/>
                      <w:kern w:val="0"/>
                      <w:szCs w:val="21"/>
                      <w:vertAlign w:val="superscript"/>
                    </w:rPr>
                    <w:t>3</w:t>
                  </w:r>
                  <w:r>
                    <w:rPr>
                      <w:rFonts w:hint="eastAsia"/>
                      <w:b/>
                      <w:bCs/>
                      <w:color w:val="auto"/>
                      <w:spacing w:val="-2"/>
                      <w:kern w:val="0"/>
                      <w:szCs w:val="21"/>
                    </w:rPr>
                    <w:t>）</w:t>
                  </w:r>
                </w:p>
              </w:tc>
              <w:tc>
                <w:tcPr>
                  <w:tcW w:w="1625" w:type="pct"/>
                  <w:tcBorders>
                    <w:top w:val="single" w:color="auto" w:sz="12" w:space="0"/>
                    <w:left w:val="single" w:color="auto" w:sz="4" w:space="0"/>
                    <w:bottom w:val="single" w:color="auto" w:sz="4" w:space="0"/>
                    <w:right w:val="single" w:color="auto" w:sz="4" w:space="0"/>
                  </w:tcBorders>
                  <w:vAlign w:val="center"/>
                </w:tcPr>
                <w:p w14:paraId="52890D05">
                  <w:pPr>
                    <w:spacing w:line="276" w:lineRule="auto"/>
                    <w:jc w:val="center"/>
                    <w:rPr>
                      <w:b/>
                      <w:bCs/>
                      <w:color w:val="auto"/>
                      <w:spacing w:val="-2"/>
                      <w:kern w:val="0"/>
                      <w:szCs w:val="21"/>
                    </w:rPr>
                  </w:pPr>
                  <w:r>
                    <w:rPr>
                      <w:rFonts w:hint="eastAsia"/>
                      <w:b/>
                      <w:bCs/>
                      <w:color w:val="auto"/>
                      <w:spacing w:val="-2"/>
                      <w:kern w:val="0"/>
                      <w:szCs w:val="21"/>
                    </w:rPr>
                    <w:t>排放限值含义</w:t>
                  </w:r>
                </w:p>
              </w:tc>
              <w:tc>
                <w:tcPr>
                  <w:tcW w:w="1497" w:type="pct"/>
                  <w:tcBorders>
                    <w:top w:val="single" w:color="auto" w:sz="12" w:space="0"/>
                    <w:left w:val="single" w:color="auto" w:sz="4" w:space="0"/>
                    <w:bottom w:val="single" w:color="auto" w:sz="4" w:space="0"/>
                    <w:right w:val="nil"/>
                  </w:tcBorders>
                  <w:vAlign w:val="center"/>
                </w:tcPr>
                <w:p w14:paraId="2AD51E1B">
                  <w:pPr>
                    <w:spacing w:line="276" w:lineRule="auto"/>
                    <w:jc w:val="center"/>
                    <w:rPr>
                      <w:b/>
                      <w:bCs/>
                      <w:color w:val="auto"/>
                      <w:spacing w:val="-2"/>
                      <w:kern w:val="0"/>
                      <w:szCs w:val="21"/>
                    </w:rPr>
                  </w:pPr>
                  <w:r>
                    <w:rPr>
                      <w:rFonts w:hint="eastAsia"/>
                      <w:b/>
                      <w:bCs/>
                      <w:color w:val="auto"/>
                      <w:spacing w:val="-2"/>
                      <w:kern w:val="0"/>
                      <w:szCs w:val="21"/>
                    </w:rPr>
                    <w:t>无组织排放监控位置</w:t>
                  </w:r>
                </w:p>
              </w:tc>
            </w:tr>
            <w:tr w14:paraId="3FF99E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85" w:type="pct"/>
                  <w:vMerge w:val="restart"/>
                  <w:tcBorders>
                    <w:top w:val="single" w:color="auto" w:sz="4" w:space="0"/>
                    <w:left w:val="nil"/>
                    <w:bottom w:val="single" w:color="auto" w:sz="12" w:space="0"/>
                    <w:right w:val="single" w:color="auto" w:sz="4" w:space="0"/>
                  </w:tcBorders>
                  <w:vAlign w:val="center"/>
                </w:tcPr>
                <w:p w14:paraId="2CFCE262">
                  <w:pPr>
                    <w:spacing w:line="276" w:lineRule="auto"/>
                    <w:jc w:val="center"/>
                    <w:rPr>
                      <w:bCs/>
                      <w:color w:val="auto"/>
                      <w:spacing w:val="-2"/>
                      <w:kern w:val="0"/>
                      <w:szCs w:val="21"/>
                    </w:rPr>
                  </w:pPr>
                  <w:r>
                    <w:rPr>
                      <w:bCs/>
                      <w:color w:val="auto"/>
                      <w:spacing w:val="-2"/>
                      <w:kern w:val="0"/>
                      <w:szCs w:val="21"/>
                    </w:rPr>
                    <w:t>NMHC</w:t>
                  </w:r>
                </w:p>
              </w:tc>
              <w:tc>
                <w:tcPr>
                  <w:tcW w:w="993" w:type="pct"/>
                  <w:tcBorders>
                    <w:top w:val="single" w:color="auto" w:sz="4" w:space="0"/>
                    <w:left w:val="single" w:color="auto" w:sz="4" w:space="0"/>
                    <w:bottom w:val="single" w:color="auto" w:sz="4" w:space="0"/>
                    <w:right w:val="single" w:color="auto" w:sz="4" w:space="0"/>
                  </w:tcBorders>
                  <w:vAlign w:val="center"/>
                </w:tcPr>
                <w:p w14:paraId="76ADB6DC">
                  <w:pPr>
                    <w:spacing w:line="276" w:lineRule="auto"/>
                    <w:jc w:val="center"/>
                    <w:rPr>
                      <w:bCs/>
                      <w:color w:val="auto"/>
                      <w:spacing w:val="-2"/>
                      <w:kern w:val="0"/>
                      <w:szCs w:val="21"/>
                    </w:rPr>
                  </w:pPr>
                  <w:r>
                    <w:rPr>
                      <w:bCs/>
                      <w:color w:val="auto"/>
                      <w:spacing w:val="-2"/>
                      <w:kern w:val="0"/>
                      <w:szCs w:val="21"/>
                    </w:rPr>
                    <w:t>6</w:t>
                  </w:r>
                </w:p>
              </w:tc>
              <w:tc>
                <w:tcPr>
                  <w:tcW w:w="1625" w:type="pct"/>
                  <w:tcBorders>
                    <w:top w:val="single" w:color="auto" w:sz="4" w:space="0"/>
                    <w:left w:val="single" w:color="auto" w:sz="4" w:space="0"/>
                    <w:bottom w:val="single" w:color="auto" w:sz="4" w:space="0"/>
                    <w:right w:val="single" w:color="auto" w:sz="4" w:space="0"/>
                  </w:tcBorders>
                  <w:vAlign w:val="center"/>
                </w:tcPr>
                <w:p w14:paraId="61132FA2">
                  <w:pPr>
                    <w:spacing w:line="276" w:lineRule="auto"/>
                    <w:jc w:val="center"/>
                    <w:rPr>
                      <w:bCs/>
                      <w:color w:val="auto"/>
                      <w:spacing w:val="-2"/>
                      <w:kern w:val="0"/>
                      <w:szCs w:val="21"/>
                    </w:rPr>
                  </w:pPr>
                  <w:r>
                    <w:rPr>
                      <w:rFonts w:hint="eastAsia"/>
                      <w:bCs/>
                      <w:color w:val="auto"/>
                      <w:spacing w:val="-2"/>
                      <w:kern w:val="0"/>
                      <w:szCs w:val="21"/>
                    </w:rPr>
                    <w:t>监控点处</w:t>
                  </w:r>
                  <w:r>
                    <w:rPr>
                      <w:bCs/>
                      <w:color w:val="auto"/>
                      <w:spacing w:val="-2"/>
                      <w:kern w:val="0"/>
                      <w:szCs w:val="21"/>
                    </w:rPr>
                    <w:t>1h</w:t>
                  </w:r>
                  <w:r>
                    <w:rPr>
                      <w:rFonts w:hint="eastAsia"/>
                      <w:bCs/>
                      <w:color w:val="auto"/>
                      <w:spacing w:val="-2"/>
                      <w:kern w:val="0"/>
                      <w:szCs w:val="21"/>
                    </w:rPr>
                    <w:t>平均浓度值</w:t>
                  </w:r>
                </w:p>
              </w:tc>
              <w:tc>
                <w:tcPr>
                  <w:tcW w:w="1497" w:type="pct"/>
                  <w:vMerge w:val="restart"/>
                  <w:tcBorders>
                    <w:top w:val="single" w:color="auto" w:sz="4" w:space="0"/>
                    <w:left w:val="single" w:color="auto" w:sz="4" w:space="0"/>
                    <w:bottom w:val="single" w:color="auto" w:sz="12" w:space="0"/>
                    <w:right w:val="nil"/>
                  </w:tcBorders>
                  <w:vAlign w:val="center"/>
                </w:tcPr>
                <w:p w14:paraId="31DFC02F">
                  <w:pPr>
                    <w:spacing w:line="276" w:lineRule="auto"/>
                    <w:jc w:val="center"/>
                    <w:rPr>
                      <w:bCs/>
                      <w:color w:val="auto"/>
                      <w:spacing w:val="-2"/>
                      <w:kern w:val="0"/>
                      <w:szCs w:val="21"/>
                    </w:rPr>
                  </w:pPr>
                  <w:r>
                    <w:rPr>
                      <w:rFonts w:hint="eastAsia"/>
                      <w:bCs/>
                      <w:color w:val="auto"/>
                      <w:spacing w:val="-2"/>
                      <w:kern w:val="0"/>
                      <w:szCs w:val="21"/>
                    </w:rPr>
                    <w:t>在厂房外设置监控点</w:t>
                  </w:r>
                </w:p>
              </w:tc>
            </w:tr>
            <w:tr w14:paraId="18E91C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nil"/>
                    <w:bottom w:val="single" w:color="auto" w:sz="12" w:space="0"/>
                    <w:right w:val="single" w:color="auto" w:sz="4" w:space="0"/>
                  </w:tcBorders>
                  <w:vAlign w:val="center"/>
                </w:tcPr>
                <w:p w14:paraId="33B6F9BC">
                  <w:pPr>
                    <w:widowControl/>
                    <w:spacing w:line="276" w:lineRule="auto"/>
                    <w:jc w:val="left"/>
                    <w:rPr>
                      <w:bCs/>
                      <w:color w:val="auto"/>
                      <w:spacing w:val="-2"/>
                      <w:kern w:val="0"/>
                      <w:szCs w:val="21"/>
                    </w:rPr>
                  </w:pPr>
                </w:p>
              </w:tc>
              <w:tc>
                <w:tcPr>
                  <w:tcW w:w="993" w:type="pct"/>
                  <w:tcBorders>
                    <w:top w:val="single" w:color="auto" w:sz="4" w:space="0"/>
                    <w:left w:val="single" w:color="auto" w:sz="4" w:space="0"/>
                    <w:bottom w:val="single" w:color="auto" w:sz="12" w:space="0"/>
                    <w:right w:val="single" w:color="auto" w:sz="4" w:space="0"/>
                  </w:tcBorders>
                  <w:vAlign w:val="center"/>
                </w:tcPr>
                <w:p w14:paraId="1BF9890C">
                  <w:pPr>
                    <w:spacing w:line="276" w:lineRule="auto"/>
                    <w:jc w:val="center"/>
                    <w:rPr>
                      <w:bCs/>
                      <w:color w:val="auto"/>
                      <w:spacing w:val="-2"/>
                      <w:kern w:val="0"/>
                      <w:szCs w:val="21"/>
                    </w:rPr>
                  </w:pPr>
                  <w:r>
                    <w:rPr>
                      <w:bCs/>
                      <w:color w:val="auto"/>
                      <w:spacing w:val="-2"/>
                      <w:kern w:val="0"/>
                      <w:szCs w:val="21"/>
                    </w:rPr>
                    <w:t>20</w:t>
                  </w:r>
                </w:p>
              </w:tc>
              <w:tc>
                <w:tcPr>
                  <w:tcW w:w="1625" w:type="pct"/>
                  <w:tcBorders>
                    <w:top w:val="single" w:color="auto" w:sz="4" w:space="0"/>
                    <w:left w:val="single" w:color="auto" w:sz="4" w:space="0"/>
                    <w:bottom w:val="single" w:color="auto" w:sz="12" w:space="0"/>
                    <w:right w:val="single" w:color="auto" w:sz="4" w:space="0"/>
                  </w:tcBorders>
                  <w:vAlign w:val="center"/>
                </w:tcPr>
                <w:p w14:paraId="46E7194B">
                  <w:pPr>
                    <w:spacing w:line="276" w:lineRule="auto"/>
                    <w:jc w:val="center"/>
                    <w:rPr>
                      <w:bCs/>
                      <w:color w:val="auto"/>
                      <w:spacing w:val="-2"/>
                      <w:kern w:val="0"/>
                      <w:szCs w:val="21"/>
                    </w:rPr>
                  </w:pPr>
                  <w:r>
                    <w:rPr>
                      <w:rFonts w:hint="eastAsia"/>
                      <w:bCs/>
                      <w:color w:val="auto"/>
                      <w:spacing w:val="-2"/>
                      <w:kern w:val="0"/>
                      <w:szCs w:val="21"/>
                    </w:rPr>
                    <w:t>监控点处任意一次浓度值</w:t>
                  </w:r>
                </w:p>
              </w:tc>
              <w:tc>
                <w:tcPr>
                  <w:tcW w:w="0" w:type="auto"/>
                  <w:vMerge w:val="continue"/>
                  <w:tcBorders>
                    <w:top w:val="single" w:color="auto" w:sz="4" w:space="0"/>
                    <w:left w:val="single" w:color="auto" w:sz="4" w:space="0"/>
                    <w:bottom w:val="single" w:color="auto" w:sz="12" w:space="0"/>
                    <w:right w:val="nil"/>
                  </w:tcBorders>
                  <w:vAlign w:val="center"/>
                </w:tcPr>
                <w:p w14:paraId="38C63399">
                  <w:pPr>
                    <w:widowControl/>
                    <w:spacing w:line="276" w:lineRule="auto"/>
                    <w:jc w:val="left"/>
                    <w:rPr>
                      <w:bCs/>
                      <w:color w:val="auto"/>
                      <w:spacing w:val="-2"/>
                      <w:kern w:val="0"/>
                      <w:szCs w:val="21"/>
                    </w:rPr>
                  </w:pPr>
                </w:p>
              </w:tc>
            </w:tr>
          </w:tbl>
          <w:p w14:paraId="2A64DC23">
            <w:pPr>
              <w:spacing w:line="360" w:lineRule="auto"/>
              <w:ind w:firstLine="482" w:firstLineChars="200"/>
              <w:rPr>
                <w:b/>
                <w:color w:val="auto"/>
                <w:sz w:val="24"/>
                <w:szCs w:val="24"/>
              </w:rPr>
            </w:pPr>
            <w:r>
              <w:rPr>
                <w:rFonts w:hint="eastAsia"/>
                <w:b/>
                <w:color w:val="auto"/>
                <w:sz w:val="24"/>
                <w:szCs w:val="24"/>
              </w:rPr>
              <w:t>2、水污染物</w:t>
            </w:r>
          </w:p>
          <w:p w14:paraId="307166DA">
            <w:pPr>
              <w:pStyle w:val="142"/>
              <w:widowControl/>
              <w:spacing w:line="360" w:lineRule="auto"/>
              <w:ind w:firstLine="480"/>
              <w:rPr>
                <w:color w:val="auto"/>
                <w:sz w:val="24"/>
                <w:szCs w:val="24"/>
              </w:rPr>
            </w:pPr>
            <w:r>
              <w:rPr>
                <w:rFonts w:hint="eastAsia"/>
                <w:color w:val="auto"/>
                <w:sz w:val="24"/>
                <w:szCs w:val="24"/>
              </w:rPr>
              <w:t>本次改建项目仅新增喷嘴冷却用水，冷却水循环使用，不外排，不涉及生产废水产生；不新增劳动定员，不新增生活污水。</w:t>
            </w:r>
          </w:p>
          <w:p w14:paraId="056A13F4">
            <w:pPr>
              <w:pStyle w:val="142"/>
              <w:widowControl/>
              <w:spacing w:line="360" w:lineRule="auto"/>
              <w:ind w:firstLine="482"/>
              <w:rPr>
                <w:b/>
                <w:color w:val="auto"/>
                <w:sz w:val="24"/>
                <w:szCs w:val="24"/>
              </w:rPr>
            </w:pPr>
            <w:r>
              <w:rPr>
                <w:rFonts w:hint="eastAsia"/>
                <w:b/>
                <w:color w:val="auto"/>
                <w:sz w:val="24"/>
                <w:szCs w:val="24"/>
              </w:rPr>
              <w:t>3、噪声</w:t>
            </w:r>
          </w:p>
          <w:p w14:paraId="45DFD2A8">
            <w:pPr>
              <w:pStyle w:val="189"/>
              <w:spacing w:line="360" w:lineRule="auto"/>
              <w:ind w:firstLine="480" w:firstLineChars="200"/>
              <w:jc w:val="both"/>
              <w:rPr>
                <w:rFonts w:ascii="Times New Roman" w:hAnsi="Times New Roman" w:eastAsia="宋体" w:cs="Times New Roman"/>
                <w:color w:val="auto"/>
                <w:sz w:val="24"/>
                <w:szCs w:val="24"/>
                <w:lang w:eastAsia="zh-CN"/>
              </w:rPr>
            </w:pPr>
            <w:r>
              <w:rPr>
                <w:rFonts w:ascii="Times New Roman" w:hAnsi="宋体" w:eastAsia="宋体" w:cs="Times New Roman"/>
                <w:color w:val="auto"/>
                <w:sz w:val="24"/>
                <w:lang w:eastAsia="zh-CN"/>
              </w:rPr>
              <w:t>项目</w:t>
            </w:r>
            <w:r>
              <w:rPr>
                <w:rFonts w:ascii="Times New Roman" w:eastAsia="宋体" w:cs="Times New Roman"/>
                <w:color w:val="auto"/>
                <w:sz w:val="24"/>
                <w:lang w:eastAsia="zh-CN"/>
              </w:rPr>
              <w:t>运营期</w:t>
            </w:r>
            <w:r>
              <w:rPr>
                <w:rFonts w:ascii="Times New Roman" w:hAnsi="宋体" w:eastAsia="宋体" w:cs="Times New Roman"/>
                <w:color w:val="auto"/>
                <w:sz w:val="24"/>
                <w:lang w:eastAsia="zh-CN"/>
              </w:rPr>
              <w:t>厂界噪声执行《工业企业厂界环境噪声排放标准》（</w:t>
            </w:r>
            <w:r>
              <w:rPr>
                <w:rFonts w:ascii="Times New Roman" w:hAnsi="Times New Roman" w:cs="Times New Roman"/>
                <w:color w:val="auto"/>
                <w:sz w:val="24"/>
                <w:lang w:eastAsia="zh-CN"/>
              </w:rPr>
              <w:t>GB12348-2008</w:t>
            </w:r>
            <w:r>
              <w:rPr>
                <w:rFonts w:ascii="Times New Roman" w:hAnsi="Times New Roman" w:eastAsia="宋体" w:cs="Times New Roman"/>
                <w:color w:val="auto"/>
                <w:sz w:val="24"/>
                <w:lang w:eastAsia="zh-CN"/>
              </w:rPr>
              <w:t>）</w:t>
            </w:r>
            <w:r>
              <w:rPr>
                <w:rFonts w:ascii="Times New Roman" w:hAnsi="宋体" w:eastAsia="宋体" w:cs="Times New Roman"/>
                <w:color w:val="auto"/>
                <w:sz w:val="24"/>
                <w:lang w:eastAsia="zh-CN"/>
              </w:rPr>
              <w:t>中</w:t>
            </w:r>
            <w:r>
              <w:rPr>
                <w:rFonts w:hint="eastAsia" w:ascii="Times New Roman" w:hAnsi="Times New Roman" w:eastAsia="宋体" w:cs="Times New Roman"/>
                <w:color w:val="auto"/>
                <w:sz w:val="24"/>
                <w:lang w:eastAsia="zh-CN"/>
              </w:rPr>
              <w:t>3</w:t>
            </w:r>
            <w:r>
              <w:rPr>
                <w:rFonts w:ascii="Times New Roman" w:hAnsi="宋体" w:eastAsia="宋体" w:cs="Times New Roman"/>
                <w:color w:val="auto"/>
                <w:sz w:val="24"/>
                <w:lang w:eastAsia="zh-CN"/>
              </w:rPr>
              <w:t>类标准。</w:t>
            </w:r>
            <w:r>
              <w:rPr>
                <w:rFonts w:ascii="Times New Roman" w:hAnsi="宋体" w:eastAsia="宋体" w:cs="Times New Roman"/>
                <w:color w:val="auto"/>
                <w:sz w:val="24"/>
                <w:szCs w:val="24"/>
                <w:lang w:eastAsia="zh-CN"/>
              </w:rPr>
              <w:t>具体详见下表。</w:t>
            </w:r>
          </w:p>
          <w:p w14:paraId="337625DC">
            <w:pPr>
              <w:spacing w:line="360" w:lineRule="auto"/>
              <w:jc w:val="center"/>
              <w:rPr>
                <w:rFonts w:eastAsia="黑体"/>
                <w:color w:val="auto"/>
                <w:sz w:val="24"/>
                <w:szCs w:val="24"/>
              </w:rPr>
            </w:pPr>
            <w:r>
              <w:rPr>
                <w:rFonts w:hAnsi="黑体" w:eastAsia="黑体"/>
                <w:color w:val="auto"/>
                <w:sz w:val="24"/>
                <w:szCs w:val="24"/>
              </w:rPr>
              <w:t>表</w:t>
            </w:r>
            <w:r>
              <w:rPr>
                <w:rFonts w:hint="eastAsia" w:hAnsi="黑体" w:eastAsia="黑体"/>
                <w:color w:val="auto"/>
                <w:sz w:val="24"/>
                <w:szCs w:val="24"/>
              </w:rPr>
              <w:t>38</w:t>
            </w:r>
            <w:r>
              <w:rPr>
                <w:rFonts w:hAnsi="黑体" w:eastAsia="黑体"/>
                <w:color w:val="auto"/>
                <w:sz w:val="24"/>
                <w:szCs w:val="24"/>
              </w:rPr>
              <w:t xml:space="preserve">  工业企业厂界环境噪声排放标准  单位：dB(A</w:t>
            </w:r>
            <w:r>
              <w:rPr>
                <w:rFonts w:eastAsia="黑体"/>
                <w:color w:val="auto"/>
                <w:sz w:val="24"/>
                <w:szCs w:val="24"/>
              </w:rPr>
              <w:t>)</w:t>
            </w:r>
          </w:p>
          <w:tbl>
            <w:tblPr>
              <w:tblStyle w:val="34"/>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997"/>
              <w:gridCol w:w="2517"/>
              <w:gridCol w:w="2211"/>
            </w:tblGrid>
            <w:tr w14:paraId="1DAB831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3085" w:type="dxa"/>
                  <w:vAlign w:val="center"/>
                </w:tcPr>
                <w:p w14:paraId="2D314839">
                  <w:pPr>
                    <w:widowControl/>
                    <w:spacing w:line="276" w:lineRule="auto"/>
                    <w:jc w:val="center"/>
                    <w:rPr>
                      <w:b/>
                      <w:color w:val="auto"/>
                      <w:kern w:val="0"/>
                      <w:szCs w:val="21"/>
                    </w:rPr>
                  </w:pPr>
                  <w:r>
                    <w:rPr>
                      <w:b/>
                      <w:color w:val="auto"/>
                      <w:kern w:val="0"/>
                      <w:szCs w:val="21"/>
                    </w:rPr>
                    <w:t>标准</w:t>
                  </w:r>
                </w:p>
              </w:tc>
              <w:tc>
                <w:tcPr>
                  <w:tcW w:w="2691" w:type="dxa"/>
                  <w:vAlign w:val="center"/>
                </w:tcPr>
                <w:p w14:paraId="3D916BDD">
                  <w:pPr>
                    <w:widowControl/>
                    <w:spacing w:line="276" w:lineRule="auto"/>
                    <w:jc w:val="center"/>
                    <w:rPr>
                      <w:b/>
                      <w:color w:val="auto"/>
                      <w:kern w:val="0"/>
                      <w:szCs w:val="21"/>
                    </w:rPr>
                  </w:pPr>
                  <w:r>
                    <w:rPr>
                      <w:b/>
                      <w:color w:val="auto"/>
                      <w:kern w:val="0"/>
                      <w:szCs w:val="21"/>
                    </w:rPr>
                    <w:t>昼间</w:t>
                  </w:r>
                </w:p>
              </w:tc>
              <w:tc>
                <w:tcPr>
                  <w:tcW w:w="2359" w:type="dxa"/>
                  <w:vAlign w:val="center"/>
                </w:tcPr>
                <w:p w14:paraId="22E462DD">
                  <w:pPr>
                    <w:widowControl/>
                    <w:spacing w:line="276" w:lineRule="auto"/>
                    <w:jc w:val="center"/>
                    <w:rPr>
                      <w:b/>
                      <w:color w:val="auto"/>
                      <w:kern w:val="0"/>
                      <w:szCs w:val="21"/>
                    </w:rPr>
                  </w:pPr>
                  <w:r>
                    <w:rPr>
                      <w:b/>
                      <w:color w:val="auto"/>
                      <w:kern w:val="0"/>
                      <w:szCs w:val="21"/>
                    </w:rPr>
                    <w:t>夜间</w:t>
                  </w:r>
                </w:p>
              </w:tc>
            </w:tr>
            <w:tr w14:paraId="19F42CF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3085" w:type="dxa"/>
                  <w:vAlign w:val="center"/>
                </w:tcPr>
                <w:p w14:paraId="184CE4C5">
                  <w:pPr>
                    <w:widowControl/>
                    <w:spacing w:line="276" w:lineRule="auto"/>
                    <w:jc w:val="center"/>
                    <w:rPr>
                      <w:color w:val="auto"/>
                      <w:kern w:val="0"/>
                      <w:szCs w:val="21"/>
                    </w:rPr>
                  </w:pPr>
                  <w:r>
                    <w:rPr>
                      <w:rFonts w:hAnsi="宋体"/>
                      <w:color w:val="auto"/>
                      <w:szCs w:val="21"/>
                    </w:rPr>
                    <w:t>（</w:t>
                  </w:r>
                  <w:r>
                    <w:rPr>
                      <w:color w:val="auto"/>
                      <w:szCs w:val="21"/>
                    </w:rPr>
                    <w:t>GB12348-2008）中</w:t>
                  </w:r>
                  <w:r>
                    <w:rPr>
                      <w:rFonts w:hint="eastAsia"/>
                      <w:color w:val="auto"/>
                      <w:kern w:val="0"/>
                      <w:szCs w:val="21"/>
                    </w:rPr>
                    <w:t>3</w:t>
                  </w:r>
                  <w:r>
                    <w:rPr>
                      <w:color w:val="auto"/>
                      <w:kern w:val="0"/>
                      <w:szCs w:val="21"/>
                    </w:rPr>
                    <w:t>类标准</w:t>
                  </w:r>
                </w:p>
              </w:tc>
              <w:tc>
                <w:tcPr>
                  <w:tcW w:w="2691" w:type="dxa"/>
                  <w:vAlign w:val="center"/>
                </w:tcPr>
                <w:p w14:paraId="28185624">
                  <w:pPr>
                    <w:widowControl/>
                    <w:spacing w:line="276" w:lineRule="auto"/>
                    <w:jc w:val="center"/>
                    <w:rPr>
                      <w:color w:val="auto"/>
                      <w:kern w:val="0"/>
                      <w:szCs w:val="21"/>
                    </w:rPr>
                  </w:pPr>
                  <w:r>
                    <w:rPr>
                      <w:rFonts w:hint="eastAsia"/>
                      <w:color w:val="auto"/>
                      <w:kern w:val="0"/>
                      <w:szCs w:val="21"/>
                    </w:rPr>
                    <w:t>65</w:t>
                  </w:r>
                </w:p>
              </w:tc>
              <w:tc>
                <w:tcPr>
                  <w:tcW w:w="2359" w:type="dxa"/>
                  <w:vAlign w:val="center"/>
                </w:tcPr>
                <w:p w14:paraId="627CCC1A">
                  <w:pPr>
                    <w:widowControl/>
                    <w:spacing w:line="276" w:lineRule="auto"/>
                    <w:jc w:val="center"/>
                    <w:rPr>
                      <w:color w:val="auto"/>
                      <w:kern w:val="0"/>
                      <w:szCs w:val="21"/>
                    </w:rPr>
                  </w:pPr>
                  <w:r>
                    <w:rPr>
                      <w:rFonts w:hint="eastAsia"/>
                      <w:color w:val="auto"/>
                      <w:kern w:val="0"/>
                      <w:szCs w:val="21"/>
                    </w:rPr>
                    <w:t>55</w:t>
                  </w:r>
                </w:p>
              </w:tc>
            </w:tr>
          </w:tbl>
          <w:p w14:paraId="5064EB0F">
            <w:pPr>
              <w:widowControl/>
              <w:spacing w:line="360" w:lineRule="auto"/>
              <w:ind w:firstLine="482" w:firstLineChars="200"/>
              <w:rPr>
                <w:b/>
                <w:bCs/>
                <w:color w:val="auto"/>
                <w:kern w:val="0"/>
                <w:sz w:val="24"/>
                <w:szCs w:val="24"/>
              </w:rPr>
            </w:pPr>
            <w:r>
              <w:rPr>
                <w:rFonts w:hint="eastAsia"/>
                <w:b/>
                <w:bCs/>
                <w:color w:val="auto"/>
                <w:kern w:val="0"/>
                <w:sz w:val="24"/>
                <w:szCs w:val="24"/>
              </w:rPr>
              <w:t>4</w:t>
            </w:r>
            <w:r>
              <w:rPr>
                <w:b/>
                <w:bCs/>
                <w:color w:val="auto"/>
                <w:kern w:val="0"/>
                <w:sz w:val="24"/>
                <w:szCs w:val="24"/>
              </w:rPr>
              <w:t>、固体废物</w:t>
            </w:r>
          </w:p>
          <w:p w14:paraId="0D1930D5">
            <w:pPr>
              <w:spacing w:line="360" w:lineRule="auto"/>
              <w:ind w:firstLine="480" w:firstLineChars="200"/>
              <w:rPr>
                <w:snapToGrid w:val="0"/>
                <w:color w:val="auto"/>
                <w:kern w:val="0"/>
                <w:sz w:val="24"/>
              </w:rPr>
            </w:pPr>
            <w:r>
              <w:rPr>
                <w:rFonts w:hint="eastAsia"/>
                <w:snapToGrid w:val="0"/>
                <w:color w:val="auto"/>
                <w:kern w:val="0"/>
                <w:sz w:val="24"/>
              </w:rPr>
              <w:t>按照《中华人民共和国固体废物污染环境防治法》的要求，固体废物须妥善处置，不得形成二次污染。一般工业固体废物贮存、处置参照《一般工业固体废物贮存和填埋污染控制标准》（</w:t>
            </w:r>
            <w:r>
              <w:rPr>
                <w:snapToGrid w:val="0"/>
                <w:color w:val="auto"/>
                <w:kern w:val="0"/>
                <w:sz w:val="24"/>
              </w:rPr>
              <w:t>GB18599-2020</w:t>
            </w:r>
            <w:r>
              <w:rPr>
                <w:rFonts w:hint="eastAsia"/>
                <w:snapToGrid w:val="0"/>
                <w:color w:val="auto"/>
                <w:kern w:val="0"/>
                <w:sz w:val="24"/>
              </w:rPr>
              <w:t>）；危险废物贮存执行《危险废物贮存污染控制标准》（</w:t>
            </w:r>
            <w:r>
              <w:rPr>
                <w:snapToGrid w:val="0"/>
                <w:color w:val="auto"/>
                <w:kern w:val="0"/>
                <w:sz w:val="24"/>
              </w:rPr>
              <w:t>GB18597-20</w:t>
            </w:r>
            <w:r>
              <w:rPr>
                <w:rFonts w:hint="eastAsia"/>
                <w:snapToGrid w:val="0"/>
                <w:color w:val="auto"/>
                <w:kern w:val="0"/>
                <w:sz w:val="24"/>
              </w:rPr>
              <w:t>23）中有关规定。</w:t>
            </w:r>
          </w:p>
          <w:p w14:paraId="505352CE">
            <w:pPr>
              <w:spacing w:line="360" w:lineRule="auto"/>
              <w:ind w:firstLine="480" w:firstLineChars="200"/>
              <w:rPr>
                <w:snapToGrid w:val="0"/>
                <w:color w:val="auto"/>
                <w:kern w:val="0"/>
                <w:sz w:val="24"/>
              </w:rPr>
            </w:pPr>
          </w:p>
          <w:p w14:paraId="14BA9F40">
            <w:pPr>
              <w:spacing w:line="360" w:lineRule="auto"/>
              <w:ind w:firstLine="480" w:firstLineChars="200"/>
              <w:rPr>
                <w:snapToGrid w:val="0"/>
                <w:color w:val="auto"/>
                <w:kern w:val="0"/>
                <w:sz w:val="24"/>
              </w:rPr>
            </w:pPr>
          </w:p>
          <w:p w14:paraId="1DF9E145">
            <w:pPr>
              <w:spacing w:line="360" w:lineRule="auto"/>
              <w:ind w:firstLine="480" w:firstLineChars="200"/>
              <w:rPr>
                <w:snapToGrid w:val="0"/>
                <w:color w:val="auto"/>
                <w:kern w:val="0"/>
                <w:sz w:val="24"/>
              </w:rPr>
            </w:pPr>
          </w:p>
          <w:p w14:paraId="6775B972">
            <w:pPr>
              <w:spacing w:line="360" w:lineRule="auto"/>
              <w:ind w:firstLine="480" w:firstLineChars="200"/>
              <w:rPr>
                <w:snapToGrid w:val="0"/>
                <w:color w:val="auto"/>
                <w:kern w:val="0"/>
                <w:sz w:val="24"/>
              </w:rPr>
            </w:pPr>
          </w:p>
          <w:p w14:paraId="4D82A5E5">
            <w:pPr>
              <w:spacing w:line="360" w:lineRule="auto"/>
              <w:ind w:firstLine="480" w:firstLineChars="200"/>
              <w:rPr>
                <w:snapToGrid w:val="0"/>
                <w:color w:val="auto"/>
                <w:kern w:val="0"/>
                <w:sz w:val="24"/>
              </w:rPr>
            </w:pPr>
          </w:p>
          <w:p w14:paraId="19E7EEC5">
            <w:pPr>
              <w:spacing w:line="360" w:lineRule="auto"/>
              <w:ind w:firstLine="480" w:firstLineChars="200"/>
              <w:rPr>
                <w:snapToGrid w:val="0"/>
                <w:color w:val="auto"/>
                <w:kern w:val="0"/>
                <w:sz w:val="24"/>
              </w:rPr>
            </w:pPr>
          </w:p>
          <w:p w14:paraId="0846F74B">
            <w:pPr>
              <w:spacing w:line="360" w:lineRule="auto"/>
              <w:ind w:firstLine="480" w:firstLineChars="200"/>
              <w:rPr>
                <w:snapToGrid w:val="0"/>
                <w:color w:val="auto"/>
                <w:kern w:val="0"/>
                <w:sz w:val="24"/>
              </w:rPr>
            </w:pPr>
          </w:p>
          <w:p w14:paraId="25F96CF8">
            <w:pPr>
              <w:spacing w:line="360" w:lineRule="auto"/>
              <w:ind w:firstLine="480" w:firstLineChars="200"/>
              <w:rPr>
                <w:snapToGrid w:val="0"/>
                <w:color w:val="auto"/>
                <w:kern w:val="0"/>
                <w:sz w:val="24"/>
              </w:rPr>
            </w:pPr>
          </w:p>
          <w:p w14:paraId="7C3CEBFD">
            <w:pPr>
              <w:spacing w:line="360" w:lineRule="auto"/>
              <w:ind w:firstLine="480" w:firstLineChars="200"/>
              <w:rPr>
                <w:snapToGrid w:val="0"/>
                <w:color w:val="auto"/>
                <w:kern w:val="0"/>
                <w:sz w:val="24"/>
              </w:rPr>
            </w:pPr>
          </w:p>
          <w:p w14:paraId="1C970619">
            <w:pPr>
              <w:spacing w:line="360" w:lineRule="auto"/>
              <w:ind w:firstLine="480" w:firstLineChars="200"/>
              <w:rPr>
                <w:snapToGrid w:val="0"/>
                <w:color w:val="auto"/>
                <w:kern w:val="0"/>
                <w:sz w:val="24"/>
              </w:rPr>
            </w:pPr>
          </w:p>
          <w:p w14:paraId="3ABBBEF4">
            <w:pPr>
              <w:spacing w:line="360" w:lineRule="auto"/>
              <w:ind w:firstLine="480" w:firstLineChars="200"/>
              <w:rPr>
                <w:snapToGrid w:val="0"/>
                <w:color w:val="auto"/>
                <w:kern w:val="0"/>
                <w:sz w:val="24"/>
              </w:rPr>
            </w:pPr>
          </w:p>
          <w:p w14:paraId="5611A89E">
            <w:pPr>
              <w:spacing w:line="360" w:lineRule="auto"/>
              <w:ind w:firstLine="480" w:firstLineChars="200"/>
              <w:rPr>
                <w:snapToGrid w:val="0"/>
                <w:color w:val="auto"/>
                <w:kern w:val="0"/>
                <w:sz w:val="24"/>
              </w:rPr>
            </w:pPr>
          </w:p>
          <w:p w14:paraId="129B3941">
            <w:pPr>
              <w:spacing w:line="360" w:lineRule="auto"/>
              <w:ind w:firstLine="480" w:firstLineChars="200"/>
              <w:rPr>
                <w:snapToGrid w:val="0"/>
                <w:color w:val="auto"/>
                <w:kern w:val="0"/>
                <w:sz w:val="24"/>
              </w:rPr>
            </w:pPr>
          </w:p>
          <w:p w14:paraId="7E34D5F6">
            <w:pPr>
              <w:spacing w:line="360" w:lineRule="auto"/>
              <w:ind w:firstLine="480" w:firstLineChars="200"/>
              <w:rPr>
                <w:snapToGrid w:val="0"/>
                <w:color w:val="auto"/>
                <w:kern w:val="0"/>
                <w:sz w:val="24"/>
              </w:rPr>
            </w:pPr>
          </w:p>
          <w:p w14:paraId="124845B3">
            <w:pPr>
              <w:spacing w:line="360" w:lineRule="auto"/>
              <w:ind w:firstLine="480" w:firstLineChars="200"/>
              <w:rPr>
                <w:snapToGrid w:val="0"/>
                <w:color w:val="auto"/>
                <w:kern w:val="0"/>
                <w:sz w:val="24"/>
              </w:rPr>
            </w:pPr>
          </w:p>
          <w:p w14:paraId="5C8A4738">
            <w:pPr>
              <w:spacing w:line="360" w:lineRule="auto"/>
              <w:ind w:firstLine="480" w:firstLineChars="200"/>
              <w:rPr>
                <w:snapToGrid w:val="0"/>
                <w:color w:val="auto"/>
                <w:kern w:val="0"/>
                <w:sz w:val="24"/>
              </w:rPr>
            </w:pPr>
          </w:p>
          <w:p w14:paraId="0FFD7A1B">
            <w:pPr>
              <w:spacing w:line="360" w:lineRule="auto"/>
              <w:ind w:firstLine="480" w:firstLineChars="200"/>
              <w:rPr>
                <w:snapToGrid w:val="0"/>
                <w:color w:val="auto"/>
                <w:kern w:val="0"/>
                <w:sz w:val="24"/>
              </w:rPr>
            </w:pPr>
          </w:p>
          <w:p w14:paraId="79D54B37">
            <w:pPr>
              <w:spacing w:line="360" w:lineRule="auto"/>
              <w:ind w:firstLine="480" w:firstLineChars="200"/>
              <w:rPr>
                <w:snapToGrid w:val="0"/>
                <w:color w:val="auto"/>
                <w:kern w:val="0"/>
                <w:sz w:val="24"/>
              </w:rPr>
            </w:pPr>
          </w:p>
          <w:p w14:paraId="02846758">
            <w:pPr>
              <w:spacing w:line="360" w:lineRule="auto"/>
              <w:ind w:firstLine="480" w:firstLineChars="200"/>
              <w:rPr>
                <w:snapToGrid w:val="0"/>
                <w:color w:val="auto"/>
                <w:kern w:val="0"/>
                <w:sz w:val="24"/>
              </w:rPr>
            </w:pPr>
          </w:p>
          <w:p w14:paraId="6294FA34">
            <w:pPr>
              <w:spacing w:line="360" w:lineRule="auto"/>
              <w:ind w:firstLine="480" w:firstLineChars="200"/>
              <w:rPr>
                <w:snapToGrid w:val="0"/>
                <w:color w:val="auto"/>
                <w:kern w:val="0"/>
                <w:sz w:val="24"/>
              </w:rPr>
            </w:pPr>
          </w:p>
          <w:p w14:paraId="611DB7FF">
            <w:pPr>
              <w:spacing w:line="360" w:lineRule="auto"/>
              <w:rPr>
                <w:bCs/>
                <w:color w:val="auto"/>
                <w:kern w:val="0"/>
                <w:sz w:val="24"/>
                <w:szCs w:val="24"/>
              </w:rPr>
            </w:pPr>
          </w:p>
        </w:tc>
      </w:tr>
      <w:tr w14:paraId="18388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Align w:val="center"/>
          </w:tcPr>
          <w:p w14:paraId="296B83B2">
            <w:pPr>
              <w:pStyle w:val="142"/>
              <w:widowControl/>
              <w:spacing w:line="360" w:lineRule="auto"/>
              <w:ind w:firstLineChars="175"/>
              <w:jc w:val="center"/>
              <w:rPr>
                <w:rFonts w:hAnsi="宋体"/>
                <w:color w:val="auto"/>
                <w:kern w:val="0"/>
                <w:sz w:val="24"/>
              </w:rPr>
            </w:pPr>
            <w:r>
              <w:rPr>
                <w:rFonts w:hint="eastAsia" w:hAnsi="宋体"/>
                <w:color w:val="auto"/>
                <w:kern w:val="0"/>
                <w:sz w:val="24"/>
              </w:rPr>
              <w:t>总总量控制指标</w:t>
            </w:r>
          </w:p>
        </w:tc>
        <w:tc>
          <w:tcPr>
            <w:tcW w:w="8358" w:type="dxa"/>
          </w:tcPr>
          <w:p w14:paraId="66372D15">
            <w:pPr>
              <w:spacing w:line="360" w:lineRule="auto"/>
              <w:ind w:firstLine="480" w:firstLineChars="200"/>
              <w:jc w:val="left"/>
              <w:rPr>
                <w:rFonts w:hAnsi="宋体"/>
                <w:color w:val="auto"/>
                <w:sz w:val="24"/>
              </w:rPr>
            </w:pPr>
            <w:r>
              <w:rPr>
                <w:rFonts w:hint="eastAsia" w:hAnsi="宋体"/>
                <w:color w:val="auto"/>
                <w:sz w:val="24"/>
              </w:rPr>
              <w:t>根据《安徽省环保厅关于进一步加强建设项目新增大气主要污染物总量指标管理工作的通知》（皖环发[2017]19号）中有关规定，大气主要污染物总量指标从两项增加为四项，在SO</w:t>
            </w:r>
            <w:r>
              <w:rPr>
                <w:rFonts w:hint="eastAsia" w:hAnsi="宋体"/>
                <w:color w:val="auto"/>
                <w:sz w:val="24"/>
                <w:vertAlign w:val="subscript"/>
              </w:rPr>
              <w:t>2</w:t>
            </w:r>
            <w:r>
              <w:rPr>
                <w:rFonts w:hint="eastAsia" w:hAnsi="宋体"/>
                <w:color w:val="auto"/>
                <w:sz w:val="24"/>
              </w:rPr>
              <w:t>、NOx的基础上增加烟（粉）尘、挥发性有机物（VOCs）两项指标。</w:t>
            </w:r>
          </w:p>
          <w:p w14:paraId="578C6DAB">
            <w:pPr>
              <w:spacing w:line="360" w:lineRule="auto"/>
              <w:ind w:firstLine="480" w:firstLineChars="200"/>
              <w:rPr>
                <w:color w:val="auto"/>
                <w:kern w:val="0"/>
                <w:sz w:val="24"/>
              </w:rPr>
            </w:pPr>
            <w:r>
              <w:rPr>
                <w:rFonts w:hint="eastAsia"/>
                <w:color w:val="auto"/>
                <w:kern w:val="0"/>
                <w:sz w:val="24"/>
              </w:rPr>
              <w:t>本项目大气污染物主要为VOCs</w:t>
            </w:r>
            <w:r>
              <w:rPr>
                <w:rFonts w:hint="eastAsia"/>
                <w:color w:val="auto"/>
                <w:sz w:val="24"/>
              </w:rPr>
              <w:t>，VOCs有组织排放量为0.850t/a，VOCs无组织排放量为0.945t/a，VOCs总</w:t>
            </w:r>
            <w:r>
              <w:rPr>
                <w:rFonts w:hint="eastAsia"/>
                <w:color w:val="auto"/>
                <w:kern w:val="0"/>
                <w:sz w:val="24"/>
              </w:rPr>
              <w:t>排放量为</w:t>
            </w:r>
            <w:r>
              <w:rPr>
                <w:rFonts w:hint="eastAsia"/>
                <w:color w:val="auto"/>
                <w:sz w:val="24"/>
              </w:rPr>
              <w:t>：1.795t/a</w:t>
            </w:r>
            <w:r>
              <w:rPr>
                <w:rFonts w:hint="eastAsia"/>
                <w:color w:val="auto"/>
                <w:kern w:val="0"/>
                <w:sz w:val="24"/>
              </w:rPr>
              <w:t>。</w:t>
            </w:r>
          </w:p>
          <w:p w14:paraId="708B6FCB">
            <w:pPr>
              <w:pStyle w:val="108"/>
              <w:adjustRightInd/>
              <w:spacing w:line="360" w:lineRule="auto"/>
              <w:ind w:firstLine="480" w:firstLineChars="200"/>
              <w:rPr>
                <w:color w:val="auto"/>
              </w:rPr>
            </w:pPr>
            <w:r>
              <w:rPr>
                <w:color w:val="auto"/>
                <w:szCs w:val="20"/>
              </w:rPr>
              <w:t>本项目不涉及生产废水、生活污水排放。</w:t>
            </w:r>
          </w:p>
          <w:p w14:paraId="4CEB5F8F">
            <w:pPr>
              <w:pStyle w:val="142"/>
              <w:widowControl/>
              <w:spacing w:line="360" w:lineRule="auto"/>
              <w:ind w:firstLine="482"/>
              <w:rPr>
                <w:b/>
                <w:color w:val="auto"/>
                <w:sz w:val="24"/>
                <w:szCs w:val="24"/>
              </w:rPr>
            </w:pPr>
          </w:p>
          <w:p w14:paraId="0F02E94F">
            <w:pPr>
              <w:pStyle w:val="142"/>
              <w:widowControl/>
              <w:spacing w:line="360" w:lineRule="auto"/>
              <w:ind w:firstLine="482"/>
              <w:rPr>
                <w:b/>
                <w:color w:val="auto"/>
                <w:sz w:val="24"/>
                <w:szCs w:val="24"/>
              </w:rPr>
            </w:pPr>
          </w:p>
          <w:p w14:paraId="6F0EF707">
            <w:pPr>
              <w:pStyle w:val="142"/>
              <w:widowControl/>
              <w:spacing w:line="360" w:lineRule="auto"/>
              <w:ind w:firstLine="482"/>
              <w:rPr>
                <w:b/>
                <w:color w:val="auto"/>
                <w:sz w:val="24"/>
                <w:szCs w:val="24"/>
              </w:rPr>
            </w:pPr>
          </w:p>
          <w:p w14:paraId="4F0C1ACB">
            <w:pPr>
              <w:pStyle w:val="142"/>
              <w:widowControl/>
              <w:spacing w:line="360" w:lineRule="auto"/>
              <w:ind w:firstLine="482"/>
              <w:rPr>
                <w:b/>
                <w:color w:val="auto"/>
                <w:sz w:val="24"/>
                <w:szCs w:val="24"/>
              </w:rPr>
            </w:pPr>
          </w:p>
          <w:p w14:paraId="3B2B5E26">
            <w:pPr>
              <w:pStyle w:val="142"/>
              <w:widowControl/>
              <w:spacing w:line="360" w:lineRule="auto"/>
              <w:ind w:firstLine="482"/>
              <w:rPr>
                <w:b/>
                <w:color w:val="auto"/>
                <w:sz w:val="24"/>
                <w:szCs w:val="24"/>
              </w:rPr>
            </w:pPr>
          </w:p>
          <w:p w14:paraId="2CB83265">
            <w:pPr>
              <w:pStyle w:val="142"/>
              <w:widowControl/>
              <w:spacing w:line="360" w:lineRule="auto"/>
              <w:ind w:firstLine="482"/>
              <w:rPr>
                <w:b/>
                <w:color w:val="auto"/>
                <w:sz w:val="24"/>
                <w:szCs w:val="24"/>
              </w:rPr>
            </w:pPr>
          </w:p>
          <w:p w14:paraId="0C61E7B8">
            <w:pPr>
              <w:pStyle w:val="142"/>
              <w:widowControl/>
              <w:spacing w:line="360" w:lineRule="auto"/>
              <w:ind w:firstLine="482"/>
              <w:rPr>
                <w:b/>
                <w:color w:val="auto"/>
                <w:sz w:val="24"/>
                <w:szCs w:val="24"/>
              </w:rPr>
            </w:pPr>
          </w:p>
          <w:p w14:paraId="306BB512">
            <w:pPr>
              <w:widowControl/>
              <w:spacing w:line="360" w:lineRule="auto"/>
              <w:rPr>
                <w:b/>
                <w:color w:val="auto"/>
                <w:sz w:val="24"/>
                <w:szCs w:val="24"/>
              </w:rPr>
            </w:pPr>
          </w:p>
          <w:p w14:paraId="15EB6F25">
            <w:pPr>
              <w:widowControl/>
              <w:spacing w:line="360" w:lineRule="auto"/>
              <w:rPr>
                <w:b/>
                <w:color w:val="auto"/>
                <w:sz w:val="24"/>
                <w:szCs w:val="24"/>
              </w:rPr>
            </w:pPr>
          </w:p>
          <w:p w14:paraId="351EC46E">
            <w:pPr>
              <w:widowControl/>
              <w:spacing w:line="360" w:lineRule="auto"/>
              <w:rPr>
                <w:b/>
                <w:color w:val="auto"/>
                <w:sz w:val="24"/>
                <w:szCs w:val="24"/>
              </w:rPr>
            </w:pPr>
          </w:p>
          <w:p w14:paraId="1999E64D">
            <w:pPr>
              <w:widowControl/>
              <w:spacing w:line="360" w:lineRule="auto"/>
              <w:rPr>
                <w:b/>
                <w:color w:val="auto"/>
                <w:sz w:val="24"/>
                <w:szCs w:val="24"/>
              </w:rPr>
            </w:pPr>
          </w:p>
          <w:p w14:paraId="77A23B7D">
            <w:pPr>
              <w:widowControl/>
              <w:spacing w:line="360" w:lineRule="auto"/>
              <w:rPr>
                <w:b/>
                <w:color w:val="auto"/>
                <w:sz w:val="24"/>
                <w:szCs w:val="24"/>
              </w:rPr>
            </w:pPr>
          </w:p>
          <w:p w14:paraId="091FF957">
            <w:pPr>
              <w:widowControl/>
              <w:spacing w:line="360" w:lineRule="auto"/>
              <w:rPr>
                <w:b/>
                <w:color w:val="auto"/>
                <w:sz w:val="24"/>
                <w:szCs w:val="24"/>
              </w:rPr>
            </w:pPr>
          </w:p>
          <w:p w14:paraId="6B35CA26">
            <w:pPr>
              <w:widowControl/>
              <w:spacing w:line="360" w:lineRule="auto"/>
              <w:rPr>
                <w:b/>
                <w:color w:val="auto"/>
                <w:sz w:val="24"/>
                <w:szCs w:val="24"/>
              </w:rPr>
            </w:pPr>
          </w:p>
          <w:p w14:paraId="7E2F9696">
            <w:pPr>
              <w:widowControl/>
              <w:spacing w:line="360" w:lineRule="auto"/>
              <w:rPr>
                <w:b/>
                <w:color w:val="auto"/>
                <w:sz w:val="24"/>
                <w:szCs w:val="24"/>
              </w:rPr>
            </w:pPr>
          </w:p>
          <w:p w14:paraId="4A54FFE1">
            <w:pPr>
              <w:widowControl/>
              <w:spacing w:line="360" w:lineRule="auto"/>
              <w:rPr>
                <w:b/>
                <w:color w:val="auto"/>
                <w:sz w:val="24"/>
                <w:szCs w:val="24"/>
              </w:rPr>
            </w:pPr>
          </w:p>
          <w:p w14:paraId="1B2C18DD">
            <w:pPr>
              <w:widowControl/>
              <w:spacing w:line="360" w:lineRule="auto"/>
              <w:rPr>
                <w:b/>
                <w:color w:val="auto"/>
                <w:sz w:val="24"/>
                <w:szCs w:val="24"/>
              </w:rPr>
            </w:pPr>
          </w:p>
        </w:tc>
      </w:tr>
    </w:tbl>
    <w:p w14:paraId="260664E0">
      <w:pPr>
        <w:widowControl/>
        <w:outlineLvl w:val="0"/>
        <w:rPr>
          <w:rFonts w:ascii="宋体" w:hAnsi="宋体"/>
          <w:b/>
          <w:bCs/>
          <w:color w:val="auto"/>
          <w:kern w:val="0"/>
          <w:sz w:val="30"/>
          <w:szCs w:val="30"/>
        </w:rPr>
        <w:sectPr>
          <w:pgSz w:w="11906" w:h="16838"/>
          <w:pgMar w:top="1440" w:right="1508" w:bottom="1440" w:left="1797" w:header="851" w:footer="992" w:gutter="0"/>
          <w:cols w:space="720" w:num="1"/>
          <w:docGrid w:type="lines" w:linePitch="312" w:charSpace="0"/>
        </w:sectPr>
      </w:pPr>
    </w:p>
    <w:p w14:paraId="7DE2F93C">
      <w:pPr>
        <w:widowControl/>
        <w:jc w:val="center"/>
        <w:outlineLvl w:val="0"/>
        <w:rPr>
          <w:b/>
          <w:bCs/>
          <w:color w:val="auto"/>
          <w:kern w:val="0"/>
          <w:sz w:val="30"/>
          <w:szCs w:val="30"/>
        </w:rPr>
      </w:pPr>
      <w:r>
        <w:rPr>
          <w:b/>
          <w:bCs/>
          <w:color w:val="auto"/>
          <w:kern w:val="0"/>
          <w:sz w:val="30"/>
          <w:szCs w:val="30"/>
        </w:rPr>
        <w:t>四、</w:t>
      </w:r>
      <w:bookmarkEnd w:id="8"/>
      <w:r>
        <w:rPr>
          <w:b/>
          <w:bCs/>
          <w:color w:val="auto"/>
          <w:kern w:val="0"/>
          <w:sz w:val="30"/>
          <w:szCs w:val="30"/>
        </w:rPr>
        <w:t>主要环境影响和保护措施</w:t>
      </w:r>
    </w:p>
    <w:tbl>
      <w:tblPr>
        <w:tblStyle w:val="34"/>
        <w:tblpPr w:leftFromText="180" w:rightFromText="180" w:vertAnchor="text" w:tblpXSpec="right" w:tblpY="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6"/>
        <w:gridCol w:w="8361"/>
      </w:tblGrid>
      <w:tr w14:paraId="0A0F7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456" w:type="dxa"/>
            <w:vAlign w:val="center"/>
          </w:tcPr>
          <w:p w14:paraId="6A9D3391">
            <w:pPr>
              <w:widowControl/>
              <w:spacing w:line="360" w:lineRule="auto"/>
              <w:jc w:val="center"/>
              <w:rPr>
                <w:b/>
                <w:bCs/>
                <w:color w:val="auto"/>
                <w:kern w:val="0"/>
                <w:sz w:val="25"/>
                <w:szCs w:val="25"/>
              </w:rPr>
            </w:pPr>
            <w:r>
              <w:rPr>
                <w:rFonts w:hint="eastAsia" w:hAnsi="宋体"/>
                <w:color w:val="auto"/>
                <w:kern w:val="0"/>
                <w:sz w:val="24"/>
              </w:rPr>
              <w:t>施工期环境保护措施</w:t>
            </w:r>
          </w:p>
        </w:tc>
        <w:tc>
          <w:tcPr>
            <w:tcW w:w="8361" w:type="dxa"/>
          </w:tcPr>
          <w:p w14:paraId="7CB0A47B">
            <w:pPr>
              <w:spacing w:line="360" w:lineRule="auto"/>
              <w:ind w:firstLine="480" w:firstLineChars="200"/>
              <w:rPr>
                <w:rFonts w:hAnsi="宋体"/>
                <w:snapToGrid w:val="0"/>
                <w:color w:val="auto"/>
                <w:sz w:val="24"/>
              </w:rPr>
            </w:pPr>
            <w:r>
              <w:rPr>
                <w:rFonts w:hint="eastAsia" w:hAnsi="宋体"/>
                <w:snapToGrid w:val="0"/>
                <w:color w:val="auto"/>
                <w:sz w:val="24"/>
              </w:rPr>
              <w:t>本项目仅在现有厂区已建厂房内进行设备安装调试，不涉及土建工程，产生的污染物较少。因此，本次评价仅对其进行简要定性分析和评价。</w:t>
            </w:r>
          </w:p>
          <w:p w14:paraId="3B81CEF7">
            <w:pPr>
              <w:widowControl/>
              <w:spacing w:line="360" w:lineRule="auto"/>
              <w:ind w:firstLine="480" w:firstLineChars="200"/>
              <w:rPr>
                <w:rFonts w:ascii="宋体" w:hAnsi="宋体"/>
                <w:snapToGrid w:val="0"/>
                <w:color w:val="auto"/>
                <w:sz w:val="24"/>
              </w:rPr>
            </w:pPr>
            <w:r>
              <w:rPr>
                <w:rFonts w:hint="eastAsia" w:ascii="宋体" w:hAnsi="宋体"/>
                <w:snapToGrid w:val="0"/>
                <w:color w:val="auto"/>
                <w:sz w:val="24"/>
              </w:rPr>
              <w:t>施工期保护措施如下：</w:t>
            </w:r>
          </w:p>
          <w:p w14:paraId="536A0E1B">
            <w:pPr>
              <w:widowControl/>
              <w:spacing w:line="360" w:lineRule="auto"/>
              <w:ind w:firstLine="480" w:firstLineChars="200"/>
              <w:rPr>
                <w:rFonts w:hAnsi="宋体"/>
                <w:color w:val="auto"/>
                <w:sz w:val="24"/>
                <w:szCs w:val="21"/>
              </w:rPr>
            </w:pPr>
            <w:r>
              <w:rPr>
                <w:rFonts w:hint="eastAsia" w:hAnsi="宋体"/>
                <w:color w:val="auto"/>
                <w:sz w:val="24"/>
                <w:szCs w:val="21"/>
              </w:rPr>
              <w:t>1、施工人员生活废水经化粪池预处理后排入厂区自建污水处理站处理，后回用于生产。</w:t>
            </w:r>
          </w:p>
          <w:p w14:paraId="514E0D76">
            <w:pPr>
              <w:pStyle w:val="108"/>
              <w:adjustRightInd/>
              <w:spacing w:line="360" w:lineRule="auto"/>
              <w:ind w:firstLine="480" w:firstLineChars="200"/>
              <w:jc w:val="both"/>
              <w:rPr>
                <w:rFonts w:hAnsi="宋体" w:cs="宋体"/>
                <w:color w:val="auto"/>
                <w:szCs w:val="21"/>
              </w:rPr>
            </w:pPr>
            <w:r>
              <w:rPr>
                <w:rFonts w:hint="eastAsia" w:hAnsi="宋体"/>
                <w:color w:val="auto"/>
                <w:szCs w:val="21"/>
              </w:rPr>
              <w:t>2、施工人员生活垃圾由垃圾桶收集后委托环卫清运。</w:t>
            </w:r>
          </w:p>
          <w:p w14:paraId="3CC89063">
            <w:pPr>
              <w:autoSpaceDE w:val="0"/>
              <w:autoSpaceDN w:val="0"/>
              <w:adjustRightInd w:val="0"/>
              <w:spacing w:line="360" w:lineRule="auto"/>
              <w:ind w:firstLine="480" w:firstLineChars="200"/>
              <w:rPr>
                <w:color w:val="auto"/>
                <w:kern w:val="0"/>
                <w:sz w:val="24"/>
              </w:rPr>
            </w:pPr>
            <w:r>
              <w:rPr>
                <w:rFonts w:hint="eastAsia" w:hAnsi="宋体"/>
                <w:color w:val="auto"/>
                <w:kern w:val="0"/>
                <w:sz w:val="24"/>
                <w:szCs w:val="21"/>
              </w:rPr>
              <w:t>3、通过关闭厂房门窗降低施工噪声对周围环境的影响</w:t>
            </w:r>
            <w:r>
              <w:rPr>
                <w:rFonts w:hint="eastAsia" w:ascii="宋体" w:hAnsi="宋体"/>
                <w:snapToGrid w:val="0"/>
                <w:color w:val="auto"/>
                <w:kern w:val="0"/>
                <w:sz w:val="24"/>
              </w:rPr>
              <w:t>。</w:t>
            </w:r>
          </w:p>
        </w:tc>
      </w:tr>
      <w:tr w14:paraId="23A01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5" w:hRule="atLeast"/>
        </w:trPr>
        <w:tc>
          <w:tcPr>
            <w:tcW w:w="456" w:type="dxa"/>
            <w:vAlign w:val="center"/>
          </w:tcPr>
          <w:p w14:paraId="46564C5F">
            <w:pPr>
              <w:widowControl/>
              <w:spacing w:line="360" w:lineRule="auto"/>
              <w:jc w:val="center"/>
              <w:rPr>
                <w:bCs/>
                <w:color w:val="auto"/>
                <w:kern w:val="0"/>
                <w:sz w:val="24"/>
                <w:szCs w:val="24"/>
              </w:rPr>
            </w:pPr>
            <w:r>
              <w:rPr>
                <w:rFonts w:hint="eastAsia" w:hAnsi="宋体"/>
                <w:color w:val="auto"/>
                <w:kern w:val="0"/>
                <w:sz w:val="24"/>
              </w:rPr>
              <w:t>运营期环境影响和保护措施</w:t>
            </w:r>
          </w:p>
        </w:tc>
        <w:tc>
          <w:tcPr>
            <w:tcW w:w="8361" w:type="dxa"/>
            <w:vAlign w:val="center"/>
          </w:tcPr>
          <w:p w14:paraId="1AEF0194">
            <w:pPr>
              <w:spacing w:line="360" w:lineRule="auto"/>
              <w:ind w:firstLine="482" w:firstLineChars="200"/>
              <w:rPr>
                <w:b/>
                <w:bCs/>
                <w:color w:val="auto"/>
                <w:sz w:val="24"/>
                <w:szCs w:val="28"/>
              </w:rPr>
            </w:pPr>
            <w:r>
              <w:rPr>
                <w:rFonts w:hint="eastAsia"/>
                <w:b/>
                <w:bCs/>
                <w:color w:val="auto"/>
                <w:sz w:val="24"/>
                <w:szCs w:val="28"/>
              </w:rPr>
              <w:t>一、大气污染源强及环境影响和保护措施</w:t>
            </w:r>
          </w:p>
          <w:p w14:paraId="0696F215">
            <w:pPr>
              <w:spacing w:line="360" w:lineRule="auto"/>
              <w:ind w:firstLine="482" w:firstLineChars="200"/>
              <w:rPr>
                <w:b/>
                <w:bCs/>
                <w:color w:val="auto"/>
                <w:sz w:val="24"/>
                <w:szCs w:val="28"/>
              </w:rPr>
            </w:pPr>
            <w:r>
              <w:rPr>
                <w:rFonts w:hint="eastAsia"/>
                <w:b/>
                <w:bCs/>
                <w:color w:val="auto"/>
                <w:sz w:val="24"/>
                <w:szCs w:val="28"/>
              </w:rPr>
              <w:t>1、废气源强分析</w:t>
            </w:r>
          </w:p>
          <w:p w14:paraId="5CE22852">
            <w:pPr>
              <w:pStyle w:val="108"/>
              <w:spacing w:line="360" w:lineRule="auto"/>
              <w:ind w:firstLine="480" w:firstLineChars="200"/>
              <w:rPr>
                <w:rFonts w:hAnsi="宋体"/>
                <w:color w:val="auto"/>
              </w:rPr>
            </w:pPr>
            <w:r>
              <w:rPr>
                <w:rFonts w:hint="eastAsia" w:hAnsi="宋体"/>
                <w:color w:val="auto"/>
              </w:rPr>
              <w:t>根据工程分析可知，本项目改建完成后，仅因在一车间、三车间各新增1套热端喷涂装置，新增喷涂废气（G</w:t>
            </w:r>
            <w:r>
              <w:rPr>
                <w:rFonts w:hint="eastAsia" w:hAnsi="宋体"/>
                <w:color w:val="auto"/>
                <w:vertAlign w:val="subscript"/>
              </w:rPr>
              <w:t>1</w:t>
            </w:r>
            <w:r>
              <w:rPr>
                <w:rFonts w:hint="eastAsia" w:hAnsi="宋体"/>
                <w:color w:val="auto"/>
              </w:rPr>
              <w:t>），新增的喷涂废气经装置喷嘴处上方集气罩收集，进入两级活性炭吸附装置处理达标后，分别由新增DA010排气筒、现有DA009排气筒排放。</w:t>
            </w:r>
          </w:p>
          <w:p w14:paraId="3F422CAA">
            <w:pPr>
              <w:spacing w:line="360" w:lineRule="auto"/>
              <w:ind w:firstLine="482" w:firstLineChars="200"/>
              <w:jc w:val="left"/>
              <w:rPr>
                <w:b/>
                <w:color w:val="auto"/>
                <w:sz w:val="24"/>
              </w:rPr>
            </w:pPr>
            <w:r>
              <w:rPr>
                <w:rFonts w:hint="eastAsia"/>
                <w:b/>
                <w:color w:val="auto"/>
                <w:sz w:val="24"/>
              </w:rPr>
              <w:t>新增喷涂</w:t>
            </w:r>
            <w:r>
              <w:rPr>
                <w:rFonts w:hint="eastAsia"/>
                <w:b/>
                <w:color w:val="auto"/>
                <w:sz w:val="24"/>
                <w:szCs w:val="24"/>
              </w:rPr>
              <w:t>废气（G</w:t>
            </w:r>
            <w:r>
              <w:rPr>
                <w:rFonts w:hint="eastAsia"/>
                <w:b/>
                <w:color w:val="auto"/>
                <w:sz w:val="24"/>
                <w:szCs w:val="24"/>
                <w:vertAlign w:val="subscript"/>
              </w:rPr>
              <w:t>1</w:t>
            </w:r>
            <w:r>
              <w:rPr>
                <w:rFonts w:hint="eastAsia"/>
                <w:b/>
                <w:color w:val="auto"/>
                <w:sz w:val="24"/>
                <w:szCs w:val="24"/>
              </w:rPr>
              <w:t>）：</w:t>
            </w:r>
          </w:p>
          <w:p w14:paraId="2EBDB3DA">
            <w:pPr>
              <w:spacing w:line="360" w:lineRule="auto"/>
              <w:ind w:firstLine="480" w:firstLineChars="200"/>
              <w:jc w:val="left"/>
              <w:rPr>
                <w:color w:val="auto"/>
                <w:sz w:val="24"/>
              </w:rPr>
            </w:pPr>
            <w:r>
              <w:rPr>
                <w:rFonts w:hint="eastAsia"/>
                <w:color w:val="auto"/>
                <w:sz w:val="24"/>
              </w:rPr>
              <w:t>本次改建项目于一车间、三车间玻璃生产线各新增1套热端喷涂装置，专用于喷涂加工生产着色玻璃制</w:t>
            </w:r>
            <w:r>
              <w:rPr>
                <w:color w:val="auto"/>
                <w:sz w:val="24"/>
              </w:rPr>
              <w:t>品，年产1500万只着色玻璃制品。喷涂工序使用外购的水性漆作为喷涂原料，水性漆成分为水性丙烯酸树脂、氧化铁（或氧化铒、氧化钛）、乙醇、去离子水，成型后的热玻璃制品表面温度较高，到达喷嘴处的温度可达520℃，水性漆中乙醇（沸点78℃）、去离子水（沸点100℃）在高温下全部气化，乙醇气体以非甲烷总烃计；水性丙烯酸树脂中约</w:t>
            </w:r>
            <w:r>
              <w:rPr>
                <w:rFonts w:hint="eastAsia"/>
                <w:color w:val="auto"/>
                <w:sz w:val="24"/>
              </w:rPr>
              <w:t>10%固份热分解产生挥发性有机废气，以非甲烷总烃计，剩余固份附着于玻璃制品表面。</w:t>
            </w:r>
          </w:p>
          <w:p w14:paraId="2A92F525">
            <w:pPr>
              <w:spacing w:line="360" w:lineRule="auto"/>
              <w:ind w:firstLine="480" w:firstLineChars="200"/>
              <w:jc w:val="left"/>
              <w:rPr>
                <w:color w:val="auto"/>
                <w:sz w:val="24"/>
              </w:rPr>
            </w:pPr>
            <w:r>
              <w:rPr>
                <w:rFonts w:hint="eastAsia"/>
                <w:color w:val="auto"/>
                <w:sz w:val="24"/>
              </w:rPr>
              <w:t>根据企业提供原辅材料消耗量及水性漆MSDS，水性漆使用量约45t/a，一车间、三车间各消耗50%水性漆量，即22.5t/a，喷嘴处喷涂效率为50%。520</w:t>
            </w:r>
            <w:r>
              <w:rPr>
                <w:color w:val="auto"/>
                <w:sz w:val="24"/>
              </w:rPr>
              <w:t>℃</w:t>
            </w:r>
            <w:r>
              <w:rPr>
                <w:rFonts w:hint="eastAsia"/>
                <w:color w:val="auto"/>
                <w:sz w:val="24"/>
              </w:rPr>
              <w:t>高温下，乙醇按全挥发计、10%水性丙烯酸树脂热分解。经计算，改建后，一车间喷涂废气非甲烷总烃产生量为4.725t/a，三车间喷涂废气非甲烷总烃产生量为4.725t/a。</w:t>
            </w:r>
          </w:p>
          <w:p w14:paraId="703D5C2D">
            <w:pPr>
              <w:spacing w:line="360" w:lineRule="auto"/>
              <w:ind w:firstLine="480" w:firstLineChars="200"/>
              <w:jc w:val="left"/>
              <w:rPr>
                <w:color w:val="auto"/>
                <w:sz w:val="24"/>
              </w:rPr>
            </w:pPr>
            <w:r>
              <w:rPr>
                <w:rFonts w:hint="eastAsia"/>
                <w:color w:val="auto"/>
                <w:sz w:val="24"/>
              </w:rPr>
              <w:t>喷涂工序年工作时间为8760h，一车间、三车间产生的喷涂废气经各自装置喷嘴上方集气罩收集后进入两级活性炭装置处理，最终由排气筒DA010、排气筒DA009排放，设备集气罩收集系统的效率为90%，两级活性炭处理效率为90%，一车间、三车间风机设计风量分别为3000m</w:t>
            </w:r>
            <w:r>
              <w:rPr>
                <w:rFonts w:hint="eastAsia"/>
                <w:color w:val="auto"/>
                <w:sz w:val="24"/>
                <w:vertAlign w:val="superscript"/>
              </w:rPr>
              <w:t>3</w:t>
            </w:r>
            <w:r>
              <w:rPr>
                <w:rFonts w:hint="eastAsia"/>
                <w:color w:val="auto"/>
                <w:sz w:val="24"/>
              </w:rPr>
              <w:t>/h、3000m</w:t>
            </w:r>
            <w:r>
              <w:rPr>
                <w:rFonts w:hint="eastAsia"/>
                <w:color w:val="auto"/>
                <w:sz w:val="24"/>
                <w:vertAlign w:val="superscript"/>
              </w:rPr>
              <w:t>3</w:t>
            </w:r>
            <w:r>
              <w:rPr>
                <w:rFonts w:hint="eastAsia"/>
                <w:color w:val="auto"/>
                <w:sz w:val="24"/>
              </w:rPr>
              <w:t>/h。结合企业实际情况，对喷涂工序产生的喷涂废气采用以下废气收集处理方案：</w:t>
            </w:r>
          </w:p>
          <w:p w14:paraId="143B5220">
            <w:pPr>
              <w:spacing w:line="360" w:lineRule="auto"/>
              <w:jc w:val="center"/>
              <w:rPr>
                <w:rFonts w:eastAsia="黑体"/>
                <w:color w:val="auto"/>
                <w:sz w:val="24"/>
                <w:szCs w:val="24"/>
              </w:rPr>
            </w:pPr>
            <w:r>
              <w:rPr>
                <w:rFonts w:hAnsi="黑体" w:eastAsia="黑体"/>
                <w:color w:val="auto"/>
                <w:sz w:val="24"/>
                <w:szCs w:val="24"/>
              </w:rPr>
              <w:t>表</w:t>
            </w:r>
            <w:r>
              <w:rPr>
                <w:rFonts w:hint="eastAsia" w:hAnsi="黑体" w:eastAsia="黑体"/>
                <w:color w:val="auto"/>
                <w:sz w:val="24"/>
                <w:szCs w:val="24"/>
              </w:rPr>
              <w:t>39</w:t>
            </w:r>
            <w:r>
              <w:rPr>
                <w:rFonts w:hAnsi="黑体" w:eastAsia="黑体"/>
                <w:color w:val="auto"/>
                <w:sz w:val="24"/>
                <w:szCs w:val="24"/>
              </w:rPr>
              <w:t xml:space="preserve">  废气污染防治设施设计参数一览表</w:t>
            </w:r>
          </w:p>
          <w:tbl>
            <w:tblPr>
              <w:tblStyle w:val="35"/>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587"/>
              <w:gridCol w:w="587"/>
              <w:gridCol w:w="958"/>
              <w:gridCol w:w="641"/>
              <w:gridCol w:w="1231"/>
              <w:gridCol w:w="2064"/>
              <w:gridCol w:w="1038"/>
              <w:gridCol w:w="1039"/>
            </w:tblGrid>
            <w:tr w14:paraId="23142D4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2AB0E89F">
                  <w:pPr>
                    <w:spacing w:line="276" w:lineRule="auto"/>
                    <w:jc w:val="center"/>
                    <w:rPr>
                      <w:b/>
                      <w:color w:val="auto"/>
                      <w:szCs w:val="21"/>
                    </w:rPr>
                  </w:pPr>
                  <w:r>
                    <w:rPr>
                      <w:rFonts w:hint="eastAsia"/>
                      <w:b/>
                      <w:color w:val="auto"/>
                      <w:szCs w:val="21"/>
                    </w:rPr>
                    <w:t>生产车间</w:t>
                  </w:r>
                </w:p>
              </w:tc>
              <w:tc>
                <w:tcPr>
                  <w:tcW w:w="0" w:type="auto"/>
                  <w:vAlign w:val="center"/>
                </w:tcPr>
                <w:p w14:paraId="614F3FFD">
                  <w:pPr>
                    <w:spacing w:line="276" w:lineRule="auto"/>
                    <w:jc w:val="center"/>
                    <w:rPr>
                      <w:b/>
                      <w:color w:val="auto"/>
                      <w:szCs w:val="21"/>
                    </w:rPr>
                  </w:pPr>
                  <w:r>
                    <w:rPr>
                      <w:rFonts w:hint="eastAsia"/>
                      <w:b/>
                      <w:color w:val="auto"/>
                      <w:szCs w:val="21"/>
                    </w:rPr>
                    <w:t>生产工序</w:t>
                  </w:r>
                </w:p>
              </w:tc>
              <w:tc>
                <w:tcPr>
                  <w:tcW w:w="0" w:type="auto"/>
                  <w:vAlign w:val="center"/>
                </w:tcPr>
                <w:p w14:paraId="0E27553C">
                  <w:pPr>
                    <w:spacing w:line="276" w:lineRule="auto"/>
                    <w:jc w:val="center"/>
                    <w:rPr>
                      <w:b/>
                      <w:color w:val="auto"/>
                      <w:szCs w:val="21"/>
                    </w:rPr>
                  </w:pPr>
                  <w:r>
                    <w:rPr>
                      <w:rFonts w:hint="eastAsia"/>
                      <w:b/>
                      <w:color w:val="auto"/>
                      <w:szCs w:val="21"/>
                    </w:rPr>
                    <w:t>集气罩设置情况</w:t>
                  </w:r>
                </w:p>
              </w:tc>
              <w:tc>
                <w:tcPr>
                  <w:tcW w:w="0" w:type="auto"/>
                  <w:vAlign w:val="center"/>
                </w:tcPr>
                <w:p w14:paraId="4F3CB485">
                  <w:pPr>
                    <w:spacing w:line="276" w:lineRule="auto"/>
                    <w:jc w:val="center"/>
                    <w:rPr>
                      <w:b/>
                      <w:color w:val="auto"/>
                      <w:szCs w:val="21"/>
                    </w:rPr>
                  </w:pPr>
                  <w:r>
                    <w:rPr>
                      <w:rFonts w:hint="eastAsia"/>
                      <w:b/>
                      <w:color w:val="auto"/>
                      <w:szCs w:val="21"/>
                    </w:rPr>
                    <w:t>集气罩数量</w:t>
                  </w:r>
                </w:p>
              </w:tc>
              <w:tc>
                <w:tcPr>
                  <w:tcW w:w="0" w:type="auto"/>
                  <w:vAlign w:val="center"/>
                </w:tcPr>
                <w:p w14:paraId="5BD985F8">
                  <w:pPr>
                    <w:spacing w:line="276" w:lineRule="auto"/>
                    <w:jc w:val="center"/>
                    <w:rPr>
                      <w:b/>
                      <w:color w:val="auto"/>
                      <w:szCs w:val="21"/>
                    </w:rPr>
                  </w:pPr>
                  <w:r>
                    <w:rPr>
                      <w:rFonts w:hint="eastAsia"/>
                      <w:b/>
                      <w:color w:val="auto"/>
                      <w:szCs w:val="21"/>
                    </w:rPr>
                    <w:t>集气罩尺寸</w:t>
                  </w:r>
                </w:p>
              </w:tc>
              <w:tc>
                <w:tcPr>
                  <w:tcW w:w="0" w:type="auto"/>
                  <w:vAlign w:val="center"/>
                </w:tcPr>
                <w:p w14:paraId="75C5AF67">
                  <w:pPr>
                    <w:spacing w:line="276" w:lineRule="auto"/>
                    <w:jc w:val="center"/>
                    <w:rPr>
                      <w:b/>
                      <w:color w:val="auto"/>
                      <w:szCs w:val="21"/>
                    </w:rPr>
                  </w:pPr>
                  <w:r>
                    <w:rPr>
                      <w:rFonts w:hint="eastAsia"/>
                      <w:b/>
                      <w:color w:val="auto"/>
                      <w:szCs w:val="21"/>
                    </w:rPr>
                    <w:t>风量计算过程</w:t>
                  </w:r>
                </w:p>
              </w:tc>
              <w:tc>
                <w:tcPr>
                  <w:tcW w:w="0" w:type="auto"/>
                  <w:vAlign w:val="center"/>
                </w:tcPr>
                <w:p w14:paraId="62C0169F">
                  <w:pPr>
                    <w:spacing w:line="276" w:lineRule="auto"/>
                    <w:jc w:val="center"/>
                    <w:rPr>
                      <w:b/>
                      <w:color w:val="auto"/>
                      <w:szCs w:val="21"/>
                    </w:rPr>
                  </w:pPr>
                  <w:r>
                    <w:rPr>
                      <w:rFonts w:hint="eastAsia"/>
                      <w:b/>
                      <w:color w:val="auto"/>
                      <w:szCs w:val="21"/>
                    </w:rPr>
                    <w:t>计算风量</w:t>
                  </w:r>
                </w:p>
              </w:tc>
              <w:tc>
                <w:tcPr>
                  <w:tcW w:w="0" w:type="auto"/>
                  <w:vAlign w:val="center"/>
                </w:tcPr>
                <w:p w14:paraId="6D71F38A">
                  <w:pPr>
                    <w:spacing w:line="276" w:lineRule="auto"/>
                    <w:jc w:val="center"/>
                    <w:rPr>
                      <w:b/>
                      <w:color w:val="auto"/>
                      <w:szCs w:val="21"/>
                    </w:rPr>
                  </w:pPr>
                  <w:r>
                    <w:rPr>
                      <w:rFonts w:hint="eastAsia"/>
                      <w:b/>
                      <w:color w:val="auto"/>
                      <w:szCs w:val="21"/>
                    </w:rPr>
                    <w:t>设计风量</w:t>
                  </w:r>
                </w:p>
              </w:tc>
            </w:tr>
            <w:tr w14:paraId="71790FE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3FD30006">
                  <w:pPr>
                    <w:spacing w:line="276" w:lineRule="auto"/>
                    <w:jc w:val="center"/>
                    <w:rPr>
                      <w:color w:val="auto"/>
                      <w:szCs w:val="21"/>
                    </w:rPr>
                  </w:pPr>
                  <w:r>
                    <w:rPr>
                      <w:rFonts w:hint="eastAsia"/>
                      <w:color w:val="auto"/>
                      <w:szCs w:val="21"/>
                    </w:rPr>
                    <w:t>一车间</w:t>
                  </w:r>
                </w:p>
              </w:tc>
              <w:tc>
                <w:tcPr>
                  <w:tcW w:w="0" w:type="auto"/>
                  <w:vAlign w:val="center"/>
                </w:tcPr>
                <w:p w14:paraId="187BC0DD">
                  <w:pPr>
                    <w:spacing w:line="276" w:lineRule="auto"/>
                    <w:jc w:val="center"/>
                    <w:rPr>
                      <w:color w:val="auto"/>
                      <w:szCs w:val="21"/>
                    </w:rPr>
                  </w:pPr>
                  <w:r>
                    <w:rPr>
                      <w:rFonts w:hint="eastAsia"/>
                      <w:color w:val="auto"/>
                      <w:szCs w:val="21"/>
                    </w:rPr>
                    <w:t>喷涂</w:t>
                  </w:r>
                </w:p>
              </w:tc>
              <w:tc>
                <w:tcPr>
                  <w:tcW w:w="0" w:type="auto"/>
                  <w:vAlign w:val="center"/>
                </w:tcPr>
                <w:p w14:paraId="7BBA9067">
                  <w:pPr>
                    <w:spacing w:line="276" w:lineRule="auto"/>
                    <w:jc w:val="center"/>
                    <w:rPr>
                      <w:color w:val="auto"/>
                      <w:szCs w:val="21"/>
                    </w:rPr>
                  </w:pPr>
                  <w:r>
                    <w:rPr>
                      <w:rFonts w:hint="eastAsia"/>
                      <w:color w:val="auto"/>
                      <w:szCs w:val="21"/>
                    </w:rPr>
                    <w:t>装置喷嘴上方设置集气罩</w:t>
                  </w:r>
                </w:p>
              </w:tc>
              <w:tc>
                <w:tcPr>
                  <w:tcW w:w="0" w:type="auto"/>
                  <w:vAlign w:val="center"/>
                </w:tcPr>
                <w:p w14:paraId="7E4DA857">
                  <w:pPr>
                    <w:spacing w:line="276" w:lineRule="auto"/>
                    <w:jc w:val="center"/>
                    <w:rPr>
                      <w:color w:val="auto"/>
                      <w:szCs w:val="21"/>
                    </w:rPr>
                  </w:pPr>
                  <w:r>
                    <w:rPr>
                      <w:rFonts w:hint="eastAsia"/>
                      <w:color w:val="auto"/>
                      <w:szCs w:val="21"/>
                    </w:rPr>
                    <w:t>1</w:t>
                  </w:r>
                </w:p>
              </w:tc>
              <w:tc>
                <w:tcPr>
                  <w:tcW w:w="0" w:type="auto"/>
                  <w:vAlign w:val="center"/>
                </w:tcPr>
                <w:p w14:paraId="6F78235C">
                  <w:pPr>
                    <w:spacing w:line="276" w:lineRule="auto"/>
                    <w:jc w:val="center"/>
                    <w:rPr>
                      <w:color w:val="auto"/>
                      <w:szCs w:val="21"/>
                    </w:rPr>
                  </w:pPr>
                  <w:r>
                    <w:rPr>
                      <w:rFonts w:hint="eastAsia"/>
                      <w:color w:val="auto"/>
                      <w:szCs w:val="21"/>
                    </w:rPr>
                    <w:t>1.0m</w:t>
                  </w:r>
                  <m:oMath>
                    <m:r>
                      <m:rPr>
                        <m:sty m:val="p"/>
                      </m:rPr>
                      <w:rPr>
                        <w:rFonts w:ascii="Cambria Math" w:hAnsi="Cambria Math"/>
                        <w:color w:val="auto"/>
                        <w:szCs w:val="21"/>
                      </w:rPr>
                      <m:t>×</m:t>
                    </m:r>
                  </m:oMath>
                  <w:r>
                    <w:rPr>
                      <w:rFonts w:hint="eastAsia"/>
                      <w:color w:val="auto"/>
                      <w:szCs w:val="21"/>
                    </w:rPr>
                    <w:t>1.0m</w:t>
                  </w:r>
                </w:p>
              </w:tc>
              <w:tc>
                <w:tcPr>
                  <w:tcW w:w="0" w:type="auto"/>
                  <w:vAlign w:val="center"/>
                </w:tcPr>
                <w:p w14:paraId="159924D9">
                  <w:pPr>
                    <w:spacing w:line="276" w:lineRule="auto"/>
                    <w:jc w:val="left"/>
                    <w:rPr>
                      <w:color w:val="auto"/>
                      <w:szCs w:val="21"/>
                    </w:rPr>
                  </w:pPr>
                  <w:r>
                    <w:rPr>
                      <w:rFonts w:hint="eastAsia"/>
                      <w:color w:val="auto"/>
                      <w:szCs w:val="21"/>
                    </w:rPr>
                    <w:t>计算公式：L=3600</w:t>
                  </w:r>
                  <m:oMath>
                    <m:r>
                      <m:rPr>
                        <m:sty m:val="p"/>
                      </m:rPr>
                      <w:rPr>
                        <w:rFonts w:ascii="Cambria Math" w:hAnsi="Cambria Math"/>
                        <w:color w:val="auto"/>
                        <w:szCs w:val="21"/>
                      </w:rPr>
                      <m:t>×</m:t>
                    </m:r>
                  </m:oMath>
                  <w:r>
                    <w:rPr>
                      <w:color w:val="auto"/>
                      <w:szCs w:val="21"/>
                    </w:rPr>
                    <w:t>（</w:t>
                  </w:r>
                  <w:r>
                    <w:rPr>
                      <w:rFonts w:hint="eastAsia"/>
                      <w:color w:val="auto"/>
                      <w:szCs w:val="21"/>
                    </w:rPr>
                    <w:t>5X</w:t>
                  </w:r>
                  <w:r>
                    <w:rPr>
                      <w:rFonts w:hint="eastAsia"/>
                      <w:color w:val="auto"/>
                      <w:szCs w:val="21"/>
                      <w:vertAlign w:val="superscript"/>
                    </w:rPr>
                    <w:t>2</w:t>
                  </w:r>
                  <w:r>
                    <w:rPr>
                      <w:rFonts w:hint="eastAsia"/>
                      <w:color w:val="auto"/>
                      <w:szCs w:val="21"/>
                    </w:rPr>
                    <w:t>+F</w:t>
                  </w:r>
                  <w:r>
                    <w:rPr>
                      <w:color w:val="auto"/>
                      <w:szCs w:val="21"/>
                    </w:rPr>
                    <w:t>）</w:t>
                  </w:r>
                  <m:oMath>
                    <m:r>
                      <m:rPr>
                        <m:sty m:val="p"/>
                      </m:rPr>
                      <w:rPr>
                        <w:rFonts w:ascii="Cambria Math" w:hAnsi="Cambria Math"/>
                        <w:color w:val="auto"/>
                        <w:szCs w:val="21"/>
                      </w:rPr>
                      <m:t>×</m:t>
                    </m:r>
                  </m:oMath>
                  <w:r>
                    <w:rPr>
                      <w:rFonts w:hint="eastAsia"/>
                      <w:color w:val="auto"/>
                      <w:szCs w:val="21"/>
                    </w:rPr>
                    <w:t>Vx</w:t>
                  </w:r>
                </w:p>
                <w:p w14:paraId="2AC8F875">
                  <w:pPr>
                    <w:spacing w:line="276" w:lineRule="auto"/>
                    <w:jc w:val="left"/>
                    <w:rPr>
                      <w:color w:val="auto"/>
                      <w:szCs w:val="21"/>
                    </w:rPr>
                  </w:pPr>
                  <w:r>
                    <w:rPr>
                      <w:rFonts w:hint="eastAsia"/>
                      <w:color w:val="auto"/>
                      <w:szCs w:val="21"/>
                    </w:rPr>
                    <w:t>L—排风量，m</w:t>
                  </w:r>
                  <w:r>
                    <w:rPr>
                      <w:rFonts w:hint="eastAsia"/>
                      <w:color w:val="auto"/>
                      <w:szCs w:val="21"/>
                      <w:vertAlign w:val="superscript"/>
                    </w:rPr>
                    <w:t>3</w:t>
                  </w:r>
                  <w:r>
                    <w:rPr>
                      <w:rFonts w:hint="eastAsia"/>
                      <w:color w:val="auto"/>
                      <w:szCs w:val="21"/>
                    </w:rPr>
                    <w:t>/h；</w:t>
                  </w:r>
                </w:p>
                <w:p w14:paraId="370A5F8E">
                  <w:pPr>
                    <w:spacing w:line="276" w:lineRule="auto"/>
                    <w:jc w:val="left"/>
                    <w:rPr>
                      <w:color w:val="auto"/>
                      <w:szCs w:val="21"/>
                    </w:rPr>
                  </w:pPr>
                  <w:r>
                    <w:rPr>
                      <w:rFonts w:hint="eastAsia"/>
                      <w:color w:val="auto"/>
                      <w:szCs w:val="21"/>
                    </w:rPr>
                    <w:t>X—集气罩距离污染产生源的距离（取0.5m）；</w:t>
                  </w:r>
                </w:p>
                <w:p w14:paraId="3347EB23">
                  <w:pPr>
                    <w:spacing w:line="276" w:lineRule="auto"/>
                    <w:jc w:val="left"/>
                    <w:rPr>
                      <w:color w:val="auto"/>
                      <w:szCs w:val="21"/>
                    </w:rPr>
                  </w:pPr>
                  <w:r>
                    <w:rPr>
                      <w:rFonts w:hint="eastAsia"/>
                      <w:color w:val="auto"/>
                      <w:szCs w:val="21"/>
                    </w:rPr>
                    <w:t>F—集气罩面积；</w:t>
                  </w:r>
                </w:p>
                <w:p w14:paraId="2B420301">
                  <w:pPr>
                    <w:spacing w:line="276" w:lineRule="auto"/>
                    <w:jc w:val="left"/>
                    <w:rPr>
                      <w:color w:val="auto"/>
                      <w:szCs w:val="21"/>
                    </w:rPr>
                  </w:pPr>
                  <w:r>
                    <w:rPr>
                      <w:rFonts w:hint="eastAsia"/>
                      <w:color w:val="auto"/>
                      <w:szCs w:val="21"/>
                    </w:rPr>
                    <w:t>Vx—控制风速（取0.3m/s）</w:t>
                  </w:r>
                </w:p>
              </w:tc>
              <w:tc>
                <w:tcPr>
                  <w:tcW w:w="0" w:type="auto"/>
                  <w:vAlign w:val="center"/>
                </w:tcPr>
                <w:p w14:paraId="23C5CA97">
                  <w:pPr>
                    <w:spacing w:line="276" w:lineRule="auto"/>
                    <w:jc w:val="center"/>
                    <w:rPr>
                      <w:color w:val="auto"/>
                      <w:szCs w:val="21"/>
                    </w:rPr>
                  </w:pPr>
                  <w:r>
                    <w:rPr>
                      <w:rFonts w:hint="eastAsia"/>
                      <w:color w:val="auto"/>
                      <w:szCs w:val="21"/>
                    </w:rPr>
                    <w:t>2430m</w:t>
                  </w:r>
                  <w:r>
                    <w:rPr>
                      <w:rFonts w:hint="eastAsia"/>
                      <w:color w:val="auto"/>
                      <w:szCs w:val="21"/>
                      <w:vertAlign w:val="superscript"/>
                    </w:rPr>
                    <w:t>3</w:t>
                  </w:r>
                  <w:r>
                    <w:rPr>
                      <w:rFonts w:hint="eastAsia"/>
                      <w:color w:val="auto"/>
                      <w:szCs w:val="21"/>
                    </w:rPr>
                    <w:t>/h</w:t>
                  </w:r>
                </w:p>
              </w:tc>
              <w:tc>
                <w:tcPr>
                  <w:tcW w:w="0" w:type="auto"/>
                  <w:vAlign w:val="center"/>
                </w:tcPr>
                <w:p w14:paraId="3BECE40C">
                  <w:pPr>
                    <w:spacing w:line="276" w:lineRule="auto"/>
                    <w:jc w:val="center"/>
                    <w:rPr>
                      <w:color w:val="auto"/>
                      <w:szCs w:val="21"/>
                    </w:rPr>
                  </w:pPr>
                  <w:r>
                    <w:rPr>
                      <w:rFonts w:hint="eastAsia"/>
                      <w:color w:val="auto"/>
                      <w:szCs w:val="21"/>
                    </w:rPr>
                    <w:t>3000m</w:t>
                  </w:r>
                  <w:r>
                    <w:rPr>
                      <w:rFonts w:hint="eastAsia"/>
                      <w:color w:val="auto"/>
                      <w:szCs w:val="21"/>
                      <w:vertAlign w:val="superscript"/>
                    </w:rPr>
                    <w:t>3</w:t>
                  </w:r>
                  <w:r>
                    <w:rPr>
                      <w:rFonts w:hint="eastAsia"/>
                      <w:color w:val="auto"/>
                      <w:szCs w:val="21"/>
                    </w:rPr>
                    <w:t>/h</w:t>
                  </w:r>
                </w:p>
              </w:tc>
            </w:tr>
            <w:tr w14:paraId="5E5195C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6F322AD8">
                  <w:pPr>
                    <w:spacing w:line="276" w:lineRule="auto"/>
                    <w:jc w:val="center"/>
                    <w:rPr>
                      <w:color w:val="auto"/>
                      <w:szCs w:val="21"/>
                    </w:rPr>
                  </w:pPr>
                  <w:r>
                    <w:rPr>
                      <w:rFonts w:hint="eastAsia"/>
                      <w:color w:val="auto"/>
                      <w:szCs w:val="21"/>
                    </w:rPr>
                    <w:t>三车间</w:t>
                  </w:r>
                </w:p>
              </w:tc>
              <w:tc>
                <w:tcPr>
                  <w:tcW w:w="0" w:type="auto"/>
                  <w:vAlign w:val="center"/>
                </w:tcPr>
                <w:p w14:paraId="39D3CA31">
                  <w:pPr>
                    <w:spacing w:line="276" w:lineRule="auto"/>
                    <w:jc w:val="center"/>
                    <w:rPr>
                      <w:color w:val="auto"/>
                      <w:szCs w:val="21"/>
                    </w:rPr>
                  </w:pPr>
                  <w:r>
                    <w:rPr>
                      <w:rFonts w:hint="eastAsia"/>
                      <w:color w:val="auto"/>
                      <w:szCs w:val="21"/>
                    </w:rPr>
                    <w:t>喷涂</w:t>
                  </w:r>
                </w:p>
              </w:tc>
              <w:tc>
                <w:tcPr>
                  <w:tcW w:w="0" w:type="auto"/>
                  <w:vAlign w:val="center"/>
                </w:tcPr>
                <w:p w14:paraId="6954435D">
                  <w:pPr>
                    <w:spacing w:line="276" w:lineRule="auto"/>
                    <w:jc w:val="center"/>
                    <w:rPr>
                      <w:color w:val="auto"/>
                      <w:szCs w:val="21"/>
                    </w:rPr>
                  </w:pPr>
                  <w:r>
                    <w:rPr>
                      <w:rFonts w:hint="eastAsia"/>
                      <w:color w:val="auto"/>
                      <w:szCs w:val="21"/>
                    </w:rPr>
                    <w:t>装置喷嘴上方设置集气罩</w:t>
                  </w:r>
                </w:p>
              </w:tc>
              <w:tc>
                <w:tcPr>
                  <w:tcW w:w="0" w:type="auto"/>
                  <w:vAlign w:val="center"/>
                </w:tcPr>
                <w:p w14:paraId="02E351F5">
                  <w:pPr>
                    <w:spacing w:line="276" w:lineRule="auto"/>
                    <w:jc w:val="center"/>
                    <w:rPr>
                      <w:color w:val="auto"/>
                      <w:szCs w:val="21"/>
                    </w:rPr>
                  </w:pPr>
                  <w:r>
                    <w:rPr>
                      <w:rFonts w:hint="eastAsia"/>
                      <w:color w:val="auto"/>
                      <w:szCs w:val="21"/>
                    </w:rPr>
                    <w:t>1</w:t>
                  </w:r>
                </w:p>
              </w:tc>
              <w:tc>
                <w:tcPr>
                  <w:tcW w:w="0" w:type="auto"/>
                  <w:vAlign w:val="center"/>
                </w:tcPr>
                <w:p w14:paraId="4774CCB5">
                  <w:pPr>
                    <w:spacing w:line="276" w:lineRule="auto"/>
                    <w:jc w:val="center"/>
                    <w:rPr>
                      <w:color w:val="auto"/>
                      <w:szCs w:val="21"/>
                    </w:rPr>
                  </w:pPr>
                  <w:r>
                    <w:rPr>
                      <w:rFonts w:hint="eastAsia"/>
                      <w:color w:val="auto"/>
                      <w:szCs w:val="21"/>
                    </w:rPr>
                    <w:t>1.0m</w:t>
                  </w:r>
                  <m:oMath>
                    <m:r>
                      <m:rPr>
                        <m:sty m:val="p"/>
                      </m:rPr>
                      <w:rPr>
                        <w:rFonts w:ascii="Cambria Math" w:hAnsi="Cambria Math"/>
                        <w:color w:val="auto"/>
                        <w:szCs w:val="21"/>
                      </w:rPr>
                      <m:t>×</m:t>
                    </m:r>
                  </m:oMath>
                  <w:r>
                    <w:rPr>
                      <w:rFonts w:hint="eastAsia"/>
                      <w:color w:val="auto"/>
                      <w:szCs w:val="21"/>
                    </w:rPr>
                    <w:t>1.0m</w:t>
                  </w:r>
                </w:p>
              </w:tc>
              <w:tc>
                <w:tcPr>
                  <w:tcW w:w="0" w:type="auto"/>
                  <w:vAlign w:val="center"/>
                </w:tcPr>
                <w:p w14:paraId="0D0E8949">
                  <w:pPr>
                    <w:spacing w:line="276" w:lineRule="auto"/>
                    <w:jc w:val="left"/>
                    <w:rPr>
                      <w:color w:val="auto"/>
                      <w:szCs w:val="21"/>
                    </w:rPr>
                  </w:pPr>
                  <w:r>
                    <w:rPr>
                      <w:rFonts w:hint="eastAsia"/>
                      <w:color w:val="auto"/>
                      <w:szCs w:val="21"/>
                    </w:rPr>
                    <w:t>计算公式：L=3600</w:t>
                  </w:r>
                  <m:oMath>
                    <m:r>
                      <m:rPr>
                        <m:sty m:val="p"/>
                      </m:rPr>
                      <w:rPr>
                        <w:rFonts w:ascii="Cambria Math" w:hAnsi="Cambria Math"/>
                        <w:color w:val="auto"/>
                        <w:szCs w:val="21"/>
                      </w:rPr>
                      <m:t>×</m:t>
                    </m:r>
                  </m:oMath>
                  <w:r>
                    <w:rPr>
                      <w:color w:val="auto"/>
                      <w:szCs w:val="21"/>
                    </w:rPr>
                    <w:t>（</w:t>
                  </w:r>
                  <w:r>
                    <w:rPr>
                      <w:rFonts w:hint="eastAsia"/>
                      <w:color w:val="auto"/>
                      <w:szCs w:val="21"/>
                    </w:rPr>
                    <w:t>5X</w:t>
                  </w:r>
                  <w:r>
                    <w:rPr>
                      <w:rFonts w:hint="eastAsia"/>
                      <w:color w:val="auto"/>
                      <w:szCs w:val="21"/>
                      <w:vertAlign w:val="superscript"/>
                    </w:rPr>
                    <w:t>2</w:t>
                  </w:r>
                  <w:r>
                    <w:rPr>
                      <w:rFonts w:hint="eastAsia"/>
                      <w:color w:val="auto"/>
                      <w:szCs w:val="21"/>
                    </w:rPr>
                    <w:t>+F</w:t>
                  </w:r>
                  <w:r>
                    <w:rPr>
                      <w:color w:val="auto"/>
                      <w:szCs w:val="21"/>
                    </w:rPr>
                    <w:t>）</w:t>
                  </w:r>
                  <m:oMath>
                    <m:r>
                      <m:rPr>
                        <m:sty m:val="p"/>
                      </m:rPr>
                      <w:rPr>
                        <w:rFonts w:ascii="Cambria Math" w:hAnsi="Cambria Math"/>
                        <w:color w:val="auto"/>
                        <w:szCs w:val="21"/>
                      </w:rPr>
                      <m:t>×</m:t>
                    </m:r>
                  </m:oMath>
                  <w:r>
                    <w:rPr>
                      <w:rFonts w:hint="eastAsia"/>
                      <w:color w:val="auto"/>
                      <w:szCs w:val="21"/>
                    </w:rPr>
                    <w:t>Vx</w:t>
                  </w:r>
                </w:p>
                <w:p w14:paraId="30A3D2CD">
                  <w:pPr>
                    <w:spacing w:line="276" w:lineRule="auto"/>
                    <w:jc w:val="left"/>
                    <w:rPr>
                      <w:color w:val="auto"/>
                      <w:szCs w:val="21"/>
                    </w:rPr>
                  </w:pPr>
                  <w:r>
                    <w:rPr>
                      <w:rFonts w:hint="eastAsia"/>
                      <w:color w:val="auto"/>
                      <w:szCs w:val="21"/>
                    </w:rPr>
                    <w:t>L—排风量，m</w:t>
                  </w:r>
                  <w:r>
                    <w:rPr>
                      <w:rFonts w:hint="eastAsia"/>
                      <w:color w:val="auto"/>
                      <w:szCs w:val="21"/>
                      <w:vertAlign w:val="superscript"/>
                    </w:rPr>
                    <w:t>3</w:t>
                  </w:r>
                  <w:r>
                    <w:rPr>
                      <w:rFonts w:hint="eastAsia"/>
                      <w:color w:val="auto"/>
                      <w:szCs w:val="21"/>
                    </w:rPr>
                    <w:t>/h；</w:t>
                  </w:r>
                </w:p>
                <w:p w14:paraId="4EED6765">
                  <w:pPr>
                    <w:spacing w:line="276" w:lineRule="auto"/>
                    <w:jc w:val="left"/>
                    <w:rPr>
                      <w:color w:val="auto"/>
                      <w:szCs w:val="21"/>
                    </w:rPr>
                  </w:pPr>
                  <w:r>
                    <w:rPr>
                      <w:rFonts w:hint="eastAsia"/>
                      <w:color w:val="auto"/>
                      <w:szCs w:val="21"/>
                    </w:rPr>
                    <w:t>X—集气罩距离污染产生源的距离（取0.5m）；</w:t>
                  </w:r>
                </w:p>
                <w:p w14:paraId="2D402968">
                  <w:pPr>
                    <w:spacing w:line="276" w:lineRule="auto"/>
                    <w:jc w:val="left"/>
                    <w:rPr>
                      <w:color w:val="auto"/>
                      <w:szCs w:val="21"/>
                    </w:rPr>
                  </w:pPr>
                  <w:r>
                    <w:rPr>
                      <w:rFonts w:hint="eastAsia"/>
                      <w:color w:val="auto"/>
                      <w:szCs w:val="21"/>
                    </w:rPr>
                    <w:t>F—集气罩面积；</w:t>
                  </w:r>
                </w:p>
                <w:p w14:paraId="45D57FC7">
                  <w:pPr>
                    <w:spacing w:line="276" w:lineRule="auto"/>
                    <w:jc w:val="left"/>
                    <w:rPr>
                      <w:color w:val="auto"/>
                      <w:szCs w:val="21"/>
                    </w:rPr>
                  </w:pPr>
                  <w:r>
                    <w:rPr>
                      <w:rFonts w:hint="eastAsia"/>
                      <w:color w:val="auto"/>
                      <w:szCs w:val="21"/>
                    </w:rPr>
                    <w:t>Vx—控制风速（取0.3m/s）</w:t>
                  </w:r>
                </w:p>
              </w:tc>
              <w:tc>
                <w:tcPr>
                  <w:tcW w:w="0" w:type="auto"/>
                  <w:vAlign w:val="center"/>
                </w:tcPr>
                <w:p w14:paraId="76BC9567">
                  <w:pPr>
                    <w:spacing w:line="276" w:lineRule="auto"/>
                    <w:jc w:val="center"/>
                    <w:rPr>
                      <w:color w:val="auto"/>
                      <w:szCs w:val="21"/>
                    </w:rPr>
                  </w:pPr>
                  <w:r>
                    <w:rPr>
                      <w:rFonts w:hint="eastAsia"/>
                      <w:color w:val="auto"/>
                      <w:szCs w:val="21"/>
                    </w:rPr>
                    <w:t>2430m</w:t>
                  </w:r>
                  <w:r>
                    <w:rPr>
                      <w:rFonts w:hint="eastAsia"/>
                      <w:color w:val="auto"/>
                      <w:szCs w:val="21"/>
                      <w:vertAlign w:val="superscript"/>
                    </w:rPr>
                    <w:t>3</w:t>
                  </w:r>
                  <w:r>
                    <w:rPr>
                      <w:rFonts w:hint="eastAsia"/>
                      <w:color w:val="auto"/>
                      <w:szCs w:val="21"/>
                    </w:rPr>
                    <w:t>/h</w:t>
                  </w:r>
                </w:p>
              </w:tc>
              <w:tc>
                <w:tcPr>
                  <w:tcW w:w="0" w:type="auto"/>
                  <w:vAlign w:val="center"/>
                </w:tcPr>
                <w:p w14:paraId="698E3FE4">
                  <w:pPr>
                    <w:spacing w:line="276" w:lineRule="auto"/>
                    <w:jc w:val="center"/>
                    <w:rPr>
                      <w:color w:val="auto"/>
                      <w:szCs w:val="21"/>
                    </w:rPr>
                  </w:pPr>
                  <w:r>
                    <w:rPr>
                      <w:rFonts w:hint="eastAsia"/>
                      <w:color w:val="auto"/>
                      <w:szCs w:val="21"/>
                    </w:rPr>
                    <w:t>3000m</w:t>
                  </w:r>
                  <w:r>
                    <w:rPr>
                      <w:rFonts w:hint="eastAsia"/>
                      <w:color w:val="auto"/>
                      <w:szCs w:val="21"/>
                      <w:vertAlign w:val="superscript"/>
                    </w:rPr>
                    <w:t>3</w:t>
                  </w:r>
                  <w:r>
                    <w:rPr>
                      <w:rFonts w:hint="eastAsia"/>
                      <w:color w:val="auto"/>
                      <w:szCs w:val="21"/>
                    </w:rPr>
                    <w:t>/h</w:t>
                  </w:r>
                </w:p>
              </w:tc>
            </w:tr>
            <w:tr w14:paraId="12E1171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8"/>
                  <w:vAlign w:val="center"/>
                </w:tcPr>
                <w:p w14:paraId="08FA1442">
                  <w:pPr>
                    <w:spacing w:line="276" w:lineRule="auto"/>
                    <w:rPr>
                      <w:b/>
                      <w:color w:val="auto"/>
                      <w:szCs w:val="21"/>
                      <w:highlight w:val="yellow"/>
                    </w:rPr>
                  </w:pPr>
                  <w:r>
                    <w:rPr>
                      <w:rFonts w:hint="eastAsia"/>
                      <w:b/>
                      <w:color w:val="auto"/>
                      <w:szCs w:val="21"/>
                    </w:rPr>
                    <w:t>注：设计风量考虑风机风量20%损耗量。</w:t>
                  </w:r>
                </w:p>
              </w:tc>
            </w:tr>
          </w:tbl>
          <w:p w14:paraId="4B03239F">
            <w:pPr>
              <w:spacing w:line="360" w:lineRule="auto"/>
              <w:ind w:firstLine="480" w:firstLineChars="200"/>
              <w:jc w:val="left"/>
              <w:rPr>
                <w:color w:val="auto"/>
                <w:sz w:val="24"/>
              </w:rPr>
            </w:pPr>
            <w:r>
              <w:rPr>
                <w:rFonts w:hint="eastAsia"/>
                <w:color w:val="auto"/>
                <w:sz w:val="24"/>
              </w:rPr>
              <w:t>综上所述，本项目废气源强核算及污染治理措施汇总具体见下表。</w:t>
            </w:r>
          </w:p>
          <w:p w14:paraId="2D9B8C6F">
            <w:pPr>
              <w:spacing w:line="360" w:lineRule="auto"/>
              <w:jc w:val="center"/>
              <w:rPr>
                <w:rFonts w:hAnsi="黑体" w:eastAsia="黑体"/>
                <w:color w:val="auto"/>
                <w:sz w:val="24"/>
                <w:szCs w:val="24"/>
              </w:rPr>
            </w:pPr>
          </w:p>
          <w:p w14:paraId="52B32100">
            <w:pPr>
              <w:spacing w:line="360" w:lineRule="auto"/>
              <w:jc w:val="center"/>
              <w:rPr>
                <w:rFonts w:hAnsi="黑体" w:eastAsia="黑体"/>
                <w:color w:val="auto"/>
                <w:sz w:val="24"/>
                <w:szCs w:val="24"/>
              </w:rPr>
            </w:pPr>
          </w:p>
          <w:p w14:paraId="2CA2D3A1">
            <w:pPr>
              <w:spacing w:line="360" w:lineRule="auto"/>
              <w:jc w:val="center"/>
              <w:rPr>
                <w:rFonts w:hAnsi="黑体" w:eastAsia="黑体"/>
                <w:color w:val="auto"/>
                <w:sz w:val="24"/>
                <w:szCs w:val="24"/>
              </w:rPr>
            </w:pPr>
          </w:p>
          <w:p w14:paraId="55A61C39">
            <w:pPr>
              <w:spacing w:line="360" w:lineRule="auto"/>
              <w:jc w:val="center"/>
              <w:rPr>
                <w:rFonts w:hAnsi="黑体" w:eastAsia="黑体"/>
                <w:color w:val="auto"/>
                <w:sz w:val="24"/>
                <w:szCs w:val="24"/>
              </w:rPr>
            </w:pPr>
          </w:p>
          <w:p w14:paraId="03A94E12">
            <w:pPr>
              <w:spacing w:line="360" w:lineRule="auto"/>
              <w:jc w:val="center"/>
              <w:rPr>
                <w:rFonts w:eastAsia="黑体"/>
                <w:color w:val="auto"/>
                <w:sz w:val="24"/>
                <w:szCs w:val="24"/>
              </w:rPr>
            </w:pPr>
            <w:r>
              <w:rPr>
                <w:rFonts w:hAnsi="黑体" w:eastAsia="黑体"/>
                <w:color w:val="auto"/>
                <w:sz w:val="24"/>
                <w:szCs w:val="24"/>
              </w:rPr>
              <w:t>表</w:t>
            </w:r>
            <w:r>
              <w:rPr>
                <w:rFonts w:hint="eastAsia" w:hAnsi="黑体" w:eastAsia="黑体"/>
                <w:color w:val="auto"/>
                <w:sz w:val="24"/>
                <w:szCs w:val="24"/>
              </w:rPr>
              <w:t>40</w:t>
            </w:r>
            <w:r>
              <w:rPr>
                <w:rFonts w:hAnsi="黑体" w:eastAsia="黑体"/>
                <w:color w:val="auto"/>
                <w:sz w:val="24"/>
                <w:szCs w:val="24"/>
              </w:rPr>
              <w:t xml:space="preserve">  废气源强及污染治理措施一览表</w:t>
            </w:r>
          </w:p>
          <w:tbl>
            <w:tblPr>
              <w:tblStyle w:val="35"/>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65"/>
              <w:gridCol w:w="665"/>
              <w:gridCol w:w="743"/>
              <w:gridCol w:w="689"/>
              <w:gridCol w:w="825"/>
              <w:gridCol w:w="825"/>
              <w:gridCol w:w="638"/>
              <w:gridCol w:w="3095"/>
            </w:tblGrid>
            <w:tr w14:paraId="333CA93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Merge w:val="restart"/>
                  <w:vAlign w:val="center"/>
                </w:tcPr>
                <w:p w14:paraId="3E0F3BAF">
                  <w:pPr>
                    <w:spacing w:line="276" w:lineRule="auto"/>
                    <w:jc w:val="center"/>
                    <w:rPr>
                      <w:b/>
                      <w:color w:val="auto"/>
                      <w:szCs w:val="21"/>
                    </w:rPr>
                  </w:pPr>
                  <w:r>
                    <w:rPr>
                      <w:rFonts w:hint="eastAsia"/>
                      <w:b/>
                      <w:color w:val="auto"/>
                      <w:szCs w:val="21"/>
                    </w:rPr>
                    <w:t>生产车间</w:t>
                  </w:r>
                </w:p>
              </w:tc>
              <w:tc>
                <w:tcPr>
                  <w:tcW w:w="672" w:type="dxa"/>
                  <w:vMerge w:val="restart"/>
                  <w:vAlign w:val="center"/>
                </w:tcPr>
                <w:p w14:paraId="1E41767F">
                  <w:pPr>
                    <w:spacing w:line="276" w:lineRule="auto"/>
                    <w:jc w:val="center"/>
                    <w:rPr>
                      <w:b/>
                      <w:color w:val="auto"/>
                      <w:szCs w:val="21"/>
                    </w:rPr>
                  </w:pPr>
                  <w:r>
                    <w:rPr>
                      <w:rFonts w:hint="eastAsia"/>
                      <w:b/>
                      <w:color w:val="auto"/>
                      <w:szCs w:val="21"/>
                    </w:rPr>
                    <w:t>产生工序</w:t>
                  </w:r>
                </w:p>
              </w:tc>
              <w:tc>
                <w:tcPr>
                  <w:tcW w:w="1336" w:type="dxa"/>
                  <w:gridSpan w:val="2"/>
                  <w:vAlign w:val="center"/>
                </w:tcPr>
                <w:p w14:paraId="1C8EAF35">
                  <w:pPr>
                    <w:spacing w:line="276" w:lineRule="auto"/>
                    <w:jc w:val="center"/>
                    <w:rPr>
                      <w:b/>
                      <w:color w:val="auto"/>
                      <w:szCs w:val="21"/>
                    </w:rPr>
                  </w:pPr>
                  <w:r>
                    <w:rPr>
                      <w:rFonts w:hint="eastAsia"/>
                      <w:b/>
                      <w:color w:val="auto"/>
                      <w:szCs w:val="21"/>
                    </w:rPr>
                    <w:t>源强</w:t>
                  </w:r>
                </w:p>
              </w:tc>
              <w:tc>
                <w:tcPr>
                  <w:tcW w:w="836" w:type="dxa"/>
                  <w:vAlign w:val="center"/>
                </w:tcPr>
                <w:p w14:paraId="5CAE0AD7">
                  <w:pPr>
                    <w:spacing w:line="276" w:lineRule="auto"/>
                    <w:jc w:val="center"/>
                    <w:rPr>
                      <w:b/>
                      <w:color w:val="auto"/>
                      <w:szCs w:val="21"/>
                    </w:rPr>
                  </w:pPr>
                  <w:r>
                    <w:rPr>
                      <w:rFonts w:hint="eastAsia"/>
                      <w:b/>
                      <w:color w:val="auto"/>
                      <w:szCs w:val="21"/>
                    </w:rPr>
                    <w:t>废气收集效率</w:t>
                  </w:r>
                </w:p>
              </w:tc>
              <w:tc>
                <w:tcPr>
                  <w:tcW w:w="836" w:type="dxa"/>
                  <w:vAlign w:val="center"/>
                </w:tcPr>
                <w:p w14:paraId="6D8A962C">
                  <w:pPr>
                    <w:spacing w:line="276" w:lineRule="auto"/>
                    <w:jc w:val="center"/>
                    <w:rPr>
                      <w:b/>
                      <w:color w:val="auto"/>
                      <w:szCs w:val="21"/>
                    </w:rPr>
                  </w:pPr>
                  <w:r>
                    <w:rPr>
                      <w:rFonts w:hint="eastAsia"/>
                      <w:b/>
                      <w:color w:val="auto"/>
                      <w:szCs w:val="21"/>
                    </w:rPr>
                    <w:t>废气处理效率</w:t>
                  </w:r>
                </w:p>
              </w:tc>
              <w:tc>
                <w:tcPr>
                  <w:tcW w:w="637" w:type="dxa"/>
                  <w:vAlign w:val="center"/>
                </w:tcPr>
                <w:p w14:paraId="040137C4">
                  <w:pPr>
                    <w:spacing w:line="276" w:lineRule="auto"/>
                    <w:jc w:val="center"/>
                    <w:rPr>
                      <w:b/>
                      <w:color w:val="auto"/>
                      <w:szCs w:val="21"/>
                    </w:rPr>
                  </w:pPr>
                  <w:r>
                    <w:rPr>
                      <w:rFonts w:hint="eastAsia"/>
                      <w:b/>
                      <w:color w:val="auto"/>
                      <w:szCs w:val="21"/>
                    </w:rPr>
                    <w:t>风量</w:t>
                  </w:r>
                </w:p>
              </w:tc>
              <w:tc>
                <w:tcPr>
                  <w:tcW w:w="3156" w:type="dxa"/>
                  <w:vMerge w:val="restart"/>
                  <w:vAlign w:val="center"/>
                </w:tcPr>
                <w:p w14:paraId="770C1BD6">
                  <w:pPr>
                    <w:spacing w:line="276" w:lineRule="auto"/>
                    <w:jc w:val="center"/>
                    <w:rPr>
                      <w:b/>
                      <w:color w:val="auto"/>
                      <w:szCs w:val="21"/>
                    </w:rPr>
                  </w:pPr>
                  <w:r>
                    <w:rPr>
                      <w:rFonts w:hint="eastAsia"/>
                      <w:b/>
                      <w:color w:val="auto"/>
                      <w:szCs w:val="21"/>
                    </w:rPr>
                    <w:t>处理措施</w:t>
                  </w:r>
                </w:p>
              </w:tc>
            </w:tr>
            <w:tr w14:paraId="3C3C1B3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Merge w:val="continue"/>
                  <w:vAlign w:val="center"/>
                </w:tcPr>
                <w:p w14:paraId="157017E3">
                  <w:pPr>
                    <w:spacing w:line="276" w:lineRule="auto"/>
                    <w:jc w:val="center"/>
                    <w:rPr>
                      <w:b/>
                      <w:color w:val="auto"/>
                      <w:szCs w:val="21"/>
                    </w:rPr>
                  </w:pPr>
                </w:p>
              </w:tc>
              <w:tc>
                <w:tcPr>
                  <w:tcW w:w="672" w:type="dxa"/>
                  <w:vMerge w:val="continue"/>
                  <w:vAlign w:val="center"/>
                </w:tcPr>
                <w:p w14:paraId="6FDCC46D">
                  <w:pPr>
                    <w:spacing w:line="276" w:lineRule="auto"/>
                    <w:jc w:val="center"/>
                    <w:rPr>
                      <w:b/>
                      <w:color w:val="auto"/>
                      <w:szCs w:val="21"/>
                    </w:rPr>
                  </w:pPr>
                </w:p>
              </w:tc>
              <w:tc>
                <w:tcPr>
                  <w:tcW w:w="1336" w:type="dxa"/>
                  <w:gridSpan w:val="2"/>
                  <w:vAlign w:val="center"/>
                </w:tcPr>
                <w:p w14:paraId="1E4C8045">
                  <w:pPr>
                    <w:spacing w:line="276" w:lineRule="auto"/>
                    <w:jc w:val="center"/>
                    <w:rPr>
                      <w:b/>
                      <w:color w:val="auto"/>
                      <w:szCs w:val="21"/>
                    </w:rPr>
                  </w:pPr>
                  <w:r>
                    <w:rPr>
                      <w:rFonts w:hint="eastAsia"/>
                      <w:b/>
                      <w:color w:val="auto"/>
                      <w:szCs w:val="21"/>
                    </w:rPr>
                    <w:t>t/a</w:t>
                  </w:r>
                </w:p>
              </w:tc>
              <w:tc>
                <w:tcPr>
                  <w:tcW w:w="836" w:type="dxa"/>
                  <w:vAlign w:val="center"/>
                </w:tcPr>
                <w:p w14:paraId="47DD6F06">
                  <w:pPr>
                    <w:spacing w:line="276" w:lineRule="auto"/>
                    <w:jc w:val="center"/>
                    <w:rPr>
                      <w:b/>
                      <w:color w:val="auto"/>
                      <w:szCs w:val="21"/>
                    </w:rPr>
                  </w:pPr>
                  <w:r>
                    <w:rPr>
                      <w:rFonts w:hint="eastAsia"/>
                      <w:b/>
                      <w:color w:val="auto"/>
                      <w:szCs w:val="21"/>
                    </w:rPr>
                    <w:t>%</w:t>
                  </w:r>
                </w:p>
              </w:tc>
              <w:tc>
                <w:tcPr>
                  <w:tcW w:w="836" w:type="dxa"/>
                  <w:vAlign w:val="center"/>
                </w:tcPr>
                <w:p w14:paraId="5D23483D">
                  <w:pPr>
                    <w:spacing w:line="276" w:lineRule="auto"/>
                    <w:jc w:val="center"/>
                    <w:rPr>
                      <w:b/>
                      <w:color w:val="auto"/>
                      <w:szCs w:val="21"/>
                    </w:rPr>
                  </w:pPr>
                  <w:r>
                    <w:rPr>
                      <w:rFonts w:hint="eastAsia"/>
                      <w:b/>
                      <w:color w:val="auto"/>
                      <w:szCs w:val="21"/>
                    </w:rPr>
                    <w:t>%</w:t>
                  </w:r>
                </w:p>
              </w:tc>
              <w:tc>
                <w:tcPr>
                  <w:tcW w:w="637" w:type="dxa"/>
                  <w:vAlign w:val="center"/>
                </w:tcPr>
                <w:p w14:paraId="6C7ECC95">
                  <w:pPr>
                    <w:spacing w:line="276" w:lineRule="auto"/>
                    <w:jc w:val="center"/>
                    <w:rPr>
                      <w:b/>
                      <w:color w:val="auto"/>
                      <w:szCs w:val="21"/>
                    </w:rPr>
                  </w:pPr>
                  <w:r>
                    <w:rPr>
                      <w:b/>
                      <w:color w:val="auto"/>
                      <w:szCs w:val="21"/>
                    </w:rPr>
                    <w:t>m</w:t>
                  </w:r>
                  <w:r>
                    <w:rPr>
                      <w:rFonts w:hint="eastAsia"/>
                      <w:b/>
                      <w:color w:val="auto"/>
                      <w:szCs w:val="21"/>
                      <w:vertAlign w:val="superscript"/>
                    </w:rPr>
                    <w:t>3</w:t>
                  </w:r>
                  <w:r>
                    <w:rPr>
                      <w:rFonts w:hint="eastAsia"/>
                      <w:b/>
                      <w:color w:val="auto"/>
                      <w:szCs w:val="21"/>
                    </w:rPr>
                    <w:t>/h</w:t>
                  </w:r>
                </w:p>
              </w:tc>
              <w:tc>
                <w:tcPr>
                  <w:tcW w:w="3156" w:type="dxa"/>
                  <w:vMerge w:val="continue"/>
                  <w:vAlign w:val="center"/>
                </w:tcPr>
                <w:p w14:paraId="0C749A2F">
                  <w:pPr>
                    <w:spacing w:line="276" w:lineRule="auto"/>
                    <w:jc w:val="center"/>
                    <w:rPr>
                      <w:color w:val="auto"/>
                      <w:szCs w:val="21"/>
                    </w:rPr>
                  </w:pPr>
                </w:p>
              </w:tc>
            </w:tr>
            <w:tr w14:paraId="5B9F7A3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2820CFC9">
                  <w:pPr>
                    <w:spacing w:line="276" w:lineRule="auto"/>
                    <w:jc w:val="center"/>
                    <w:rPr>
                      <w:color w:val="auto"/>
                      <w:szCs w:val="21"/>
                    </w:rPr>
                  </w:pPr>
                  <w:bookmarkStart w:id="9" w:name="_Hlk134030387"/>
                  <w:r>
                    <w:rPr>
                      <w:color w:val="auto"/>
                      <w:szCs w:val="21"/>
                    </w:rPr>
                    <w:t>一车间</w:t>
                  </w:r>
                </w:p>
              </w:tc>
              <w:tc>
                <w:tcPr>
                  <w:tcW w:w="672" w:type="dxa"/>
                  <w:vAlign w:val="center"/>
                </w:tcPr>
                <w:p w14:paraId="397E9731">
                  <w:pPr>
                    <w:spacing w:line="276" w:lineRule="auto"/>
                    <w:jc w:val="center"/>
                    <w:rPr>
                      <w:color w:val="auto"/>
                      <w:szCs w:val="21"/>
                    </w:rPr>
                  </w:pPr>
                  <w:r>
                    <w:rPr>
                      <w:color w:val="auto"/>
                      <w:szCs w:val="21"/>
                    </w:rPr>
                    <w:t>喷涂</w:t>
                  </w:r>
                </w:p>
              </w:tc>
              <w:tc>
                <w:tcPr>
                  <w:tcW w:w="752" w:type="dxa"/>
                  <w:vAlign w:val="center"/>
                </w:tcPr>
                <w:p w14:paraId="2A626E14">
                  <w:pPr>
                    <w:spacing w:line="276" w:lineRule="auto"/>
                    <w:jc w:val="center"/>
                    <w:rPr>
                      <w:color w:val="auto"/>
                      <w:szCs w:val="21"/>
                    </w:rPr>
                  </w:pPr>
                  <w:r>
                    <w:rPr>
                      <w:rFonts w:hint="eastAsia"/>
                      <w:color w:val="auto"/>
                      <w:szCs w:val="21"/>
                    </w:rPr>
                    <w:t>非甲烷总烃</w:t>
                  </w:r>
                </w:p>
              </w:tc>
              <w:tc>
                <w:tcPr>
                  <w:tcW w:w="584" w:type="dxa"/>
                  <w:vAlign w:val="center"/>
                </w:tcPr>
                <w:p w14:paraId="66C11751">
                  <w:pPr>
                    <w:spacing w:line="276" w:lineRule="auto"/>
                    <w:jc w:val="center"/>
                    <w:rPr>
                      <w:color w:val="auto"/>
                      <w:szCs w:val="21"/>
                    </w:rPr>
                  </w:pPr>
                  <w:r>
                    <w:rPr>
                      <w:rFonts w:hint="eastAsia"/>
                      <w:color w:val="auto"/>
                      <w:szCs w:val="21"/>
                    </w:rPr>
                    <w:t>4.725</w:t>
                  </w:r>
                </w:p>
              </w:tc>
              <w:tc>
                <w:tcPr>
                  <w:tcW w:w="836" w:type="dxa"/>
                  <w:vAlign w:val="center"/>
                </w:tcPr>
                <w:p w14:paraId="5BEC7B9A">
                  <w:pPr>
                    <w:spacing w:line="276" w:lineRule="auto"/>
                    <w:jc w:val="center"/>
                    <w:rPr>
                      <w:color w:val="auto"/>
                      <w:szCs w:val="21"/>
                    </w:rPr>
                  </w:pPr>
                  <w:r>
                    <w:rPr>
                      <w:rFonts w:hint="eastAsia"/>
                      <w:color w:val="auto"/>
                      <w:szCs w:val="21"/>
                    </w:rPr>
                    <w:t>90</w:t>
                  </w:r>
                </w:p>
              </w:tc>
              <w:tc>
                <w:tcPr>
                  <w:tcW w:w="836" w:type="dxa"/>
                  <w:vAlign w:val="center"/>
                </w:tcPr>
                <w:p w14:paraId="7F3E3D66">
                  <w:pPr>
                    <w:spacing w:line="276" w:lineRule="auto"/>
                    <w:jc w:val="center"/>
                    <w:rPr>
                      <w:color w:val="auto"/>
                      <w:szCs w:val="21"/>
                    </w:rPr>
                  </w:pPr>
                  <w:r>
                    <w:rPr>
                      <w:rFonts w:hint="eastAsia"/>
                      <w:color w:val="auto"/>
                      <w:szCs w:val="21"/>
                    </w:rPr>
                    <w:t>90</w:t>
                  </w:r>
                </w:p>
              </w:tc>
              <w:tc>
                <w:tcPr>
                  <w:tcW w:w="637" w:type="dxa"/>
                  <w:vAlign w:val="center"/>
                </w:tcPr>
                <w:p w14:paraId="75156A69">
                  <w:pPr>
                    <w:spacing w:line="276" w:lineRule="auto"/>
                    <w:jc w:val="center"/>
                    <w:rPr>
                      <w:color w:val="auto"/>
                      <w:szCs w:val="21"/>
                    </w:rPr>
                  </w:pPr>
                  <w:r>
                    <w:rPr>
                      <w:rFonts w:hint="eastAsia"/>
                      <w:color w:val="auto"/>
                      <w:szCs w:val="21"/>
                    </w:rPr>
                    <w:t>3000</w:t>
                  </w:r>
                </w:p>
              </w:tc>
              <w:tc>
                <w:tcPr>
                  <w:tcW w:w="3156" w:type="dxa"/>
                  <w:vAlign w:val="center"/>
                </w:tcPr>
                <w:p w14:paraId="740FBA25">
                  <w:pPr>
                    <w:spacing w:line="276" w:lineRule="auto"/>
                    <w:jc w:val="center"/>
                    <w:rPr>
                      <w:color w:val="auto"/>
                      <w:szCs w:val="21"/>
                    </w:rPr>
                  </w:pPr>
                  <w:r>
                    <w:rPr>
                      <w:rFonts w:hint="eastAsia"/>
                      <w:color w:val="auto"/>
                      <w:szCs w:val="21"/>
                    </w:rPr>
                    <w:t>经集气罩收集，通过两级活性炭吸附装置处理达标后由D</w:t>
                  </w:r>
                  <w:r>
                    <w:rPr>
                      <w:color w:val="auto"/>
                      <w:szCs w:val="21"/>
                    </w:rPr>
                    <w:t>A0</w:t>
                  </w:r>
                  <w:r>
                    <w:rPr>
                      <w:rFonts w:hint="eastAsia"/>
                      <w:color w:val="auto"/>
                      <w:szCs w:val="21"/>
                    </w:rPr>
                    <w:t>10</w:t>
                  </w:r>
                  <w:r>
                    <w:rPr>
                      <w:color w:val="auto"/>
                      <w:szCs w:val="21"/>
                    </w:rPr>
                    <w:t>排气筒</w:t>
                  </w:r>
                  <w:r>
                    <w:rPr>
                      <w:rFonts w:hint="eastAsia"/>
                      <w:color w:val="auto"/>
                      <w:szCs w:val="21"/>
                    </w:rPr>
                    <w:t>排放</w:t>
                  </w:r>
                </w:p>
              </w:tc>
            </w:tr>
            <w:tr w14:paraId="4D2077E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39128709">
                  <w:pPr>
                    <w:spacing w:line="276" w:lineRule="auto"/>
                    <w:jc w:val="center"/>
                    <w:rPr>
                      <w:color w:val="auto"/>
                      <w:szCs w:val="21"/>
                    </w:rPr>
                  </w:pPr>
                  <w:r>
                    <w:rPr>
                      <w:rFonts w:hint="eastAsia"/>
                      <w:color w:val="auto"/>
                      <w:szCs w:val="21"/>
                    </w:rPr>
                    <w:t>三车间</w:t>
                  </w:r>
                </w:p>
              </w:tc>
              <w:tc>
                <w:tcPr>
                  <w:tcW w:w="672" w:type="dxa"/>
                  <w:vAlign w:val="center"/>
                </w:tcPr>
                <w:p w14:paraId="0360F5CF">
                  <w:pPr>
                    <w:spacing w:line="276" w:lineRule="auto"/>
                    <w:jc w:val="center"/>
                    <w:rPr>
                      <w:color w:val="auto"/>
                      <w:szCs w:val="21"/>
                    </w:rPr>
                  </w:pPr>
                  <w:r>
                    <w:rPr>
                      <w:rFonts w:hint="eastAsia"/>
                      <w:color w:val="auto"/>
                      <w:szCs w:val="21"/>
                    </w:rPr>
                    <w:t>喷涂</w:t>
                  </w:r>
                </w:p>
              </w:tc>
              <w:tc>
                <w:tcPr>
                  <w:tcW w:w="752" w:type="dxa"/>
                  <w:vAlign w:val="center"/>
                </w:tcPr>
                <w:p w14:paraId="376CD789">
                  <w:pPr>
                    <w:spacing w:line="276" w:lineRule="auto"/>
                    <w:jc w:val="center"/>
                    <w:rPr>
                      <w:color w:val="auto"/>
                      <w:szCs w:val="21"/>
                    </w:rPr>
                  </w:pPr>
                  <w:r>
                    <w:rPr>
                      <w:rFonts w:hint="eastAsia"/>
                      <w:color w:val="auto"/>
                      <w:szCs w:val="21"/>
                    </w:rPr>
                    <w:t>非甲烷总烃</w:t>
                  </w:r>
                </w:p>
              </w:tc>
              <w:tc>
                <w:tcPr>
                  <w:tcW w:w="584" w:type="dxa"/>
                  <w:vAlign w:val="center"/>
                </w:tcPr>
                <w:p w14:paraId="4EEFA5D4">
                  <w:pPr>
                    <w:spacing w:line="276" w:lineRule="auto"/>
                    <w:jc w:val="center"/>
                    <w:rPr>
                      <w:color w:val="auto"/>
                      <w:szCs w:val="21"/>
                    </w:rPr>
                  </w:pPr>
                  <w:r>
                    <w:rPr>
                      <w:rFonts w:hint="eastAsia"/>
                      <w:color w:val="auto"/>
                      <w:szCs w:val="21"/>
                    </w:rPr>
                    <w:t>4.725</w:t>
                  </w:r>
                </w:p>
              </w:tc>
              <w:tc>
                <w:tcPr>
                  <w:tcW w:w="836" w:type="dxa"/>
                  <w:vAlign w:val="center"/>
                </w:tcPr>
                <w:p w14:paraId="213C8907">
                  <w:pPr>
                    <w:spacing w:line="276" w:lineRule="auto"/>
                    <w:jc w:val="center"/>
                    <w:rPr>
                      <w:color w:val="auto"/>
                      <w:szCs w:val="21"/>
                    </w:rPr>
                  </w:pPr>
                  <w:r>
                    <w:rPr>
                      <w:rFonts w:hint="eastAsia"/>
                      <w:color w:val="auto"/>
                      <w:szCs w:val="21"/>
                    </w:rPr>
                    <w:t>90</w:t>
                  </w:r>
                </w:p>
              </w:tc>
              <w:tc>
                <w:tcPr>
                  <w:tcW w:w="836" w:type="dxa"/>
                  <w:vAlign w:val="center"/>
                </w:tcPr>
                <w:p w14:paraId="0344B143">
                  <w:pPr>
                    <w:spacing w:line="276" w:lineRule="auto"/>
                    <w:jc w:val="center"/>
                    <w:rPr>
                      <w:color w:val="auto"/>
                      <w:szCs w:val="21"/>
                    </w:rPr>
                  </w:pPr>
                  <w:r>
                    <w:rPr>
                      <w:rFonts w:hint="eastAsia"/>
                      <w:color w:val="auto"/>
                      <w:szCs w:val="21"/>
                    </w:rPr>
                    <w:t>90</w:t>
                  </w:r>
                </w:p>
              </w:tc>
              <w:tc>
                <w:tcPr>
                  <w:tcW w:w="637" w:type="dxa"/>
                  <w:vAlign w:val="center"/>
                </w:tcPr>
                <w:p w14:paraId="7628C598">
                  <w:pPr>
                    <w:spacing w:line="276" w:lineRule="auto"/>
                    <w:jc w:val="center"/>
                    <w:rPr>
                      <w:color w:val="auto"/>
                      <w:szCs w:val="21"/>
                    </w:rPr>
                  </w:pPr>
                  <w:r>
                    <w:rPr>
                      <w:rFonts w:hint="eastAsia"/>
                      <w:color w:val="auto"/>
                      <w:szCs w:val="21"/>
                    </w:rPr>
                    <w:t>3000</w:t>
                  </w:r>
                </w:p>
              </w:tc>
              <w:tc>
                <w:tcPr>
                  <w:tcW w:w="3156" w:type="dxa"/>
                  <w:vAlign w:val="center"/>
                </w:tcPr>
                <w:p w14:paraId="7BF89D2A">
                  <w:pPr>
                    <w:spacing w:line="276" w:lineRule="auto"/>
                    <w:jc w:val="center"/>
                    <w:rPr>
                      <w:color w:val="auto"/>
                      <w:szCs w:val="21"/>
                    </w:rPr>
                  </w:pPr>
                  <w:r>
                    <w:rPr>
                      <w:rFonts w:hint="eastAsia"/>
                      <w:color w:val="auto"/>
                      <w:szCs w:val="21"/>
                    </w:rPr>
                    <w:t>经集气罩收集，通过两级活性炭吸附装置处理达标后由D</w:t>
                  </w:r>
                  <w:r>
                    <w:rPr>
                      <w:color w:val="auto"/>
                      <w:szCs w:val="21"/>
                    </w:rPr>
                    <w:t>A0</w:t>
                  </w:r>
                  <w:r>
                    <w:rPr>
                      <w:rFonts w:hint="eastAsia"/>
                      <w:color w:val="auto"/>
                      <w:szCs w:val="21"/>
                    </w:rPr>
                    <w:t>09</w:t>
                  </w:r>
                  <w:r>
                    <w:rPr>
                      <w:color w:val="auto"/>
                      <w:szCs w:val="21"/>
                    </w:rPr>
                    <w:t>排气筒</w:t>
                  </w:r>
                  <w:r>
                    <w:rPr>
                      <w:rFonts w:hint="eastAsia"/>
                      <w:color w:val="auto"/>
                      <w:szCs w:val="21"/>
                    </w:rPr>
                    <w:t>排放</w:t>
                  </w:r>
                </w:p>
              </w:tc>
            </w:tr>
            <w:bookmarkEnd w:id="9"/>
          </w:tbl>
          <w:p w14:paraId="3F8C267D">
            <w:pPr>
              <w:spacing w:line="360" w:lineRule="auto"/>
              <w:ind w:firstLine="422" w:firstLineChars="200"/>
              <w:jc w:val="left"/>
              <w:rPr>
                <w:rFonts w:hAnsi="宋体"/>
                <w:b/>
                <w:color w:val="auto"/>
                <w:szCs w:val="21"/>
              </w:rPr>
            </w:pPr>
          </w:p>
          <w:p w14:paraId="319EA5CB">
            <w:pPr>
              <w:spacing w:line="360" w:lineRule="auto"/>
              <w:ind w:firstLine="422" w:firstLineChars="200"/>
              <w:jc w:val="left"/>
              <w:rPr>
                <w:rFonts w:hAnsi="宋体"/>
                <w:b/>
                <w:color w:val="auto"/>
                <w:szCs w:val="21"/>
              </w:rPr>
            </w:pPr>
          </w:p>
          <w:p w14:paraId="67C381AE">
            <w:pPr>
              <w:spacing w:line="360" w:lineRule="auto"/>
              <w:ind w:firstLine="422" w:firstLineChars="200"/>
              <w:jc w:val="left"/>
              <w:rPr>
                <w:rFonts w:hAnsi="宋体"/>
                <w:b/>
                <w:color w:val="auto"/>
                <w:szCs w:val="21"/>
              </w:rPr>
            </w:pPr>
          </w:p>
          <w:p w14:paraId="0B041A69">
            <w:pPr>
              <w:spacing w:line="360" w:lineRule="auto"/>
              <w:ind w:firstLine="422" w:firstLineChars="200"/>
              <w:jc w:val="left"/>
              <w:rPr>
                <w:rFonts w:hAnsi="宋体"/>
                <w:b/>
                <w:color w:val="auto"/>
                <w:szCs w:val="21"/>
              </w:rPr>
            </w:pPr>
          </w:p>
          <w:p w14:paraId="18CC5C3D">
            <w:pPr>
              <w:spacing w:line="360" w:lineRule="auto"/>
              <w:ind w:firstLine="422" w:firstLineChars="200"/>
              <w:jc w:val="left"/>
              <w:rPr>
                <w:rFonts w:hAnsi="宋体"/>
                <w:b/>
                <w:color w:val="auto"/>
                <w:szCs w:val="21"/>
              </w:rPr>
            </w:pPr>
          </w:p>
          <w:p w14:paraId="7F69E2F5">
            <w:pPr>
              <w:spacing w:line="360" w:lineRule="auto"/>
              <w:ind w:firstLine="422" w:firstLineChars="200"/>
              <w:jc w:val="left"/>
              <w:rPr>
                <w:rFonts w:hAnsi="宋体"/>
                <w:b/>
                <w:color w:val="auto"/>
                <w:szCs w:val="21"/>
              </w:rPr>
            </w:pPr>
          </w:p>
          <w:p w14:paraId="06CE2252">
            <w:pPr>
              <w:spacing w:line="360" w:lineRule="auto"/>
              <w:ind w:firstLine="422" w:firstLineChars="200"/>
              <w:jc w:val="left"/>
              <w:rPr>
                <w:rFonts w:hAnsi="宋体"/>
                <w:b/>
                <w:color w:val="auto"/>
                <w:szCs w:val="21"/>
              </w:rPr>
            </w:pPr>
          </w:p>
          <w:p w14:paraId="393E0E32">
            <w:pPr>
              <w:spacing w:line="360" w:lineRule="auto"/>
              <w:ind w:firstLine="422" w:firstLineChars="200"/>
              <w:jc w:val="left"/>
              <w:rPr>
                <w:rFonts w:hAnsi="宋体"/>
                <w:b/>
                <w:color w:val="auto"/>
                <w:szCs w:val="21"/>
              </w:rPr>
            </w:pPr>
          </w:p>
          <w:p w14:paraId="329F37D0">
            <w:pPr>
              <w:spacing w:line="360" w:lineRule="auto"/>
              <w:ind w:firstLine="422" w:firstLineChars="200"/>
              <w:jc w:val="left"/>
              <w:rPr>
                <w:rFonts w:hAnsi="宋体"/>
                <w:b/>
                <w:color w:val="auto"/>
                <w:szCs w:val="21"/>
              </w:rPr>
            </w:pPr>
          </w:p>
          <w:p w14:paraId="1CA347F2">
            <w:pPr>
              <w:spacing w:line="360" w:lineRule="auto"/>
              <w:ind w:firstLine="422" w:firstLineChars="200"/>
              <w:jc w:val="left"/>
              <w:rPr>
                <w:rFonts w:hAnsi="宋体"/>
                <w:b/>
                <w:color w:val="auto"/>
                <w:szCs w:val="21"/>
              </w:rPr>
            </w:pPr>
          </w:p>
          <w:p w14:paraId="126ECC71">
            <w:pPr>
              <w:spacing w:line="360" w:lineRule="auto"/>
              <w:ind w:firstLine="422" w:firstLineChars="200"/>
              <w:jc w:val="left"/>
              <w:rPr>
                <w:rFonts w:hAnsi="宋体"/>
                <w:b/>
                <w:color w:val="auto"/>
                <w:szCs w:val="21"/>
              </w:rPr>
            </w:pPr>
          </w:p>
          <w:p w14:paraId="2D7620A4">
            <w:pPr>
              <w:spacing w:line="360" w:lineRule="auto"/>
              <w:ind w:firstLine="422" w:firstLineChars="200"/>
              <w:jc w:val="left"/>
              <w:rPr>
                <w:rFonts w:hAnsi="宋体"/>
                <w:b/>
                <w:color w:val="auto"/>
                <w:szCs w:val="21"/>
              </w:rPr>
            </w:pPr>
          </w:p>
          <w:p w14:paraId="6E353B31">
            <w:pPr>
              <w:spacing w:line="360" w:lineRule="auto"/>
              <w:ind w:firstLine="422" w:firstLineChars="200"/>
              <w:jc w:val="left"/>
              <w:rPr>
                <w:rFonts w:hAnsi="宋体"/>
                <w:b/>
                <w:color w:val="auto"/>
                <w:szCs w:val="21"/>
              </w:rPr>
            </w:pPr>
          </w:p>
          <w:p w14:paraId="3980D591">
            <w:pPr>
              <w:spacing w:line="360" w:lineRule="auto"/>
              <w:ind w:firstLine="422" w:firstLineChars="200"/>
              <w:jc w:val="left"/>
              <w:rPr>
                <w:rFonts w:hAnsi="宋体"/>
                <w:b/>
                <w:color w:val="auto"/>
                <w:szCs w:val="21"/>
              </w:rPr>
            </w:pPr>
          </w:p>
          <w:p w14:paraId="38741C90">
            <w:pPr>
              <w:spacing w:line="360" w:lineRule="auto"/>
              <w:ind w:firstLine="422" w:firstLineChars="200"/>
              <w:jc w:val="left"/>
              <w:rPr>
                <w:rFonts w:hAnsi="宋体"/>
                <w:b/>
                <w:color w:val="auto"/>
                <w:szCs w:val="21"/>
              </w:rPr>
            </w:pPr>
          </w:p>
          <w:p w14:paraId="546F648A">
            <w:pPr>
              <w:spacing w:line="360" w:lineRule="auto"/>
              <w:ind w:firstLine="422" w:firstLineChars="200"/>
              <w:jc w:val="left"/>
              <w:rPr>
                <w:rFonts w:hAnsi="宋体"/>
                <w:b/>
                <w:color w:val="auto"/>
                <w:szCs w:val="21"/>
              </w:rPr>
            </w:pPr>
          </w:p>
          <w:p w14:paraId="03E55F35">
            <w:pPr>
              <w:spacing w:line="360" w:lineRule="auto"/>
              <w:ind w:firstLine="422" w:firstLineChars="200"/>
              <w:jc w:val="left"/>
              <w:rPr>
                <w:rFonts w:hAnsi="宋体"/>
                <w:b/>
                <w:color w:val="auto"/>
                <w:szCs w:val="21"/>
              </w:rPr>
            </w:pPr>
          </w:p>
          <w:p w14:paraId="7D4B6912">
            <w:pPr>
              <w:spacing w:line="360" w:lineRule="auto"/>
              <w:ind w:firstLine="422" w:firstLineChars="200"/>
              <w:jc w:val="left"/>
              <w:rPr>
                <w:rFonts w:hAnsi="宋体"/>
                <w:b/>
                <w:color w:val="auto"/>
                <w:szCs w:val="21"/>
              </w:rPr>
            </w:pPr>
          </w:p>
          <w:p w14:paraId="644FF818">
            <w:pPr>
              <w:spacing w:line="360" w:lineRule="auto"/>
              <w:ind w:firstLine="422" w:firstLineChars="200"/>
              <w:jc w:val="left"/>
              <w:rPr>
                <w:rFonts w:hAnsi="宋体"/>
                <w:b/>
                <w:color w:val="auto"/>
                <w:szCs w:val="21"/>
              </w:rPr>
            </w:pPr>
          </w:p>
          <w:p w14:paraId="327DAFA9">
            <w:pPr>
              <w:spacing w:line="360" w:lineRule="auto"/>
              <w:jc w:val="left"/>
              <w:rPr>
                <w:rFonts w:hAnsi="宋体"/>
                <w:b/>
                <w:color w:val="auto"/>
                <w:szCs w:val="21"/>
              </w:rPr>
            </w:pPr>
          </w:p>
        </w:tc>
      </w:tr>
    </w:tbl>
    <w:p w14:paraId="1845D375">
      <w:pPr>
        <w:widowControl/>
        <w:spacing w:line="360" w:lineRule="auto"/>
        <w:jc w:val="center"/>
        <w:rPr>
          <w:rFonts w:hAnsi="宋体"/>
          <w:color w:val="auto"/>
          <w:kern w:val="0"/>
          <w:sz w:val="24"/>
        </w:rPr>
        <w:sectPr>
          <w:pgSz w:w="11906" w:h="16838"/>
          <w:pgMar w:top="1440" w:right="1508" w:bottom="1440" w:left="1797" w:header="851" w:footer="992" w:gutter="0"/>
          <w:cols w:space="720" w:num="1"/>
          <w:docGrid w:type="lines" w:linePitch="312" w:charSpace="0"/>
        </w:sectPr>
      </w:pPr>
      <w:bookmarkStart w:id="10" w:name="_Toc354926677"/>
    </w:p>
    <w:tbl>
      <w:tblPr>
        <w:tblStyle w:val="34"/>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6"/>
        <w:gridCol w:w="13718"/>
      </w:tblGrid>
      <w:tr w14:paraId="711BD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5" w:hRule="atLeast"/>
        </w:trPr>
        <w:tc>
          <w:tcPr>
            <w:tcW w:w="161" w:type="pct"/>
            <w:vAlign w:val="center"/>
          </w:tcPr>
          <w:p w14:paraId="0D165E51">
            <w:pPr>
              <w:widowControl/>
              <w:spacing w:line="360" w:lineRule="auto"/>
              <w:jc w:val="center"/>
              <w:rPr>
                <w:rFonts w:hAnsi="宋体"/>
                <w:color w:val="auto"/>
                <w:kern w:val="0"/>
                <w:sz w:val="24"/>
              </w:rPr>
            </w:pPr>
            <w:r>
              <w:rPr>
                <w:rFonts w:hint="eastAsia" w:hAnsi="宋体"/>
                <w:color w:val="auto"/>
                <w:kern w:val="0"/>
                <w:sz w:val="24"/>
              </w:rPr>
              <w:t>运营期环境影响和保护措施</w:t>
            </w:r>
          </w:p>
        </w:tc>
        <w:tc>
          <w:tcPr>
            <w:tcW w:w="4839" w:type="pct"/>
            <w:vAlign w:val="center"/>
          </w:tcPr>
          <w:p w14:paraId="0CD6D7F2">
            <w:pPr>
              <w:spacing w:line="360" w:lineRule="auto"/>
              <w:ind w:firstLine="480" w:firstLineChars="200"/>
              <w:jc w:val="left"/>
              <w:rPr>
                <w:bCs/>
                <w:color w:val="auto"/>
                <w:sz w:val="24"/>
                <w:szCs w:val="28"/>
              </w:rPr>
            </w:pPr>
            <w:r>
              <w:rPr>
                <w:bCs/>
                <w:color w:val="auto"/>
                <w:sz w:val="24"/>
                <w:szCs w:val="28"/>
              </w:rPr>
              <w:t>本次改建项目废气产生及</w:t>
            </w:r>
            <w:r>
              <w:rPr>
                <w:rFonts w:hint="eastAsia" w:hAnsi="宋体"/>
                <w:color w:val="auto"/>
                <w:sz w:val="24"/>
              </w:rPr>
              <w:t>排放情况汇总表如下表所示：</w:t>
            </w:r>
          </w:p>
          <w:p w14:paraId="3872B1FB">
            <w:pPr>
              <w:pStyle w:val="219"/>
              <w:jc w:val="center"/>
              <w:rPr>
                <w:rFonts w:eastAsia="黑体" w:cs="Times New Roman"/>
                <w:bCs/>
                <w:color w:val="auto"/>
                <w:szCs w:val="21"/>
              </w:rPr>
            </w:pPr>
            <w:r>
              <w:rPr>
                <w:rFonts w:hAnsi="黑体" w:eastAsia="黑体" w:cs="Times New Roman"/>
                <w:color w:val="auto"/>
              </w:rPr>
              <w:t>表</w:t>
            </w:r>
            <w:r>
              <w:rPr>
                <w:rFonts w:hint="eastAsia" w:eastAsia="黑体" w:cs="Times New Roman"/>
                <w:color w:val="auto"/>
              </w:rPr>
              <w:t>45</w:t>
            </w:r>
            <w:r>
              <w:rPr>
                <w:rFonts w:eastAsia="黑体" w:cs="Times New Roman"/>
                <w:color w:val="auto"/>
              </w:rPr>
              <w:t xml:space="preserve">  </w:t>
            </w:r>
            <w:r>
              <w:rPr>
                <w:rFonts w:hAnsi="黑体" w:eastAsia="黑体" w:cs="Times New Roman"/>
                <w:color w:val="auto"/>
              </w:rPr>
              <w:t>项目有组织废气产生及排放源强一览表</w:t>
            </w:r>
          </w:p>
          <w:tbl>
            <w:tblPr>
              <w:tblStyle w:val="34"/>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885"/>
              <w:gridCol w:w="663"/>
              <w:gridCol w:w="703"/>
              <w:gridCol w:w="708"/>
              <w:gridCol w:w="849"/>
              <w:gridCol w:w="645"/>
              <w:gridCol w:w="1105"/>
              <w:gridCol w:w="654"/>
              <w:gridCol w:w="654"/>
              <w:gridCol w:w="896"/>
              <w:gridCol w:w="689"/>
              <w:gridCol w:w="814"/>
              <w:gridCol w:w="524"/>
              <w:gridCol w:w="664"/>
              <w:gridCol w:w="637"/>
              <w:gridCol w:w="550"/>
              <w:gridCol w:w="550"/>
              <w:gridCol w:w="487"/>
            </w:tblGrid>
            <w:tr w14:paraId="268FC2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5" w:type="dxa"/>
                  <w:vMerge w:val="restart"/>
                  <w:vAlign w:val="center"/>
                </w:tcPr>
                <w:p w14:paraId="391A70A5">
                  <w:pPr>
                    <w:wordWrap w:val="0"/>
                    <w:spacing w:line="276" w:lineRule="auto"/>
                    <w:jc w:val="center"/>
                    <w:rPr>
                      <w:b/>
                      <w:color w:val="auto"/>
                      <w:szCs w:val="21"/>
                    </w:rPr>
                  </w:pPr>
                  <w:r>
                    <w:rPr>
                      <w:rFonts w:hint="eastAsia" w:hAnsi="宋体"/>
                      <w:b/>
                      <w:color w:val="auto"/>
                      <w:szCs w:val="21"/>
                    </w:rPr>
                    <w:t>产污环节</w:t>
                  </w:r>
                </w:p>
              </w:tc>
              <w:tc>
                <w:tcPr>
                  <w:tcW w:w="885" w:type="dxa"/>
                  <w:vMerge w:val="restart"/>
                  <w:vAlign w:val="center"/>
                </w:tcPr>
                <w:p w14:paraId="7293B417">
                  <w:pPr>
                    <w:wordWrap w:val="0"/>
                    <w:spacing w:line="276" w:lineRule="auto"/>
                    <w:jc w:val="center"/>
                    <w:rPr>
                      <w:b/>
                      <w:color w:val="auto"/>
                      <w:szCs w:val="21"/>
                    </w:rPr>
                  </w:pPr>
                  <w:r>
                    <w:rPr>
                      <w:rFonts w:hint="eastAsia" w:hAnsi="宋体"/>
                      <w:b/>
                      <w:color w:val="auto"/>
                      <w:szCs w:val="21"/>
                    </w:rPr>
                    <w:t>污染物种类</w:t>
                  </w:r>
                </w:p>
              </w:tc>
              <w:tc>
                <w:tcPr>
                  <w:tcW w:w="2937" w:type="dxa"/>
                  <w:gridSpan w:val="4"/>
                  <w:vAlign w:val="center"/>
                </w:tcPr>
                <w:p w14:paraId="29F7776A">
                  <w:pPr>
                    <w:wordWrap w:val="0"/>
                    <w:spacing w:line="276" w:lineRule="auto"/>
                    <w:jc w:val="center"/>
                    <w:rPr>
                      <w:b/>
                      <w:color w:val="auto"/>
                      <w:szCs w:val="21"/>
                    </w:rPr>
                  </w:pPr>
                  <w:r>
                    <w:rPr>
                      <w:rFonts w:hint="eastAsia"/>
                      <w:b/>
                      <w:color w:val="auto"/>
                      <w:szCs w:val="21"/>
                    </w:rPr>
                    <w:t>污染物产生情况</w:t>
                  </w:r>
                </w:p>
              </w:tc>
              <w:tc>
                <w:tcPr>
                  <w:tcW w:w="3078" w:type="dxa"/>
                  <w:gridSpan w:val="4"/>
                  <w:vAlign w:val="center"/>
                </w:tcPr>
                <w:p w14:paraId="6A3154F3">
                  <w:pPr>
                    <w:wordWrap w:val="0"/>
                    <w:spacing w:line="276" w:lineRule="auto"/>
                    <w:jc w:val="center"/>
                    <w:rPr>
                      <w:b/>
                      <w:color w:val="auto"/>
                      <w:szCs w:val="21"/>
                    </w:rPr>
                  </w:pPr>
                  <w:r>
                    <w:rPr>
                      <w:rFonts w:hint="eastAsia"/>
                      <w:b/>
                      <w:color w:val="auto"/>
                      <w:szCs w:val="21"/>
                    </w:rPr>
                    <w:t>收集及治理设施</w:t>
                  </w:r>
                </w:p>
              </w:tc>
              <w:tc>
                <w:tcPr>
                  <w:tcW w:w="0" w:type="auto"/>
                  <w:gridSpan w:val="3"/>
                  <w:vAlign w:val="center"/>
                </w:tcPr>
                <w:p w14:paraId="77666D6C">
                  <w:pPr>
                    <w:wordWrap w:val="0"/>
                    <w:spacing w:line="276" w:lineRule="auto"/>
                    <w:jc w:val="center"/>
                    <w:rPr>
                      <w:b/>
                      <w:color w:val="auto"/>
                      <w:szCs w:val="21"/>
                    </w:rPr>
                  </w:pPr>
                  <w:r>
                    <w:rPr>
                      <w:rFonts w:hint="eastAsia"/>
                      <w:b/>
                      <w:color w:val="auto"/>
                      <w:szCs w:val="21"/>
                    </w:rPr>
                    <w:t>污染物排放情况</w:t>
                  </w:r>
                </w:p>
              </w:tc>
              <w:tc>
                <w:tcPr>
                  <w:tcW w:w="0" w:type="auto"/>
                  <w:gridSpan w:val="2"/>
                  <w:vAlign w:val="center"/>
                </w:tcPr>
                <w:p w14:paraId="4028B2A1">
                  <w:pPr>
                    <w:wordWrap w:val="0"/>
                    <w:spacing w:line="276" w:lineRule="auto"/>
                    <w:jc w:val="center"/>
                    <w:rPr>
                      <w:b/>
                      <w:color w:val="auto"/>
                      <w:szCs w:val="21"/>
                    </w:rPr>
                  </w:pPr>
                  <w:r>
                    <w:rPr>
                      <w:rFonts w:hint="eastAsia"/>
                      <w:b/>
                      <w:color w:val="auto"/>
                      <w:szCs w:val="21"/>
                    </w:rPr>
                    <w:t>排放标准</w:t>
                  </w:r>
                </w:p>
              </w:tc>
              <w:tc>
                <w:tcPr>
                  <w:tcW w:w="0" w:type="auto"/>
                  <w:vAlign w:val="center"/>
                </w:tcPr>
                <w:p w14:paraId="6E508A40">
                  <w:pPr>
                    <w:wordWrap w:val="0"/>
                    <w:spacing w:line="276" w:lineRule="auto"/>
                    <w:jc w:val="center"/>
                    <w:rPr>
                      <w:b/>
                      <w:color w:val="auto"/>
                      <w:szCs w:val="21"/>
                    </w:rPr>
                  </w:pPr>
                  <w:r>
                    <w:rPr>
                      <w:rFonts w:hint="eastAsia"/>
                      <w:b/>
                      <w:color w:val="auto"/>
                      <w:szCs w:val="21"/>
                    </w:rPr>
                    <w:t>风量</w:t>
                  </w:r>
                </w:p>
              </w:tc>
              <w:tc>
                <w:tcPr>
                  <w:tcW w:w="0" w:type="auto"/>
                  <w:gridSpan w:val="3"/>
                  <w:vAlign w:val="center"/>
                </w:tcPr>
                <w:p w14:paraId="76507711">
                  <w:pPr>
                    <w:wordWrap w:val="0"/>
                    <w:spacing w:line="276" w:lineRule="auto"/>
                    <w:jc w:val="center"/>
                    <w:rPr>
                      <w:b/>
                      <w:color w:val="auto"/>
                      <w:szCs w:val="21"/>
                    </w:rPr>
                  </w:pPr>
                  <w:r>
                    <w:rPr>
                      <w:rFonts w:hint="eastAsia"/>
                      <w:b/>
                      <w:color w:val="auto"/>
                      <w:szCs w:val="21"/>
                    </w:rPr>
                    <w:t>排气筒</w:t>
                  </w:r>
                </w:p>
              </w:tc>
            </w:tr>
            <w:tr w14:paraId="796FA1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14:paraId="55471F5C">
                  <w:pPr>
                    <w:widowControl/>
                    <w:spacing w:line="276" w:lineRule="auto"/>
                    <w:jc w:val="center"/>
                    <w:rPr>
                      <w:b/>
                      <w:color w:val="auto"/>
                      <w:szCs w:val="21"/>
                    </w:rPr>
                  </w:pPr>
                </w:p>
              </w:tc>
              <w:tc>
                <w:tcPr>
                  <w:tcW w:w="885" w:type="dxa"/>
                  <w:vMerge w:val="continue"/>
                  <w:vAlign w:val="center"/>
                </w:tcPr>
                <w:p w14:paraId="3F316F54">
                  <w:pPr>
                    <w:widowControl/>
                    <w:spacing w:line="276" w:lineRule="auto"/>
                    <w:jc w:val="center"/>
                    <w:rPr>
                      <w:b/>
                      <w:color w:val="auto"/>
                      <w:szCs w:val="21"/>
                    </w:rPr>
                  </w:pPr>
                </w:p>
              </w:tc>
              <w:tc>
                <w:tcPr>
                  <w:tcW w:w="0" w:type="auto"/>
                  <w:vAlign w:val="center"/>
                </w:tcPr>
                <w:p w14:paraId="0A34EBC2">
                  <w:pPr>
                    <w:wordWrap w:val="0"/>
                    <w:spacing w:line="276" w:lineRule="auto"/>
                    <w:jc w:val="center"/>
                    <w:rPr>
                      <w:b/>
                      <w:color w:val="auto"/>
                      <w:szCs w:val="21"/>
                    </w:rPr>
                  </w:pPr>
                  <w:r>
                    <w:rPr>
                      <w:rFonts w:hint="eastAsia"/>
                      <w:b/>
                      <w:color w:val="auto"/>
                      <w:szCs w:val="21"/>
                    </w:rPr>
                    <w:t>核算方法</w:t>
                  </w:r>
                </w:p>
              </w:tc>
              <w:tc>
                <w:tcPr>
                  <w:tcW w:w="703" w:type="dxa"/>
                  <w:vAlign w:val="center"/>
                </w:tcPr>
                <w:p w14:paraId="5FC9356E">
                  <w:pPr>
                    <w:wordWrap w:val="0"/>
                    <w:spacing w:line="276" w:lineRule="auto"/>
                    <w:jc w:val="center"/>
                    <w:rPr>
                      <w:b/>
                      <w:color w:val="auto"/>
                      <w:szCs w:val="21"/>
                    </w:rPr>
                  </w:pPr>
                  <w:r>
                    <w:rPr>
                      <w:rFonts w:hint="eastAsia"/>
                      <w:b/>
                      <w:color w:val="auto"/>
                      <w:szCs w:val="21"/>
                    </w:rPr>
                    <w:t>速率</w:t>
                  </w:r>
                  <w:r>
                    <w:rPr>
                      <w:b/>
                      <w:color w:val="auto"/>
                      <w:szCs w:val="21"/>
                    </w:rPr>
                    <w:t>kg/h</w:t>
                  </w:r>
                </w:p>
              </w:tc>
              <w:tc>
                <w:tcPr>
                  <w:tcW w:w="708" w:type="dxa"/>
                  <w:vAlign w:val="center"/>
                </w:tcPr>
                <w:p w14:paraId="190C067E">
                  <w:pPr>
                    <w:wordWrap w:val="0"/>
                    <w:spacing w:line="276" w:lineRule="auto"/>
                    <w:jc w:val="center"/>
                    <w:rPr>
                      <w:b/>
                      <w:color w:val="auto"/>
                      <w:szCs w:val="21"/>
                    </w:rPr>
                  </w:pPr>
                  <w:r>
                    <w:rPr>
                      <w:rFonts w:hint="eastAsia"/>
                      <w:b/>
                      <w:color w:val="auto"/>
                      <w:szCs w:val="21"/>
                    </w:rPr>
                    <w:t>产生量</w:t>
                  </w:r>
                  <w:r>
                    <w:rPr>
                      <w:b/>
                      <w:color w:val="auto"/>
                      <w:szCs w:val="21"/>
                    </w:rPr>
                    <w:t>t/a</w:t>
                  </w:r>
                </w:p>
              </w:tc>
              <w:tc>
                <w:tcPr>
                  <w:tcW w:w="849" w:type="dxa"/>
                  <w:vAlign w:val="center"/>
                </w:tcPr>
                <w:p w14:paraId="0AE87BAA">
                  <w:pPr>
                    <w:wordWrap w:val="0"/>
                    <w:spacing w:line="276" w:lineRule="auto"/>
                    <w:jc w:val="center"/>
                    <w:rPr>
                      <w:b/>
                      <w:color w:val="auto"/>
                      <w:szCs w:val="21"/>
                    </w:rPr>
                  </w:pPr>
                  <w:r>
                    <w:rPr>
                      <w:rFonts w:hint="eastAsia"/>
                      <w:b/>
                      <w:color w:val="auto"/>
                      <w:szCs w:val="21"/>
                    </w:rPr>
                    <w:t>排放时间（</w:t>
                  </w:r>
                  <w:r>
                    <w:rPr>
                      <w:b/>
                      <w:color w:val="auto"/>
                      <w:szCs w:val="21"/>
                    </w:rPr>
                    <w:t>h</w:t>
                  </w:r>
                  <w:r>
                    <w:rPr>
                      <w:rFonts w:hint="eastAsia"/>
                      <w:b/>
                      <w:color w:val="auto"/>
                      <w:szCs w:val="21"/>
                    </w:rPr>
                    <w:t>/a）</w:t>
                  </w:r>
                </w:p>
              </w:tc>
              <w:tc>
                <w:tcPr>
                  <w:tcW w:w="645" w:type="dxa"/>
                  <w:vAlign w:val="center"/>
                </w:tcPr>
                <w:p w14:paraId="1C426BB6">
                  <w:pPr>
                    <w:wordWrap w:val="0"/>
                    <w:spacing w:line="276" w:lineRule="auto"/>
                    <w:jc w:val="center"/>
                    <w:rPr>
                      <w:b/>
                      <w:color w:val="auto"/>
                      <w:szCs w:val="21"/>
                    </w:rPr>
                  </w:pPr>
                  <w:r>
                    <w:rPr>
                      <w:rFonts w:hint="eastAsia"/>
                      <w:b/>
                      <w:color w:val="auto"/>
                      <w:szCs w:val="21"/>
                    </w:rPr>
                    <w:t>收集措施</w:t>
                  </w:r>
                </w:p>
              </w:tc>
              <w:tc>
                <w:tcPr>
                  <w:tcW w:w="1105" w:type="dxa"/>
                  <w:vAlign w:val="center"/>
                </w:tcPr>
                <w:p w14:paraId="15A76E78">
                  <w:pPr>
                    <w:wordWrap w:val="0"/>
                    <w:spacing w:line="276" w:lineRule="auto"/>
                    <w:jc w:val="center"/>
                    <w:rPr>
                      <w:b/>
                      <w:color w:val="auto"/>
                      <w:szCs w:val="21"/>
                    </w:rPr>
                  </w:pPr>
                  <w:r>
                    <w:rPr>
                      <w:rFonts w:hint="eastAsia"/>
                      <w:b/>
                      <w:color w:val="auto"/>
                      <w:szCs w:val="21"/>
                    </w:rPr>
                    <w:t>治理工艺</w:t>
                  </w:r>
                </w:p>
              </w:tc>
              <w:tc>
                <w:tcPr>
                  <w:tcW w:w="0" w:type="auto"/>
                  <w:vAlign w:val="center"/>
                </w:tcPr>
                <w:p w14:paraId="57901AAB">
                  <w:pPr>
                    <w:wordWrap w:val="0"/>
                    <w:spacing w:line="276" w:lineRule="auto"/>
                    <w:jc w:val="center"/>
                    <w:rPr>
                      <w:b/>
                      <w:color w:val="auto"/>
                      <w:szCs w:val="21"/>
                    </w:rPr>
                  </w:pPr>
                  <w:r>
                    <w:rPr>
                      <w:rFonts w:hint="eastAsia"/>
                      <w:b/>
                      <w:color w:val="auto"/>
                      <w:szCs w:val="21"/>
                    </w:rPr>
                    <w:t>收集效率</w:t>
                  </w:r>
                </w:p>
              </w:tc>
              <w:tc>
                <w:tcPr>
                  <w:tcW w:w="0" w:type="auto"/>
                  <w:vAlign w:val="center"/>
                </w:tcPr>
                <w:p w14:paraId="21837915">
                  <w:pPr>
                    <w:wordWrap w:val="0"/>
                    <w:spacing w:line="276" w:lineRule="auto"/>
                    <w:jc w:val="center"/>
                    <w:rPr>
                      <w:b/>
                      <w:color w:val="auto"/>
                      <w:szCs w:val="21"/>
                    </w:rPr>
                  </w:pPr>
                  <w:r>
                    <w:rPr>
                      <w:rFonts w:hint="eastAsia"/>
                      <w:b/>
                      <w:color w:val="auto"/>
                      <w:szCs w:val="21"/>
                    </w:rPr>
                    <w:t>处理效率</w:t>
                  </w:r>
                </w:p>
              </w:tc>
              <w:tc>
                <w:tcPr>
                  <w:tcW w:w="0" w:type="auto"/>
                  <w:vAlign w:val="center"/>
                </w:tcPr>
                <w:p w14:paraId="0C547C12">
                  <w:pPr>
                    <w:wordWrap w:val="0"/>
                    <w:spacing w:line="276" w:lineRule="auto"/>
                    <w:jc w:val="center"/>
                    <w:rPr>
                      <w:b/>
                      <w:color w:val="auto"/>
                      <w:szCs w:val="21"/>
                    </w:rPr>
                  </w:pPr>
                  <w:r>
                    <w:rPr>
                      <w:rFonts w:hint="eastAsia"/>
                      <w:b/>
                      <w:color w:val="auto"/>
                      <w:szCs w:val="21"/>
                    </w:rPr>
                    <w:t>排放浓度</w:t>
                  </w:r>
                  <w:r>
                    <w:rPr>
                      <w:b/>
                      <w:color w:val="auto"/>
                      <w:szCs w:val="21"/>
                    </w:rPr>
                    <w:t>mg/m</w:t>
                  </w:r>
                  <w:r>
                    <w:rPr>
                      <w:b/>
                      <w:color w:val="auto"/>
                      <w:szCs w:val="21"/>
                      <w:vertAlign w:val="superscript"/>
                    </w:rPr>
                    <w:t>3</w:t>
                  </w:r>
                </w:p>
              </w:tc>
              <w:tc>
                <w:tcPr>
                  <w:tcW w:w="0" w:type="auto"/>
                  <w:vAlign w:val="center"/>
                </w:tcPr>
                <w:p w14:paraId="5C0DC4ED">
                  <w:pPr>
                    <w:wordWrap w:val="0"/>
                    <w:spacing w:line="276" w:lineRule="auto"/>
                    <w:jc w:val="center"/>
                    <w:rPr>
                      <w:b/>
                      <w:color w:val="auto"/>
                      <w:szCs w:val="21"/>
                    </w:rPr>
                  </w:pPr>
                  <w:r>
                    <w:rPr>
                      <w:rFonts w:hint="eastAsia"/>
                      <w:b/>
                      <w:color w:val="auto"/>
                      <w:szCs w:val="21"/>
                    </w:rPr>
                    <w:t>速率</w:t>
                  </w:r>
                </w:p>
                <w:p w14:paraId="489EDDA9">
                  <w:pPr>
                    <w:wordWrap w:val="0"/>
                    <w:spacing w:line="276" w:lineRule="auto"/>
                    <w:jc w:val="center"/>
                    <w:rPr>
                      <w:b/>
                      <w:color w:val="auto"/>
                      <w:szCs w:val="21"/>
                    </w:rPr>
                  </w:pPr>
                  <w:r>
                    <w:rPr>
                      <w:b/>
                      <w:color w:val="auto"/>
                      <w:szCs w:val="21"/>
                    </w:rPr>
                    <w:t>kg/h</w:t>
                  </w:r>
                </w:p>
              </w:tc>
              <w:tc>
                <w:tcPr>
                  <w:tcW w:w="0" w:type="auto"/>
                  <w:vAlign w:val="center"/>
                </w:tcPr>
                <w:p w14:paraId="50BE3296">
                  <w:pPr>
                    <w:wordWrap w:val="0"/>
                    <w:spacing w:line="276" w:lineRule="auto"/>
                    <w:jc w:val="center"/>
                    <w:rPr>
                      <w:b/>
                      <w:color w:val="auto"/>
                      <w:szCs w:val="21"/>
                    </w:rPr>
                  </w:pPr>
                  <w:r>
                    <w:rPr>
                      <w:b/>
                      <w:color w:val="auto"/>
                      <w:szCs w:val="21"/>
                    </w:rPr>
                    <w:t>排放量t/a</w:t>
                  </w:r>
                </w:p>
              </w:tc>
              <w:tc>
                <w:tcPr>
                  <w:tcW w:w="0" w:type="auto"/>
                  <w:vAlign w:val="center"/>
                </w:tcPr>
                <w:p w14:paraId="30A34B9F">
                  <w:pPr>
                    <w:wordWrap w:val="0"/>
                    <w:spacing w:line="276" w:lineRule="auto"/>
                    <w:jc w:val="center"/>
                    <w:rPr>
                      <w:b/>
                      <w:color w:val="auto"/>
                      <w:szCs w:val="21"/>
                    </w:rPr>
                  </w:pPr>
                  <w:r>
                    <w:rPr>
                      <w:rFonts w:hint="eastAsia"/>
                      <w:b/>
                      <w:color w:val="auto"/>
                      <w:szCs w:val="21"/>
                    </w:rPr>
                    <w:t>速率</w:t>
                  </w:r>
                </w:p>
                <w:p w14:paraId="146156BF">
                  <w:pPr>
                    <w:wordWrap w:val="0"/>
                    <w:spacing w:line="276" w:lineRule="auto"/>
                    <w:jc w:val="center"/>
                    <w:rPr>
                      <w:b/>
                      <w:color w:val="auto"/>
                      <w:szCs w:val="21"/>
                    </w:rPr>
                  </w:pPr>
                  <w:r>
                    <w:rPr>
                      <w:b/>
                      <w:color w:val="auto"/>
                      <w:szCs w:val="21"/>
                    </w:rPr>
                    <w:t>kg/h</w:t>
                  </w:r>
                </w:p>
              </w:tc>
              <w:tc>
                <w:tcPr>
                  <w:tcW w:w="0" w:type="auto"/>
                  <w:vAlign w:val="center"/>
                </w:tcPr>
                <w:p w14:paraId="20F7D727">
                  <w:pPr>
                    <w:wordWrap w:val="0"/>
                    <w:spacing w:line="276" w:lineRule="auto"/>
                    <w:jc w:val="center"/>
                    <w:rPr>
                      <w:b/>
                      <w:color w:val="auto"/>
                      <w:szCs w:val="21"/>
                    </w:rPr>
                  </w:pPr>
                  <w:r>
                    <w:rPr>
                      <w:rFonts w:hint="eastAsia"/>
                      <w:b/>
                      <w:color w:val="auto"/>
                      <w:szCs w:val="21"/>
                    </w:rPr>
                    <w:t>浓度</w:t>
                  </w:r>
                  <w:r>
                    <w:rPr>
                      <w:b/>
                      <w:color w:val="auto"/>
                      <w:szCs w:val="21"/>
                    </w:rPr>
                    <w:t>mg/m</w:t>
                  </w:r>
                  <w:r>
                    <w:rPr>
                      <w:b/>
                      <w:color w:val="auto"/>
                      <w:szCs w:val="21"/>
                      <w:vertAlign w:val="superscript"/>
                    </w:rPr>
                    <w:t>3</w:t>
                  </w:r>
                </w:p>
              </w:tc>
              <w:tc>
                <w:tcPr>
                  <w:tcW w:w="0" w:type="auto"/>
                  <w:vAlign w:val="center"/>
                </w:tcPr>
                <w:p w14:paraId="7E99657B">
                  <w:pPr>
                    <w:widowControl/>
                    <w:spacing w:line="276" w:lineRule="auto"/>
                    <w:jc w:val="center"/>
                    <w:rPr>
                      <w:b/>
                      <w:color w:val="auto"/>
                      <w:szCs w:val="21"/>
                    </w:rPr>
                  </w:pPr>
                  <w:r>
                    <w:rPr>
                      <w:b/>
                      <w:color w:val="auto"/>
                      <w:szCs w:val="21"/>
                    </w:rPr>
                    <w:t>m</w:t>
                  </w:r>
                  <w:r>
                    <w:rPr>
                      <w:b/>
                      <w:color w:val="auto"/>
                      <w:szCs w:val="21"/>
                      <w:vertAlign w:val="superscript"/>
                    </w:rPr>
                    <w:t>3</w:t>
                  </w:r>
                  <w:r>
                    <w:rPr>
                      <w:b/>
                      <w:color w:val="auto"/>
                      <w:szCs w:val="21"/>
                    </w:rPr>
                    <w:t>/h</w:t>
                  </w:r>
                </w:p>
              </w:tc>
              <w:tc>
                <w:tcPr>
                  <w:tcW w:w="0" w:type="auto"/>
                  <w:vAlign w:val="center"/>
                </w:tcPr>
                <w:p w14:paraId="473AE56A">
                  <w:pPr>
                    <w:wordWrap w:val="0"/>
                    <w:spacing w:line="276" w:lineRule="auto"/>
                    <w:jc w:val="center"/>
                    <w:rPr>
                      <w:b/>
                      <w:color w:val="auto"/>
                      <w:szCs w:val="21"/>
                    </w:rPr>
                  </w:pPr>
                  <w:r>
                    <w:rPr>
                      <w:rFonts w:hint="eastAsia"/>
                      <w:b/>
                      <w:color w:val="auto"/>
                      <w:szCs w:val="21"/>
                    </w:rPr>
                    <w:t>高度</w:t>
                  </w:r>
                  <w:r>
                    <w:rPr>
                      <w:b/>
                      <w:color w:val="auto"/>
                      <w:szCs w:val="21"/>
                    </w:rPr>
                    <w:t>m</w:t>
                  </w:r>
                </w:p>
              </w:tc>
              <w:tc>
                <w:tcPr>
                  <w:tcW w:w="0" w:type="auto"/>
                  <w:vAlign w:val="center"/>
                </w:tcPr>
                <w:p w14:paraId="49823EAD">
                  <w:pPr>
                    <w:wordWrap w:val="0"/>
                    <w:spacing w:line="276" w:lineRule="auto"/>
                    <w:jc w:val="center"/>
                    <w:rPr>
                      <w:b/>
                      <w:color w:val="auto"/>
                      <w:szCs w:val="21"/>
                    </w:rPr>
                  </w:pPr>
                  <w:r>
                    <w:rPr>
                      <w:rFonts w:hint="eastAsia"/>
                      <w:b/>
                      <w:color w:val="auto"/>
                      <w:szCs w:val="21"/>
                    </w:rPr>
                    <w:t>内径</w:t>
                  </w:r>
                  <w:r>
                    <w:rPr>
                      <w:b/>
                      <w:color w:val="auto"/>
                      <w:szCs w:val="21"/>
                    </w:rPr>
                    <w:t>m</w:t>
                  </w:r>
                </w:p>
              </w:tc>
              <w:tc>
                <w:tcPr>
                  <w:tcW w:w="0" w:type="auto"/>
                  <w:vAlign w:val="center"/>
                </w:tcPr>
                <w:p w14:paraId="04BDE35C">
                  <w:pPr>
                    <w:wordWrap w:val="0"/>
                    <w:spacing w:line="276" w:lineRule="auto"/>
                    <w:jc w:val="center"/>
                    <w:rPr>
                      <w:b/>
                      <w:color w:val="auto"/>
                      <w:szCs w:val="21"/>
                    </w:rPr>
                  </w:pPr>
                  <w:r>
                    <w:rPr>
                      <w:rFonts w:hint="eastAsia"/>
                      <w:b/>
                      <w:color w:val="auto"/>
                      <w:szCs w:val="21"/>
                    </w:rPr>
                    <w:t>温度</w:t>
                  </w:r>
                </w:p>
                <w:p w14:paraId="67CEE79C">
                  <w:pPr>
                    <w:wordWrap w:val="0"/>
                    <w:spacing w:line="276" w:lineRule="auto"/>
                    <w:jc w:val="center"/>
                    <w:rPr>
                      <w:b/>
                      <w:color w:val="auto"/>
                      <w:szCs w:val="21"/>
                    </w:rPr>
                  </w:pPr>
                  <w:r>
                    <w:rPr>
                      <w:b/>
                      <w:color w:val="auto"/>
                      <w:szCs w:val="21"/>
                    </w:rPr>
                    <w:t>℃</w:t>
                  </w:r>
                </w:p>
              </w:tc>
            </w:tr>
            <w:tr w14:paraId="2922FE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5" w:type="dxa"/>
                  <w:vAlign w:val="center"/>
                </w:tcPr>
                <w:p w14:paraId="1AF5DBD4">
                  <w:pPr>
                    <w:wordWrap w:val="0"/>
                    <w:spacing w:line="276" w:lineRule="auto"/>
                    <w:jc w:val="center"/>
                    <w:rPr>
                      <w:color w:val="auto"/>
                      <w:szCs w:val="21"/>
                    </w:rPr>
                  </w:pPr>
                  <w:r>
                    <w:rPr>
                      <w:color w:val="auto"/>
                      <w:szCs w:val="21"/>
                    </w:rPr>
                    <w:t>喷涂工序（一车间）</w:t>
                  </w:r>
                </w:p>
              </w:tc>
              <w:tc>
                <w:tcPr>
                  <w:tcW w:w="885" w:type="dxa"/>
                  <w:vAlign w:val="center"/>
                </w:tcPr>
                <w:p w14:paraId="2D400B2B">
                  <w:pPr>
                    <w:wordWrap w:val="0"/>
                    <w:spacing w:line="276" w:lineRule="auto"/>
                    <w:jc w:val="center"/>
                    <w:rPr>
                      <w:color w:val="auto"/>
                      <w:szCs w:val="21"/>
                    </w:rPr>
                  </w:pPr>
                  <w:r>
                    <w:rPr>
                      <w:color w:val="auto"/>
                      <w:szCs w:val="21"/>
                    </w:rPr>
                    <w:t>非甲烷总烃</w:t>
                  </w:r>
                </w:p>
              </w:tc>
              <w:tc>
                <w:tcPr>
                  <w:tcW w:w="0" w:type="auto"/>
                  <w:vAlign w:val="center"/>
                </w:tcPr>
                <w:p w14:paraId="096790A3">
                  <w:pPr>
                    <w:wordWrap w:val="0"/>
                    <w:spacing w:line="276" w:lineRule="auto"/>
                    <w:jc w:val="center"/>
                    <w:rPr>
                      <w:color w:val="auto"/>
                      <w:szCs w:val="21"/>
                    </w:rPr>
                  </w:pPr>
                  <w:r>
                    <w:rPr>
                      <w:rFonts w:hint="eastAsia"/>
                      <w:color w:val="auto"/>
                      <w:szCs w:val="21"/>
                    </w:rPr>
                    <w:t>产污系数法</w:t>
                  </w:r>
                </w:p>
              </w:tc>
              <w:tc>
                <w:tcPr>
                  <w:tcW w:w="703" w:type="dxa"/>
                  <w:vAlign w:val="center"/>
                </w:tcPr>
                <w:p w14:paraId="1CA364DB">
                  <w:pPr>
                    <w:wordWrap w:val="0"/>
                    <w:spacing w:line="276" w:lineRule="auto"/>
                    <w:jc w:val="center"/>
                    <w:rPr>
                      <w:color w:val="auto"/>
                      <w:szCs w:val="21"/>
                    </w:rPr>
                  </w:pPr>
                  <w:r>
                    <w:rPr>
                      <w:rFonts w:hint="eastAsia"/>
                      <w:color w:val="auto"/>
                      <w:szCs w:val="21"/>
                    </w:rPr>
                    <w:t>0.539</w:t>
                  </w:r>
                </w:p>
              </w:tc>
              <w:tc>
                <w:tcPr>
                  <w:tcW w:w="708" w:type="dxa"/>
                  <w:vAlign w:val="center"/>
                </w:tcPr>
                <w:p w14:paraId="67E5B238">
                  <w:pPr>
                    <w:wordWrap w:val="0"/>
                    <w:spacing w:line="276" w:lineRule="auto"/>
                    <w:jc w:val="center"/>
                    <w:rPr>
                      <w:color w:val="auto"/>
                      <w:szCs w:val="21"/>
                    </w:rPr>
                  </w:pPr>
                  <w:r>
                    <w:rPr>
                      <w:rFonts w:hint="eastAsia"/>
                      <w:color w:val="auto"/>
                      <w:szCs w:val="21"/>
                    </w:rPr>
                    <w:t>4.725</w:t>
                  </w:r>
                </w:p>
              </w:tc>
              <w:tc>
                <w:tcPr>
                  <w:tcW w:w="849" w:type="dxa"/>
                  <w:vAlign w:val="center"/>
                </w:tcPr>
                <w:p w14:paraId="3E9FD648">
                  <w:pPr>
                    <w:wordWrap w:val="0"/>
                    <w:spacing w:line="276" w:lineRule="auto"/>
                    <w:jc w:val="center"/>
                    <w:rPr>
                      <w:color w:val="auto"/>
                      <w:szCs w:val="21"/>
                    </w:rPr>
                  </w:pPr>
                  <w:r>
                    <w:rPr>
                      <w:rFonts w:hint="eastAsia"/>
                      <w:color w:val="auto"/>
                      <w:szCs w:val="21"/>
                    </w:rPr>
                    <w:t>8760</w:t>
                  </w:r>
                </w:p>
              </w:tc>
              <w:tc>
                <w:tcPr>
                  <w:tcW w:w="645" w:type="dxa"/>
                  <w:vAlign w:val="center"/>
                </w:tcPr>
                <w:p w14:paraId="37716E7E">
                  <w:pPr>
                    <w:wordWrap w:val="0"/>
                    <w:spacing w:line="276" w:lineRule="auto"/>
                    <w:jc w:val="center"/>
                    <w:rPr>
                      <w:color w:val="auto"/>
                      <w:szCs w:val="21"/>
                    </w:rPr>
                  </w:pPr>
                  <w:r>
                    <w:rPr>
                      <w:rFonts w:hint="eastAsia"/>
                      <w:color w:val="auto"/>
                      <w:szCs w:val="21"/>
                    </w:rPr>
                    <w:t>集气罩</w:t>
                  </w:r>
                </w:p>
              </w:tc>
              <w:tc>
                <w:tcPr>
                  <w:tcW w:w="1105" w:type="dxa"/>
                  <w:vAlign w:val="center"/>
                </w:tcPr>
                <w:p w14:paraId="0EE4C80C">
                  <w:pPr>
                    <w:widowControl/>
                    <w:spacing w:line="276" w:lineRule="auto"/>
                    <w:jc w:val="center"/>
                    <w:rPr>
                      <w:color w:val="auto"/>
                      <w:szCs w:val="21"/>
                    </w:rPr>
                  </w:pPr>
                  <w:r>
                    <w:rPr>
                      <w:color w:val="auto"/>
                      <w:szCs w:val="21"/>
                    </w:rPr>
                    <w:t>两级活性炭吸附</w:t>
                  </w:r>
                </w:p>
              </w:tc>
              <w:tc>
                <w:tcPr>
                  <w:tcW w:w="0" w:type="auto"/>
                  <w:vAlign w:val="center"/>
                </w:tcPr>
                <w:p w14:paraId="545062B8">
                  <w:pPr>
                    <w:wordWrap w:val="0"/>
                    <w:spacing w:line="276" w:lineRule="auto"/>
                    <w:jc w:val="center"/>
                    <w:rPr>
                      <w:color w:val="auto"/>
                      <w:szCs w:val="21"/>
                    </w:rPr>
                  </w:pPr>
                  <w:r>
                    <w:rPr>
                      <w:rFonts w:hint="eastAsia"/>
                      <w:color w:val="auto"/>
                      <w:szCs w:val="21"/>
                    </w:rPr>
                    <w:t>90</w:t>
                  </w:r>
                  <w:r>
                    <w:rPr>
                      <w:color w:val="auto"/>
                      <w:szCs w:val="21"/>
                    </w:rPr>
                    <w:t>%</w:t>
                  </w:r>
                </w:p>
              </w:tc>
              <w:tc>
                <w:tcPr>
                  <w:tcW w:w="0" w:type="auto"/>
                  <w:vAlign w:val="center"/>
                </w:tcPr>
                <w:p w14:paraId="60DAADAD">
                  <w:pPr>
                    <w:wordWrap w:val="0"/>
                    <w:spacing w:line="276" w:lineRule="auto"/>
                    <w:jc w:val="center"/>
                    <w:rPr>
                      <w:color w:val="auto"/>
                      <w:szCs w:val="21"/>
                    </w:rPr>
                  </w:pPr>
                  <w:r>
                    <w:rPr>
                      <w:rFonts w:hint="eastAsia"/>
                      <w:color w:val="auto"/>
                      <w:szCs w:val="21"/>
                    </w:rPr>
                    <w:t>90%</w:t>
                  </w:r>
                </w:p>
              </w:tc>
              <w:tc>
                <w:tcPr>
                  <w:tcW w:w="0" w:type="auto"/>
                  <w:vAlign w:val="center"/>
                </w:tcPr>
                <w:p w14:paraId="0E7F8F70">
                  <w:pPr>
                    <w:spacing w:line="276" w:lineRule="auto"/>
                    <w:jc w:val="center"/>
                    <w:rPr>
                      <w:color w:val="auto"/>
                      <w:szCs w:val="21"/>
                    </w:rPr>
                  </w:pPr>
                  <w:r>
                    <w:rPr>
                      <w:rFonts w:hint="eastAsia"/>
                      <w:color w:val="auto"/>
                      <w:szCs w:val="21"/>
                    </w:rPr>
                    <w:t>16.3</w:t>
                  </w:r>
                </w:p>
              </w:tc>
              <w:tc>
                <w:tcPr>
                  <w:tcW w:w="0" w:type="auto"/>
                  <w:vAlign w:val="center"/>
                </w:tcPr>
                <w:p w14:paraId="1B978D16">
                  <w:pPr>
                    <w:spacing w:line="276" w:lineRule="auto"/>
                    <w:jc w:val="center"/>
                    <w:rPr>
                      <w:color w:val="auto"/>
                      <w:szCs w:val="21"/>
                    </w:rPr>
                  </w:pPr>
                  <w:r>
                    <w:rPr>
                      <w:rFonts w:hint="eastAsia"/>
                      <w:color w:val="auto"/>
                      <w:szCs w:val="21"/>
                    </w:rPr>
                    <w:t>0.049</w:t>
                  </w:r>
                </w:p>
              </w:tc>
              <w:tc>
                <w:tcPr>
                  <w:tcW w:w="0" w:type="auto"/>
                  <w:vMerge w:val="restart"/>
                  <w:vAlign w:val="center"/>
                </w:tcPr>
                <w:p w14:paraId="3D6BC228">
                  <w:pPr>
                    <w:spacing w:line="276" w:lineRule="auto"/>
                    <w:jc w:val="center"/>
                    <w:rPr>
                      <w:color w:val="auto"/>
                      <w:szCs w:val="21"/>
                    </w:rPr>
                  </w:pPr>
                  <w:r>
                    <w:rPr>
                      <w:rFonts w:hint="eastAsia"/>
                      <w:color w:val="auto"/>
                      <w:szCs w:val="21"/>
                    </w:rPr>
                    <w:t>0.850</w:t>
                  </w:r>
                </w:p>
              </w:tc>
              <w:tc>
                <w:tcPr>
                  <w:tcW w:w="0" w:type="auto"/>
                  <w:vMerge w:val="restart"/>
                  <w:vAlign w:val="center"/>
                </w:tcPr>
                <w:p w14:paraId="393CB140">
                  <w:pPr>
                    <w:widowControl/>
                    <w:spacing w:line="276" w:lineRule="auto"/>
                    <w:jc w:val="center"/>
                    <w:rPr>
                      <w:color w:val="auto"/>
                      <w:szCs w:val="21"/>
                    </w:rPr>
                  </w:pPr>
                  <w:r>
                    <w:rPr>
                      <w:rFonts w:hint="eastAsia"/>
                      <w:color w:val="auto"/>
                      <w:szCs w:val="21"/>
                    </w:rPr>
                    <w:t>3.0</w:t>
                  </w:r>
                </w:p>
              </w:tc>
              <w:tc>
                <w:tcPr>
                  <w:tcW w:w="0" w:type="auto"/>
                  <w:vMerge w:val="restart"/>
                  <w:vAlign w:val="center"/>
                </w:tcPr>
                <w:p w14:paraId="4F9FFC3D">
                  <w:pPr>
                    <w:widowControl/>
                    <w:spacing w:line="276" w:lineRule="auto"/>
                    <w:jc w:val="center"/>
                    <w:rPr>
                      <w:color w:val="auto"/>
                      <w:szCs w:val="21"/>
                    </w:rPr>
                  </w:pPr>
                  <w:r>
                    <w:rPr>
                      <w:rFonts w:hint="eastAsia"/>
                      <w:color w:val="auto"/>
                      <w:szCs w:val="21"/>
                    </w:rPr>
                    <w:t>70</w:t>
                  </w:r>
                </w:p>
              </w:tc>
              <w:tc>
                <w:tcPr>
                  <w:tcW w:w="0" w:type="auto"/>
                  <w:vAlign w:val="center"/>
                </w:tcPr>
                <w:p w14:paraId="36C2637B">
                  <w:pPr>
                    <w:widowControl/>
                    <w:spacing w:line="276" w:lineRule="auto"/>
                    <w:jc w:val="center"/>
                    <w:rPr>
                      <w:color w:val="auto"/>
                      <w:szCs w:val="21"/>
                    </w:rPr>
                  </w:pPr>
                  <w:r>
                    <w:rPr>
                      <w:rFonts w:hint="eastAsia"/>
                      <w:color w:val="auto"/>
                      <w:szCs w:val="21"/>
                    </w:rPr>
                    <w:t>3000</w:t>
                  </w:r>
                </w:p>
              </w:tc>
              <w:tc>
                <w:tcPr>
                  <w:tcW w:w="0" w:type="auto"/>
                  <w:gridSpan w:val="3"/>
                  <w:vAlign w:val="center"/>
                </w:tcPr>
                <w:p w14:paraId="6C8103B8">
                  <w:pPr>
                    <w:wordWrap w:val="0"/>
                    <w:spacing w:line="276" w:lineRule="auto"/>
                    <w:jc w:val="center"/>
                    <w:rPr>
                      <w:color w:val="auto"/>
                      <w:szCs w:val="21"/>
                    </w:rPr>
                  </w:pPr>
                  <w:r>
                    <w:rPr>
                      <w:rFonts w:hint="eastAsia"/>
                      <w:color w:val="auto"/>
                      <w:szCs w:val="21"/>
                    </w:rPr>
                    <w:t>编号：DA010</w:t>
                  </w:r>
                </w:p>
                <w:p w14:paraId="51A29C6F">
                  <w:pPr>
                    <w:wordWrap w:val="0"/>
                    <w:spacing w:line="276" w:lineRule="auto"/>
                    <w:jc w:val="center"/>
                    <w:rPr>
                      <w:color w:val="auto"/>
                      <w:szCs w:val="21"/>
                    </w:rPr>
                  </w:pPr>
                  <w:r>
                    <w:rPr>
                      <w:rFonts w:hint="eastAsia"/>
                      <w:color w:val="auto"/>
                      <w:szCs w:val="21"/>
                    </w:rPr>
                    <w:t>内径：0.3</w:t>
                  </w:r>
                </w:p>
                <w:p w14:paraId="2DBC552F">
                  <w:pPr>
                    <w:wordWrap w:val="0"/>
                    <w:spacing w:line="276" w:lineRule="auto"/>
                    <w:jc w:val="center"/>
                    <w:rPr>
                      <w:color w:val="auto"/>
                      <w:szCs w:val="21"/>
                    </w:rPr>
                  </w:pPr>
                  <w:r>
                    <w:rPr>
                      <w:color w:val="auto"/>
                      <w:szCs w:val="21"/>
                    </w:rPr>
                    <w:t>温度</w:t>
                  </w:r>
                  <w:r>
                    <w:rPr>
                      <w:rFonts w:hint="eastAsia"/>
                      <w:color w:val="auto"/>
                      <w:szCs w:val="21"/>
                    </w:rPr>
                    <w:t>：常温</w:t>
                  </w:r>
                </w:p>
                <w:p w14:paraId="0D9A02DD">
                  <w:pPr>
                    <w:widowControl/>
                    <w:spacing w:line="276" w:lineRule="auto"/>
                    <w:jc w:val="center"/>
                    <w:rPr>
                      <w:color w:val="auto"/>
                      <w:szCs w:val="21"/>
                    </w:rPr>
                  </w:pPr>
                  <w:r>
                    <w:rPr>
                      <w:rFonts w:hint="eastAsia"/>
                      <w:color w:val="auto"/>
                      <w:szCs w:val="21"/>
                    </w:rPr>
                    <w:t>高度：20</w:t>
                  </w:r>
                </w:p>
              </w:tc>
            </w:tr>
            <w:tr w14:paraId="225835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5" w:type="dxa"/>
                  <w:vAlign w:val="center"/>
                </w:tcPr>
                <w:p w14:paraId="56AD8031">
                  <w:pPr>
                    <w:wordWrap w:val="0"/>
                    <w:spacing w:line="276" w:lineRule="auto"/>
                    <w:jc w:val="center"/>
                    <w:rPr>
                      <w:color w:val="auto"/>
                      <w:szCs w:val="21"/>
                    </w:rPr>
                  </w:pPr>
                  <w:r>
                    <w:rPr>
                      <w:color w:val="auto"/>
                      <w:szCs w:val="21"/>
                    </w:rPr>
                    <w:t>喷涂工序（三车间）</w:t>
                  </w:r>
                </w:p>
              </w:tc>
              <w:tc>
                <w:tcPr>
                  <w:tcW w:w="885" w:type="dxa"/>
                  <w:vAlign w:val="center"/>
                </w:tcPr>
                <w:p w14:paraId="7E67A4E0">
                  <w:pPr>
                    <w:wordWrap w:val="0"/>
                    <w:spacing w:line="276" w:lineRule="auto"/>
                    <w:jc w:val="center"/>
                    <w:rPr>
                      <w:color w:val="auto"/>
                      <w:szCs w:val="21"/>
                    </w:rPr>
                  </w:pPr>
                  <w:r>
                    <w:rPr>
                      <w:color w:val="auto"/>
                      <w:szCs w:val="21"/>
                    </w:rPr>
                    <w:t>非甲烷总烃</w:t>
                  </w:r>
                </w:p>
              </w:tc>
              <w:tc>
                <w:tcPr>
                  <w:tcW w:w="0" w:type="auto"/>
                  <w:vAlign w:val="center"/>
                </w:tcPr>
                <w:p w14:paraId="3340A02E">
                  <w:pPr>
                    <w:wordWrap w:val="0"/>
                    <w:spacing w:line="276" w:lineRule="auto"/>
                    <w:jc w:val="center"/>
                    <w:rPr>
                      <w:color w:val="auto"/>
                      <w:szCs w:val="21"/>
                    </w:rPr>
                  </w:pPr>
                  <w:r>
                    <w:rPr>
                      <w:rFonts w:hint="eastAsia"/>
                      <w:color w:val="auto"/>
                      <w:szCs w:val="21"/>
                    </w:rPr>
                    <w:t>产污系数法</w:t>
                  </w:r>
                </w:p>
              </w:tc>
              <w:tc>
                <w:tcPr>
                  <w:tcW w:w="703" w:type="dxa"/>
                  <w:vAlign w:val="center"/>
                </w:tcPr>
                <w:p w14:paraId="5C5A2E53">
                  <w:pPr>
                    <w:wordWrap w:val="0"/>
                    <w:spacing w:line="276" w:lineRule="auto"/>
                    <w:jc w:val="center"/>
                    <w:rPr>
                      <w:color w:val="auto"/>
                      <w:szCs w:val="21"/>
                    </w:rPr>
                  </w:pPr>
                  <w:r>
                    <w:rPr>
                      <w:rFonts w:hint="eastAsia"/>
                      <w:color w:val="auto"/>
                      <w:szCs w:val="21"/>
                    </w:rPr>
                    <w:t>0.539</w:t>
                  </w:r>
                </w:p>
              </w:tc>
              <w:tc>
                <w:tcPr>
                  <w:tcW w:w="708" w:type="dxa"/>
                  <w:vAlign w:val="center"/>
                </w:tcPr>
                <w:p w14:paraId="56F2B9AD">
                  <w:pPr>
                    <w:wordWrap w:val="0"/>
                    <w:spacing w:line="276" w:lineRule="auto"/>
                    <w:jc w:val="center"/>
                    <w:rPr>
                      <w:color w:val="auto"/>
                      <w:szCs w:val="21"/>
                    </w:rPr>
                  </w:pPr>
                  <w:r>
                    <w:rPr>
                      <w:rFonts w:hint="eastAsia"/>
                      <w:color w:val="auto"/>
                      <w:szCs w:val="21"/>
                    </w:rPr>
                    <w:t>4.725</w:t>
                  </w:r>
                </w:p>
              </w:tc>
              <w:tc>
                <w:tcPr>
                  <w:tcW w:w="849" w:type="dxa"/>
                  <w:vAlign w:val="center"/>
                </w:tcPr>
                <w:p w14:paraId="2773EDC6">
                  <w:pPr>
                    <w:wordWrap w:val="0"/>
                    <w:spacing w:line="276" w:lineRule="auto"/>
                    <w:jc w:val="center"/>
                    <w:rPr>
                      <w:color w:val="auto"/>
                      <w:szCs w:val="21"/>
                    </w:rPr>
                  </w:pPr>
                  <w:r>
                    <w:rPr>
                      <w:rFonts w:hint="eastAsia"/>
                      <w:color w:val="auto"/>
                      <w:szCs w:val="21"/>
                    </w:rPr>
                    <w:t>8760</w:t>
                  </w:r>
                </w:p>
              </w:tc>
              <w:tc>
                <w:tcPr>
                  <w:tcW w:w="645" w:type="dxa"/>
                  <w:vAlign w:val="center"/>
                </w:tcPr>
                <w:p w14:paraId="7C39E159">
                  <w:pPr>
                    <w:wordWrap w:val="0"/>
                    <w:spacing w:line="276" w:lineRule="auto"/>
                    <w:jc w:val="center"/>
                    <w:rPr>
                      <w:color w:val="auto"/>
                      <w:szCs w:val="21"/>
                    </w:rPr>
                  </w:pPr>
                  <w:r>
                    <w:rPr>
                      <w:rFonts w:hint="eastAsia"/>
                      <w:color w:val="auto"/>
                      <w:szCs w:val="21"/>
                    </w:rPr>
                    <w:t>集气罩</w:t>
                  </w:r>
                </w:p>
              </w:tc>
              <w:tc>
                <w:tcPr>
                  <w:tcW w:w="1105" w:type="dxa"/>
                  <w:vAlign w:val="center"/>
                </w:tcPr>
                <w:p w14:paraId="6C49DEF2">
                  <w:pPr>
                    <w:spacing w:line="276" w:lineRule="auto"/>
                    <w:jc w:val="center"/>
                    <w:rPr>
                      <w:color w:val="auto"/>
                      <w:szCs w:val="21"/>
                    </w:rPr>
                  </w:pPr>
                  <w:r>
                    <w:rPr>
                      <w:color w:val="auto"/>
                      <w:szCs w:val="21"/>
                    </w:rPr>
                    <w:t>两级活性炭吸附</w:t>
                  </w:r>
                </w:p>
              </w:tc>
              <w:tc>
                <w:tcPr>
                  <w:tcW w:w="0" w:type="auto"/>
                  <w:vAlign w:val="center"/>
                </w:tcPr>
                <w:p w14:paraId="3F735EFA">
                  <w:pPr>
                    <w:wordWrap w:val="0"/>
                    <w:spacing w:line="276" w:lineRule="auto"/>
                    <w:jc w:val="center"/>
                    <w:rPr>
                      <w:color w:val="auto"/>
                      <w:szCs w:val="21"/>
                    </w:rPr>
                  </w:pPr>
                  <w:r>
                    <w:rPr>
                      <w:rFonts w:hint="eastAsia"/>
                      <w:color w:val="auto"/>
                      <w:szCs w:val="21"/>
                    </w:rPr>
                    <w:t>90</w:t>
                  </w:r>
                  <w:r>
                    <w:rPr>
                      <w:color w:val="auto"/>
                      <w:szCs w:val="21"/>
                    </w:rPr>
                    <w:t>%</w:t>
                  </w:r>
                </w:p>
              </w:tc>
              <w:tc>
                <w:tcPr>
                  <w:tcW w:w="0" w:type="auto"/>
                  <w:vAlign w:val="center"/>
                </w:tcPr>
                <w:p w14:paraId="28BAC810">
                  <w:pPr>
                    <w:wordWrap w:val="0"/>
                    <w:spacing w:line="276" w:lineRule="auto"/>
                    <w:jc w:val="center"/>
                    <w:rPr>
                      <w:color w:val="auto"/>
                      <w:szCs w:val="21"/>
                    </w:rPr>
                  </w:pPr>
                  <w:r>
                    <w:rPr>
                      <w:rFonts w:hint="eastAsia"/>
                      <w:color w:val="auto"/>
                      <w:szCs w:val="21"/>
                    </w:rPr>
                    <w:t>90%</w:t>
                  </w:r>
                </w:p>
              </w:tc>
              <w:tc>
                <w:tcPr>
                  <w:tcW w:w="0" w:type="auto"/>
                  <w:vAlign w:val="center"/>
                </w:tcPr>
                <w:p w14:paraId="5C0E7768">
                  <w:pPr>
                    <w:spacing w:line="276" w:lineRule="auto"/>
                    <w:jc w:val="center"/>
                    <w:rPr>
                      <w:color w:val="auto"/>
                      <w:szCs w:val="21"/>
                    </w:rPr>
                  </w:pPr>
                  <w:r>
                    <w:rPr>
                      <w:rFonts w:hint="eastAsia"/>
                      <w:color w:val="auto"/>
                      <w:szCs w:val="21"/>
                    </w:rPr>
                    <w:t>16.3</w:t>
                  </w:r>
                </w:p>
              </w:tc>
              <w:tc>
                <w:tcPr>
                  <w:tcW w:w="0" w:type="auto"/>
                  <w:vAlign w:val="center"/>
                </w:tcPr>
                <w:p w14:paraId="08E26AD4">
                  <w:pPr>
                    <w:spacing w:line="276" w:lineRule="auto"/>
                    <w:jc w:val="center"/>
                    <w:rPr>
                      <w:color w:val="auto"/>
                      <w:szCs w:val="21"/>
                    </w:rPr>
                  </w:pPr>
                  <w:r>
                    <w:rPr>
                      <w:rFonts w:hint="eastAsia"/>
                      <w:color w:val="auto"/>
                      <w:szCs w:val="21"/>
                    </w:rPr>
                    <w:t>0.049</w:t>
                  </w:r>
                </w:p>
              </w:tc>
              <w:tc>
                <w:tcPr>
                  <w:tcW w:w="0" w:type="auto"/>
                  <w:vMerge w:val="continue"/>
                  <w:vAlign w:val="center"/>
                </w:tcPr>
                <w:p w14:paraId="511574D1">
                  <w:pPr>
                    <w:spacing w:line="276" w:lineRule="auto"/>
                    <w:jc w:val="center"/>
                    <w:rPr>
                      <w:color w:val="auto"/>
                      <w:szCs w:val="21"/>
                    </w:rPr>
                  </w:pPr>
                </w:p>
              </w:tc>
              <w:tc>
                <w:tcPr>
                  <w:tcW w:w="0" w:type="auto"/>
                  <w:vMerge w:val="continue"/>
                  <w:vAlign w:val="center"/>
                </w:tcPr>
                <w:p w14:paraId="16D235CE">
                  <w:pPr>
                    <w:spacing w:line="276" w:lineRule="auto"/>
                    <w:jc w:val="center"/>
                    <w:rPr>
                      <w:color w:val="auto"/>
                      <w:szCs w:val="21"/>
                    </w:rPr>
                  </w:pPr>
                </w:p>
              </w:tc>
              <w:tc>
                <w:tcPr>
                  <w:tcW w:w="0" w:type="auto"/>
                  <w:vMerge w:val="continue"/>
                  <w:vAlign w:val="center"/>
                </w:tcPr>
                <w:p w14:paraId="71C36E96">
                  <w:pPr>
                    <w:widowControl/>
                    <w:spacing w:line="276" w:lineRule="auto"/>
                    <w:jc w:val="center"/>
                    <w:rPr>
                      <w:color w:val="auto"/>
                      <w:szCs w:val="21"/>
                    </w:rPr>
                  </w:pPr>
                </w:p>
              </w:tc>
              <w:tc>
                <w:tcPr>
                  <w:tcW w:w="0" w:type="auto"/>
                  <w:vAlign w:val="center"/>
                </w:tcPr>
                <w:p w14:paraId="4D738A8E">
                  <w:pPr>
                    <w:widowControl/>
                    <w:spacing w:line="276" w:lineRule="auto"/>
                    <w:jc w:val="center"/>
                    <w:rPr>
                      <w:color w:val="auto"/>
                      <w:szCs w:val="21"/>
                    </w:rPr>
                  </w:pPr>
                  <w:r>
                    <w:rPr>
                      <w:rFonts w:hint="eastAsia"/>
                      <w:color w:val="auto"/>
                      <w:szCs w:val="21"/>
                    </w:rPr>
                    <w:t>3000</w:t>
                  </w:r>
                </w:p>
              </w:tc>
              <w:tc>
                <w:tcPr>
                  <w:tcW w:w="0" w:type="auto"/>
                  <w:gridSpan w:val="3"/>
                  <w:vAlign w:val="center"/>
                </w:tcPr>
                <w:p w14:paraId="323033C8">
                  <w:pPr>
                    <w:wordWrap w:val="0"/>
                    <w:spacing w:line="276" w:lineRule="auto"/>
                    <w:jc w:val="center"/>
                    <w:rPr>
                      <w:color w:val="auto"/>
                      <w:szCs w:val="21"/>
                    </w:rPr>
                  </w:pPr>
                  <w:r>
                    <w:rPr>
                      <w:rFonts w:hint="eastAsia"/>
                      <w:color w:val="auto"/>
                      <w:szCs w:val="21"/>
                    </w:rPr>
                    <w:t>编号：DA009</w:t>
                  </w:r>
                </w:p>
                <w:p w14:paraId="102103F1">
                  <w:pPr>
                    <w:wordWrap w:val="0"/>
                    <w:spacing w:line="276" w:lineRule="auto"/>
                    <w:jc w:val="center"/>
                    <w:rPr>
                      <w:color w:val="auto"/>
                      <w:szCs w:val="21"/>
                    </w:rPr>
                  </w:pPr>
                  <w:r>
                    <w:rPr>
                      <w:rFonts w:hint="eastAsia"/>
                      <w:color w:val="auto"/>
                      <w:szCs w:val="21"/>
                    </w:rPr>
                    <w:t>内径：1.0</w:t>
                  </w:r>
                </w:p>
                <w:p w14:paraId="0CD3C2CB">
                  <w:pPr>
                    <w:wordWrap w:val="0"/>
                    <w:spacing w:line="276" w:lineRule="auto"/>
                    <w:jc w:val="center"/>
                    <w:rPr>
                      <w:color w:val="auto"/>
                      <w:szCs w:val="21"/>
                    </w:rPr>
                  </w:pPr>
                  <w:r>
                    <w:rPr>
                      <w:color w:val="auto"/>
                      <w:szCs w:val="21"/>
                    </w:rPr>
                    <w:t>温度</w:t>
                  </w:r>
                  <w:r>
                    <w:rPr>
                      <w:rFonts w:hint="eastAsia"/>
                      <w:color w:val="auto"/>
                      <w:szCs w:val="21"/>
                    </w:rPr>
                    <w:t>：常温</w:t>
                  </w:r>
                </w:p>
                <w:p w14:paraId="0D109218">
                  <w:pPr>
                    <w:wordWrap w:val="0"/>
                    <w:spacing w:line="276" w:lineRule="auto"/>
                    <w:jc w:val="center"/>
                    <w:rPr>
                      <w:color w:val="auto"/>
                      <w:szCs w:val="21"/>
                    </w:rPr>
                  </w:pPr>
                  <w:r>
                    <w:rPr>
                      <w:rFonts w:hint="eastAsia"/>
                      <w:color w:val="auto"/>
                      <w:szCs w:val="21"/>
                    </w:rPr>
                    <w:t>高度：45</w:t>
                  </w:r>
                </w:p>
              </w:tc>
            </w:tr>
          </w:tbl>
          <w:p w14:paraId="59FA63D9">
            <w:pPr>
              <w:pStyle w:val="219"/>
              <w:jc w:val="center"/>
              <w:rPr>
                <w:rFonts w:eastAsia="黑体" w:cs="Times New Roman"/>
                <w:color w:val="auto"/>
              </w:rPr>
            </w:pPr>
            <w:r>
              <w:rPr>
                <w:rFonts w:hAnsi="黑体" w:eastAsia="黑体" w:cs="Times New Roman"/>
                <w:color w:val="auto"/>
              </w:rPr>
              <w:t>表</w:t>
            </w:r>
            <w:r>
              <w:rPr>
                <w:rFonts w:hint="eastAsia" w:eastAsia="黑体" w:cs="Times New Roman"/>
                <w:color w:val="auto"/>
              </w:rPr>
              <w:t>41</w:t>
            </w:r>
            <w:r>
              <w:rPr>
                <w:rFonts w:eastAsia="黑体" w:cs="Times New Roman"/>
                <w:color w:val="auto"/>
              </w:rPr>
              <w:t xml:space="preserve">  </w:t>
            </w:r>
            <w:r>
              <w:rPr>
                <w:rFonts w:hAnsi="黑体" w:eastAsia="黑体" w:cs="Times New Roman"/>
                <w:color w:val="auto"/>
              </w:rPr>
              <w:t>项目无组织废气产生及排放源强一览表</w:t>
            </w:r>
          </w:p>
          <w:tbl>
            <w:tblPr>
              <w:tblStyle w:val="3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339"/>
              <w:gridCol w:w="1761"/>
              <w:gridCol w:w="1720"/>
              <w:gridCol w:w="1558"/>
              <w:gridCol w:w="994"/>
              <w:gridCol w:w="1701"/>
              <w:gridCol w:w="1134"/>
              <w:gridCol w:w="2617"/>
            </w:tblGrid>
            <w:tr w14:paraId="7924CF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47" w:type="pct"/>
                  <w:gridSpan w:val="2"/>
                  <w:vMerge w:val="restart"/>
                  <w:vAlign w:val="center"/>
                </w:tcPr>
                <w:p w14:paraId="32B47FB8">
                  <w:pPr>
                    <w:spacing w:line="276" w:lineRule="auto"/>
                    <w:jc w:val="center"/>
                    <w:rPr>
                      <w:b/>
                      <w:color w:val="auto"/>
                      <w:szCs w:val="21"/>
                    </w:rPr>
                  </w:pPr>
                  <w:r>
                    <w:rPr>
                      <w:rFonts w:hint="eastAsia" w:hAnsi="宋体"/>
                      <w:b/>
                      <w:color w:val="auto"/>
                      <w:szCs w:val="21"/>
                    </w:rPr>
                    <w:t>区域</w:t>
                  </w:r>
                </w:p>
              </w:tc>
              <w:tc>
                <w:tcPr>
                  <w:tcW w:w="652" w:type="pct"/>
                  <w:vMerge w:val="restart"/>
                  <w:vAlign w:val="center"/>
                </w:tcPr>
                <w:p w14:paraId="18E33FEB">
                  <w:pPr>
                    <w:spacing w:line="276" w:lineRule="auto"/>
                    <w:jc w:val="center"/>
                    <w:rPr>
                      <w:b/>
                      <w:color w:val="auto"/>
                      <w:szCs w:val="21"/>
                    </w:rPr>
                  </w:pPr>
                  <w:r>
                    <w:rPr>
                      <w:rFonts w:hint="eastAsia" w:hAnsi="宋体"/>
                      <w:b/>
                      <w:color w:val="auto"/>
                      <w:szCs w:val="21"/>
                    </w:rPr>
                    <w:t>污染物种类</w:t>
                  </w:r>
                </w:p>
              </w:tc>
              <w:tc>
                <w:tcPr>
                  <w:tcW w:w="637" w:type="pct"/>
                  <w:vAlign w:val="center"/>
                </w:tcPr>
                <w:p w14:paraId="1602B392">
                  <w:pPr>
                    <w:spacing w:line="276" w:lineRule="auto"/>
                    <w:jc w:val="center"/>
                    <w:rPr>
                      <w:b/>
                      <w:color w:val="auto"/>
                      <w:szCs w:val="21"/>
                    </w:rPr>
                  </w:pPr>
                  <w:r>
                    <w:rPr>
                      <w:rFonts w:hint="eastAsia"/>
                      <w:b/>
                      <w:color w:val="auto"/>
                      <w:szCs w:val="21"/>
                    </w:rPr>
                    <w:t>污染物产生情况</w:t>
                  </w:r>
                </w:p>
              </w:tc>
              <w:tc>
                <w:tcPr>
                  <w:tcW w:w="945" w:type="pct"/>
                  <w:gridSpan w:val="2"/>
                  <w:vAlign w:val="center"/>
                </w:tcPr>
                <w:p w14:paraId="4D6A7758">
                  <w:pPr>
                    <w:spacing w:line="276" w:lineRule="auto"/>
                    <w:jc w:val="center"/>
                    <w:rPr>
                      <w:b/>
                      <w:color w:val="auto"/>
                      <w:szCs w:val="21"/>
                    </w:rPr>
                  </w:pPr>
                  <w:r>
                    <w:rPr>
                      <w:rFonts w:hint="eastAsia"/>
                      <w:b/>
                      <w:color w:val="auto"/>
                      <w:szCs w:val="21"/>
                    </w:rPr>
                    <w:t>收集及治理设施</w:t>
                  </w:r>
                </w:p>
              </w:tc>
              <w:tc>
                <w:tcPr>
                  <w:tcW w:w="630" w:type="pct"/>
                  <w:vAlign w:val="center"/>
                </w:tcPr>
                <w:p w14:paraId="6209C68D">
                  <w:pPr>
                    <w:spacing w:line="276" w:lineRule="auto"/>
                    <w:jc w:val="center"/>
                    <w:rPr>
                      <w:b/>
                      <w:color w:val="auto"/>
                      <w:szCs w:val="21"/>
                    </w:rPr>
                  </w:pPr>
                  <w:r>
                    <w:rPr>
                      <w:rFonts w:hint="eastAsia"/>
                      <w:b/>
                      <w:color w:val="auto"/>
                      <w:szCs w:val="21"/>
                    </w:rPr>
                    <w:t>污染物排放情况</w:t>
                  </w:r>
                </w:p>
              </w:tc>
              <w:tc>
                <w:tcPr>
                  <w:tcW w:w="420" w:type="pct"/>
                  <w:vMerge w:val="restart"/>
                  <w:vAlign w:val="center"/>
                </w:tcPr>
                <w:p w14:paraId="3AC3A6DC">
                  <w:pPr>
                    <w:spacing w:line="276" w:lineRule="auto"/>
                    <w:jc w:val="center"/>
                    <w:rPr>
                      <w:b/>
                      <w:color w:val="auto"/>
                      <w:szCs w:val="21"/>
                    </w:rPr>
                  </w:pPr>
                  <w:r>
                    <w:rPr>
                      <w:rFonts w:hint="eastAsia"/>
                      <w:b/>
                      <w:color w:val="auto"/>
                      <w:szCs w:val="21"/>
                    </w:rPr>
                    <w:t>排放高度</w:t>
                  </w:r>
                  <w:r>
                    <w:rPr>
                      <w:b/>
                      <w:color w:val="auto"/>
                      <w:szCs w:val="21"/>
                    </w:rPr>
                    <w:t>m</w:t>
                  </w:r>
                </w:p>
              </w:tc>
              <w:tc>
                <w:tcPr>
                  <w:tcW w:w="969" w:type="pct"/>
                  <w:vMerge w:val="restart"/>
                  <w:vAlign w:val="center"/>
                </w:tcPr>
                <w:p w14:paraId="6F18DADD">
                  <w:pPr>
                    <w:spacing w:line="276" w:lineRule="auto"/>
                    <w:jc w:val="center"/>
                    <w:rPr>
                      <w:b/>
                      <w:color w:val="auto"/>
                      <w:szCs w:val="21"/>
                    </w:rPr>
                  </w:pPr>
                  <w:r>
                    <w:rPr>
                      <w:rFonts w:hint="eastAsia"/>
                      <w:b/>
                      <w:color w:val="auto"/>
                      <w:szCs w:val="21"/>
                    </w:rPr>
                    <w:t>面源面积</w:t>
                  </w:r>
                  <w:r>
                    <w:rPr>
                      <w:b/>
                      <w:color w:val="auto"/>
                      <w:szCs w:val="21"/>
                    </w:rPr>
                    <w:t>m</w:t>
                  </w:r>
                  <w:r>
                    <w:rPr>
                      <w:b/>
                      <w:color w:val="auto"/>
                      <w:szCs w:val="21"/>
                      <w:vertAlign w:val="superscript"/>
                    </w:rPr>
                    <w:t>2</w:t>
                  </w:r>
                </w:p>
              </w:tc>
            </w:tr>
            <w:tr w14:paraId="452190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47" w:type="pct"/>
                  <w:gridSpan w:val="2"/>
                  <w:vMerge w:val="continue"/>
                  <w:vAlign w:val="center"/>
                </w:tcPr>
                <w:p w14:paraId="246F5175">
                  <w:pPr>
                    <w:widowControl/>
                    <w:spacing w:line="276" w:lineRule="auto"/>
                    <w:jc w:val="left"/>
                    <w:rPr>
                      <w:b/>
                      <w:color w:val="auto"/>
                      <w:szCs w:val="21"/>
                    </w:rPr>
                  </w:pPr>
                </w:p>
              </w:tc>
              <w:tc>
                <w:tcPr>
                  <w:tcW w:w="652" w:type="pct"/>
                  <w:vMerge w:val="continue"/>
                  <w:vAlign w:val="center"/>
                </w:tcPr>
                <w:p w14:paraId="530F49BF">
                  <w:pPr>
                    <w:widowControl/>
                    <w:spacing w:line="276" w:lineRule="auto"/>
                    <w:jc w:val="left"/>
                    <w:rPr>
                      <w:b/>
                      <w:color w:val="auto"/>
                      <w:szCs w:val="21"/>
                    </w:rPr>
                  </w:pPr>
                </w:p>
              </w:tc>
              <w:tc>
                <w:tcPr>
                  <w:tcW w:w="637" w:type="pct"/>
                  <w:vAlign w:val="center"/>
                </w:tcPr>
                <w:p w14:paraId="543D6B27">
                  <w:pPr>
                    <w:spacing w:line="276" w:lineRule="auto"/>
                    <w:jc w:val="center"/>
                    <w:rPr>
                      <w:b/>
                      <w:color w:val="auto"/>
                      <w:szCs w:val="21"/>
                    </w:rPr>
                  </w:pPr>
                  <w:r>
                    <w:rPr>
                      <w:rFonts w:hint="eastAsia"/>
                      <w:b/>
                      <w:color w:val="auto"/>
                      <w:szCs w:val="21"/>
                    </w:rPr>
                    <w:t>产生量</w:t>
                  </w:r>
                  <w:r>
                    <w:rPr>
                      <w:b/>
                      <w:color w:val="auto"/>
                      <w:szCs w:val="21"/>
                    </w:rPr>
                    <w:t>t/a</w:t>
                  </w:r>
                </w:p>
              </w:tc>
              <w:tc>
                <w:tcPr>
                  <w:tcW w:w="577" w:type="pct"/>
                  <w:vAlign w:val="center"/>
                </w:tcPr>
                <w:p w14:paraId="2870D12E">
                  <w:pPr>
                    <w:spacing w:line="276" w:lineRule="auto"/>
                    <w:jc w:val="center"/>
                    <w:rPr>
                      <w:b/>
                      <w:color w:val="auto"/>
                      <w:szCs w:val="21"/>
                    </w:rPr>
                  </w:pPr>
                  <w:r>
                    <w:rPr>
                      <w:rFonts w:hint="eastAsia"/>
                      <w:b/>
                      <w:color w:val="auto"/>
                      <w:szCs w:val="21"/>
                    </w:rPr>
                    <w:t>收集治理工艺</w:t>
                  </w:r>
                </w:p>
              </w:tc>
              <w:tc>
                <w:tcPr>
                  <w:tcW w:w="368" w:type="pct"/>
                  <w:vAlign w:val="center"/>
                </w:tcPr>
                <w:p w14:paraId="7A34DA1E">
                  <w:pPr>
                    <w:spacing w:line="276" w:lineRule="auto"/>
                    <w:jc w:val="center"/>
                    <w:rPr>
                      <w:b/>
                      <w:color w:val="auto"/>
                      <w:szCs w:val="21"/>
                    </w:rPr>
                  </w:pPr>
                  <w:r>
                    <w:rPr>
                      <w:rFonts w:hint="eastAsia"/>
                      <w:b/>
                      <w:color w:val="auto"/>
                      <w:szCs w:val="21"/>
                    </w:rPr>
                    <w:t>效率</w:t>
                  </w:r>
                  <w:r>
                    <w:rPr>
                      <w:b/>
                      <w:color w:val="auto"/>
                      <w:szCs w:val="21"/>
                    </w:rPr>
                    <w:t>%</w:t>
                  </w:r>
                </w:p>
              </w:tc>
              <w:tc>
                <w:tcPr>
                  <w:tcW w:w="630" w:type="pct"/>
                  <w:vAlign w:val="center"/>
                </w:tcPr>
                <w:p w14:paraId="2706FA24">
                  <w:pPr>
                    <w:spacing w:line="276" w:lineRule="auto"/>
                    <w:jc w:val="center"/>
                    <w:rPr>
                      <w:b/>
                      <w:color w:val="auto"/>
                      <w:szCs w:val="21"/>
                    </w:rPr>
                  </w:pPr>
                  <w:r>
                    <w:rPr>
                      <w:rFonts w:hint="eastAsia"/>
                      <w:b/>
                      <w:color w:val="auto"/>
                      <w:szCs w:val="21"/>
                    </w:rPr>
                    <w:t>排放量</w:t>
                  </w:r>
                  <w:r>
                    <w:rPr>
                      <w:b/>
                      <w:color w:val="auto"/>
                      <w:szCs w:val="21"/>
                    </w:rPr>
                    <w:t>t/a</w:t>
                  </w:r>
                </w:p>
              </w:tc>
              <w:tc>
                <w:tcPr>
                  <w:tcW w:w="420" w:type="pct"/>
                  <w:vMerge w:val="continue"/>
                  <w:vAlign w:val="center"/>
                </w:tcPr>
                <w:p w14:paraId="33DF2EA6">
                  <w:pPr>
                    <w:widowControl/>
                    <w:spacing w:line="276" w:lineRule="auto"/>
                    <w:jc w:val="left"/>
                    <w:rPr>
                      <w:b/>
                      <w:color w:val="auto"/>
                      <w:szCs w:val="21"/>
                    </w:rPr>
                  </w:pPr>
                </w:p>
              </w:tc>
              <w:tc>
                <w:tcPr>
                  <w:tcW w:w="969" w:type="pct"/>
                  <w:vMerge w:val="continue"/>
                  <w:vAlign w:val="center"/>
                </w:tcPr>
                <w:p w14:paraId="2E9FE5A8">
                  <w:pPr>
                    <w:widowControl/>
                    <w:spacing w:line="276" w:lineRule="auto"/>
                    <w:jc w:val="left"/>
                    <w:rPr>
                      <w:b/>
                      <w:color w:val="auto"/>
                      <w:szCs w:val="21"/>
                    </w:rPr>
                  </w:pPr>
                </w:p>
              </w:tc>
            </w:tr>
            <w:tr w14:paraId="0725F1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51" w:type="pct"/>
                  <w:vMerge w:val="restart"/>
                  <w:vAlign w:val="center"/>
                </w:tcPr>
                <w:p w14:paraId="5D7356AB">
                  <w:pPr>
                    <w:spacing w:line="276" w:lineRule="auto"/>
                    <w:jc w:val="center"/>
                    <w:rPr>
                      <w:color w:val="auto"/>
                      <w:szCs w:val="21"/>
                    </w:rPr>
                  </w:pPr>
                  <w:r>
                    <w:rPr>
                      <w:rFonts w:hint="eastAsia"/>
                      <w:color w:val="auto"/>
                      <w:szCs w:val="21"/>
                    </w:rPr>
                    <w:t>生产厂房</w:t>
                  </w:r>
                </w:p>
              </w:tc>
              <w:tc>
                <w:tcPr>
                  <w:tcW w:w="496" w:type="pct"/>
                  <w:vAlign w:val="center"/>
                </w:tcPr>
                <w:p w14:paraId="341B396A">
                  <w:pPr>
                    <w:spacing w:line="276" w:lineRule="auto"/>
                    <w:jc w:val="center"/>
                    <w:rPr>
                      <w:color w:val="auto"/>
                      <w:szCs w:val="21"/>
                    </w:rPr>
                  </w:pPr>
                  <w:r>
                    <w:rPr>
                      <w:color w:val="auto"/>
                      <w:szCs w:val="21"/>
                    </w:rPr>
                    <w:t>一车间</w:t>
                  </w:r>
                </w:p>
              </w:tc>
              <w:tc>
                <w:tcPr>
                  <w:tcW w:w="652" w:type="pct"/>
                  <w:vAlign w:val="center"/>
                </w:tcPr>
                <w:p w14:paraId="0C4A13FC">
                  <w:pPr>
                    <w:spacing w:line="276" w:lineRule="auto"/>
                    <w:jc w:val="center"/>
                    <w:rPr>
                      <w:color w:val="auto"/>
                      <w:szCs w:val="21"/>
                    </w:rPr>
                  </w:pPr>
                  <w:r>
                    <w:rPr>
                      <w:rFonts w:hint="eastAsia"/>
                      <w:color w:val="auto"/>
                      <w:szCs w:val="21"/>
                    </w:rPr>
                    <w:t>非甲烷总烃</w:t>
                  </w:r>
                </w:p>
              </w:tc>
              <w:tc>
                <w:tcPr>
                  <w:tcW w:w="637" w:type="pct"/>
                  <w:vAlign w:val="center"/>
                </w:tcPr>
                <w:p w14:paraId="7DAF9339">
                  <w:pPr>
                    <w:spacing w:line="276" w:lineRule="auto"/>
                    <w:jc w:val="center"/>
                    <w:rPr>
                      <w:color w:val="auto"/>
                      <w:szCs w:val="21"/>
                    </w:rPr>
                  </w:pPr>
                  <w:r>
                    <w:rPr>
                      <w:rFonts w:hint="eastAsia"/>
                      <w:color w:val="auto"/>
                      <w:szCs w:val="21"/>
                    </w:rPr>
                    <w:t>0.4725</w:t>
                  </w:r>
                </w:p>
              </w:tc>
              <w:tc>
                <w:tcPr>
                  <w:tcW w:w="577" w:type="pct"/>
                  <w:vMerge w:val="restart"/>
                  <w:vAlign w:val="center"/>
                </w:tcPr>
                <w:p w14:paraId="6BA42A00">
                  <w:pPr>
                    <w:spacing w:line="276" w:lineRule="auto"/>
                    <w:jc w:val="center"/>
                    <w:rPr>
                      <w:color w:val="auto"/>
                      <w:szCs w:val="21"/>
                    </w:rPr>
                  </w:pPr>
                  <w:r>
                    <w:rPr>
                      <w:color w:val="auto"/>
                      <w:szCs w:val="21"/>
                    </w:rPr>
                    <w:t>/</w:t>
                  </w:r>
                </w:p>
              </w:tc>
              <w:tc>
                <w:tcPr>
                  <w:tcW w:w="368" w:type="pct"/>
                  <w:vMerge w:val="restart"/>
                  <w:vAlign w:val="center"/>
                </w:tcPr>
                <w:p w14:paraId="37FC2F3F">
                  <w:pPr>
                    <w:spacing w:line="276" w:lineRule="auto"/>
                    <w:jc w:val="center"/>
                    <w:rPr>
                      <w:color w:val="auto"/>
                      <w:szCs w:val="21"/>
                    </w:rPr>
                  </w:pPr>
                  <w:r>
                    <w:rPr>
                      <w:color w:val="auto"/>
                      <w:szCs w:val="21"/>
                    </w:rPr>
                    <w:t>/</w:t>
                  </w:r>
                </w:p>
              </w:tc>
              <w:tc>
                <w:tcPr>
                  <w:tcW w:w="630" w:type="pct"/>
                  <w:vAlign w:val="center"/>
                </w:tcPr>
                <w:p w14:paraId="2BE0AE9F">
                  <w:pPr>
                    <w:spacing w:line="276" w:lineRule="auto"/>
                    <w:jc w:val="center"/>
                    <w:rPr>
                      <w:color w:val="auto"/>
                      <w:szCs w:val="21"/>
                    </w:rPr>
                  </w:pPr>
                  <w:r>
                    <w:rPr>
                      <w:rFonts w:hint="eastAsia"/>
                      <w:color w:val="auto"/>
                      <w:szCs w:val="21"/>
                    </w:rPr>
                    <w:t>0.4725</w:t>
                  </w:r>
                </w:p>
              </w:tc>
              <w:tc>
                <w:tcPr>
                  <w:tcW w:w="420" w:type="pct"/>
                  <w:vAlign w:val="center"/>
                </w:tcPr>
                <w:p w14:paraId="6981B72E">
                  <w:pPr>
                    <w:spacing w:line="276" w:lineRule="auto"/>
                    <w:jc w:val="center"/>
                    <w:rPr>
                      <w:color w:val="auto"/>
                      <w:szCs w:val="21"/>
                    </w:rPr>
                  </w:pPr>
                  <w:r>
                    <w:rPr>
                      <w:rFonts w:hint="eastAsia"/>
                      <w:color w:val="auto"/>
                      <w:szCs w:val="21"/>
                    </w:rPr>
                    <w:t>10.2</w:t>
                  </w:r>
                </w:p>
              </w:tc>
              <w:tc>
                <w:tcPr>
                  <w:tcW w:w="969" w:type="pct"/>
                  <w:vAlign w:val="center"/>
                </w:tcPr>
                <w:p w14:paraId="524A167E">
                  <w:pPr>
                    <w:spacing w:line="276" w:lineRule="auto"/>
                    <w:jc w:val="center"/>
                    <w:rPr>
                      <w:color w:val="auto"/>
                      <w:szCs w:val="21"/>
                    </w:rPr>
                  </w:pPr>
                  <w:r>
                    <w:rPr>
                      <w:rFonts w:hint="eastAsia"/>
                      <w:color w:val="auto"/>
                      <w:szCs w:val="21"/>
                    </w:rPr>
                    <w:t>6967（长165.9m×宽42m）</w:t>
                  </w:r>
                </w:p>
              </w:tc>
            </w:tr>
            <w:tr w14:paraId="5A8B4E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51" w:type="pct"/>
                  <w:vMerge w:val="continue"/>
                  <w:vAlign w:val="center"/>
                </w:tcPr>
                <w:p w14:paraId="073DA837">
                  <w:pPr>
                    <w:spacing w:line="276" w:lineRule="auto"/>
                    <w:jc w:val="center"/>
                    <w:rPr>
                      <w:color w:val="auto"/>
                      <w:szCs w:val="21"/>
                    </w:rPr>
                  </w:pPr>
                </w:p>
              </w:tc>
              <w:tc>
                <w:tcPr>
                  <w:tcW w:w="496" w:type="pct"/>
                  <w:vAlign w:val="center"/>
                </w:tcPr>
                <w:p w14:paraId="77C8D536">
                  <w:pPr>
                    <w:spacing w:line="276" w:lineRule="auto"/>
                    <w:jc w:val="center"/>
                    <w:rPr>
                      <w:color w:val="auto"/>
                      <w:szCs w:val="21"/>
                    </w:rPr>
                  </w:pPr>
                  <w:r>
                    <w:rPr>
                      <w:color w:val="auto"/>
                      <w:szCs w:val="21"/>
                    </w:rPr>
                    <w:t>三车间</w:t>
                  </w:r>
                </w:p>
              </w:tc>
              <w:tc>
                <w:tcPr>
                  <w:tcW w:w="652" w:type="pct"/>
                  <w:vAlign w:val="center"/>
                </w:tcPr>
                <w:p w14:paraId="05A04064">
                  <w:pPr>
                    <w:spacing w:line="276" w:lineRule="auto"/>
                    <w:jc w:val="center"/>
                    <w:rPr>
                      <w:color w:val="auto"/>
                      <w:szCs w:val="21"/>
                    </w:rPr>
                  </w:pPr>
                  <w:r>
                    <w:rPr>
                      <w:rFonts w:hint="eastAsia"/>
                      <w:color w:val="auto"/>
                      <w:szCs w:val="21"/>
                    </w:rPr>
                    <w:t>非甲烷总烃</w:t>
                  </w:r>
                </w:p>
              </w:tc>
              <w:tc>
                <w:tcPr>
                  <w:tcW w:w="637" w:type="pct"/>
                  <w:vAlign w:val="center"/>
                </w:tcPr>
                <w:p w14:paraId="79F9A3FC">
                  <w:pPr>
                    <w:spacing w:line="276" w:lineRule="auto"/>
                    <w:jc w:val="center"/>
                    <w:rPr>
                      <w:color w:val="auto"/>
                      <w:szCs w:val="21"/>
                    </w:rPr>
                  </w:pPr>
                  <w:r>
                    <w:rPr>
                      <w:rFonts w:hint="eastAsia"/>
                      <w:color w:val="auto"/>
                      <w:szCs w:val="21"/>
                    </w:rPr>
                    <w:t>0.4725</w:t>
                  </w:r>
                </w:p>
              </w:tc>
              <w:tc>
                <w:tcPr>
                  <w:tcW w:w="577" w:type="pct"/>
                  <w:vMerge w:val="continue"/>
                  <w:vAlign w:val="center"/>
                </w:tcPr>
                <w:p w14:paraId="36F8C76A">
                  <w:pPr>
                    <w:widowControl/>
                    <w:spacing w:line="276" w:lineRule="auto"/>
                    <w:jc w:val="left"/>
                    <w:rPr>
                      <w:color w:val="auto"/>
                      <w:szCs w:val="21"/>
                    </w:rPr>
                  </w:pPr>
                </w:p>
              </w:tc>
              <w:tc>
                <w:tcPr>
                  <w:tcW w:w="368" w:type="pct"/>
                  <w:vMerge w:val="continue"/>
                  <w:vAlign w:val="center"/>
                </w:tcPr>
                <w:p w14:paraId="4B9B198F">
                  <w:pPr>
                    <w:widowControl/>
                    <w:spacing w:line="276" w:lineRule="auto"/>
                    <w:jc w:val="left"/>
                    <w:rPr>
                      <w:color w:val="auto"/>
                      <w:szCs w:val="21"/>
                    </w:rPr>
                  </w:pPr>
                </w:p>
              </w:tc>
              <w:tc>
                <w:tcPr>
                  <w:tcW w:w="630" w:type="pct"/>
                  <w:vAlign w:val="center"/>
                </w:tcPr>
                <w:p w14:paraId="5F624297">
                  <w:pPr>
                    <w:spacing w:line="276" w:lineRule="auto"/>
                    <w:jc w:val="center"/>
                    <w:rPr>
                      <w:color w:val="auto"/>
                      <w:szCs w:val="21"/>
                    </w:rPr>
                  </w:pPr>
                  <w:r>
                    <w:rPr>
                      <w:rFonts w:hint="eastAsia"/>
                      <w:color w:val="auto"/>
                      <w:szCs w:val="21"/>
                    </w:rPr>
                    <w:t>0.4725</w:t>
                  </w:r>
                </w:p>
              </w:tc>
              <w:tc>
                <w:tcPr>
                  <w:tcW w:w="420" w:type="pct"/>
                  <w:vAlign w:val="center"/>
                </w:tcPr>
                <w:p w14:paraId="71D8B6F5">
                  <w:pPr>
                    <w:spacing w:line="276" w:lineRule="auto"/>
                    <w:jc w:val="center"/>
                    <w:rPr>
                      <w:color w:val="auto"/>
                      <w:szCs w:val="21"/>
                    </w:rPr>
                  </w:pPr>
                  <w:r>
                    <w:rPr>
                      <w:rFonts w:hint="eastAsia"/>
                      <w:color w:val="auto"/>
                      <w:szCs w:val="21"/>
                    </w:rPr>
                    <w:t>10.2</w:t>
                  </w:r>
                </w:p>
              </w:tc>
              <w:tc>
                <w:tcPr>
                  <w:tcW w:w="969" w:type="pct"/>
                  <w:vAlign w:val="center"/>
                </w:tcPr>
                <w:p w14:paraId="01335AB9">
                  <w:pPr>
                    <w:spacing w:line="276" w:lineRule="auto"/>
                    <w:jc w:val="center"/>
                    <w:rPr>
                      <w:color w:val="auto"/>
                      <w:szCs w:val="21"/>
                    </w:rPr>
                  </w:pPr>
                  <w:r>
                    <w:rPr>
                      <w:rFonts w:hint="eastAsia"/>
                      <w:color w:val="auto"/>
                      <w:szCs w:val="21"/>
                    </w:rPr>
                    <w:t>2146</w:t>
                  </w:r>
                  <w:r>
                    <w:rPr>
                      <w:color w:val="auto"/>
                      <w:szCs w:val="21"/>
                    </w:rPr>
                    <w:t>（</w:t>
                  </w:r>
                  <w:r>
                    <w:rPr>
                      <w:rFonts w:hint="eastAsia"/>
                      <w:color w:val="auto"/>
                      <w:szCs w:val="21"/>
                    </w:rPr>
                    <w:t>长58m×宽37m）</w:t>
                  </w:r>
                </w:p>
              </w:tc>
            </w:tr>
          </w:tbl>
          <w:p w14:paraId="197BB192">
            <w:pPr>
              <w:spacing w:line="360" w:lineRule="auto"/>
              <w:rPr>
                <w:b/>
                <w:bCs/>
                <w:color w:val="auto"/>
                <w:sz w:val="24"/>
                <w:szCs w:val="28"/>
              </w:rPr>
            </w:pPr>
          </w:p>
        </w:tc>
      </w:tr>
    </w:tbl>
    <w:p w14:paraId="152D9384">
      <w:pPr>
        <w:widowControl/>
        <w:outlineLvl w:val="0"/>
        <w:rPr>
          <w:rFonts w:ascii="宋体" w:hAnsi="宋体"/>
          <w:b/>
          <w:bCs/>
          <w:color w:val="auto"/>
          <w:kern w:val="0"/>
          <w:sz w:val="30"/>
          <w:szCs w:val="30"/>
        </w:rPr>
        <w:sectPr>
          <w:pgSz w:w="16838" w:h="11906" w:orient="landscape"/>
          <w:pgMar w:top="1797" w:right="1440" w:bottom="1508" w:left="1440" w:header="851" w:footer="992" w:gutter="0"/>
          <w:cols w:space="720" w:num="1"/>
          <w:docGrid w:type="linesAndChars" w:linePitch="312" w:charSpace="0"/>
        </w:sectPr>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8361"/>
      </w:tblGrid>
      <w:tr w14:paraId="61AAE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 w:type="dxa"/>
            <w:vAlign w:val="center"/>
          </w:tcPr>
          <w:p w14:paraId="38306568">
            <w:pPr>
              <w:spacing w:line="360" w:lineRule="auto"/>
              <w:jc w:val="center"/>
              <w:rPr>
                <w:color w:val="auto"/>
                <w:sz w:val="24"/>
              </w:rPr>
            </w:pPr>
            <w:r>
              <w:rPr>
                <w:rFonts w:hint="eastAsia" w:hAnsi="宋体"/>
                <w:color w:val="auto"/>
                <w:kern w:val="0"/>
                <w:sz w:val="24"/>
              </w:rPr>
              <w:t>运营期环境影响和保护措施</w:t>
            </w:r>
          </w:p>
        </w:tc>
        <w:tc>
          <w:tcPr>
            <w:tcW w:w="8311" w:type="dxa"/>
          </w:tcPr>
          <w:p w14:paraId="1237ED0C">
            <w:pPr>
              <w:spacing w:line="360" w:lineRule="auto"/>
              <w:ind w:firstLine="482" w:firstLineChars="200"/>
              <w:rPr>
                <w:b/>
                <w:color w:val="auto"/>
                <w:sz w:val="24"/>
              </w:rPr>
            </w:pPr>
            <w:r>
              <w:rPr>
                <w:b/>
                <w:color w:val="auto"/>
                <w:sz w:val="24"/>
              </w:rPr>
              <w:t>2</w:t>
            </w:r>
            <w:r>
              <w:rPr>
                <w:rFonts w:hint="eastAsia"/>
                <w:b/>
                <w:color w:val="auto"/>
                <w:sz w:val="24"/>
              </w:rPr>
              <w:t>、非正常工况</w:t>
            </w:r>
          </w:p>
          <w:p w14:paraId="49242799">
            <w:pPr>
              <w:spacing w:line="360" w:lineRule="auto"/>
              <w:ind w:firstLine="480" w:firstLineChars="200"/>
              <w:jc w:val="left"/>
              <w:rPr>
                <w:bCs/>
                <w:color w:val="auto"/>
                <w:sz w:val="24"/>
                <w:szCs w:val="24"/>
              </w:rPr>
            </w:pPr>
            <w:r>
              <w:rPr>
                <w:rFonts w:hint="eastAsia"/>
                <w:bCs/>
                <w:color w:val="auto"/>
                <w:sz w:val="24"/>
                <w:szCs w:val="24"/>
              </w:rPr>
              <w:t>该项目非正常排放考虑废气处理装置（活性炭失效）达不到应有效率，处理效率降低至75%，从而发生非正常排放，一般事故的非正常排放效率约每年</w:t>
            </w:r>
            <w:r>
              <w:rPr>
                <w:bCs/>
                <w:color w:val="auto"/>
                <w:sz w:val="24"/>
                <w:szCs w:val="24"/>
              </w:rPr>
              <w:t>1-3</w:t>
            </w:r>
            <w:r>
              <w:rPr>
                <w:rFonts w:hint="eastAsia"/>
                <w:bCs/>
                <w:color w:val="auto"/>
                <w:sz w:val="24"/>
                <w:szCs w:val="24"/>
              </w:rPr>
              <w:t>次，为小概率事件。本次评价取</w:t>
            </w:r>
            <w:r>
              <w:rPr>
                <w:bCs/>
                <w:color w:val="auto"/>
                <w:sz w:val="24"/>
                <w:szCs w:val="24"/>
              </w:rPr>
              <w:t>2</w:t>
            </w:r>
            <w:r>
              <w:rPr>
                <w:rFonts w:hint="eastAsia"/>
                <w:bCs/>
                <w:color w:val="auto"/>
                <w:sz w:val="24"/>
                <w:szCs w:val="24"/>
              </w:rPr>
              <w:t>次</w:t>
            </w:r>
            <w:r>
              <w:rPr>
                <w:bCs/>
                <w:color w:val="auto"/>
                <w:sz w:val="24"/>
                <w:szCs w:val="24"/>
              </w:rPr>
              <w:t>/</w:t>
            </w:r>
            <w:r>
              <w:rPr>
                <w:rFonts w:hint="eastAsia"/>
                <w:bCs/>
                <w:color w:val="auto"/>
                <w:sz w:val="24"/>
                <w:szCs w:val="24"/>
              </w:rPr>
              <w:t>年，每次持续时间</w:t>
            </w:r>
            <w:r>
              <w:rPr>
                <w:bCs/>
                <w:color w:val="auto"/>
                <w:sz w:val="24"/>
                <w:szCs w:val="24"/>
              </w:rPr>
              <w:t>30</w:t>
            </w:r>
            <w:r>
              <w:rPr>
                <w:rFonts w:hint="eastAsia"/>
                <w:bCs/>
                <w:color w:val="auto"/>
                <w:sz w:val="24"/>
                <w:szCs w:val="24"/>
              </w:rPr>
              <w:t>分钟。根据污染源核算中的污染物产生情况，本项目非正常排放源强见下表所示：</w:t>
            </w:r>
          </w:p>
          <w:p w14:paraId="78C4D0EC">
            <w:pPr>
              <w:spacing w:line="360" w:lineRule="auto"/>
              <w:jc w:val="center"/>
              <w:rPr>
                <w:color w:val="auto"/>
                <w:szCs w:val="21"/>
              </w:rPr>
            </w:pPr>
            <w:r>
              <w:rPr>
                <w:rFonts w:hint="eastAsia" w:hAnsi="黑体" w:eastAsia="黑体"/>
                <w:color w:val="auto"/>
                <w:sz w:val="24"/>
                <w:szCs w:val="24"/>
              </w:rPr>
              <w:t>表42  项目非正常工况排放参数表</w:t>
            </w:r>
          </w:p>
          <w:tbl>
            <w:tblPr>
              <w:tblStyle w:val="3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223"/>
              <w:gridCol w:w="1417"/>
              <w:gridCol w:w="992"/>
              <w:gridCol w:w="1249"/>
              <w:gridCol w:w="1338"/>
              <w:gridCol w:w="913"/>
            </w:tblGrid>
            <w:tr w14:paraId="3F2872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vAlign w:val="center"/>
                </w:tcPr>
                <w:p w14:paraId="285B7522">
                  <w:pPr>
                    <w:widowControl/>
                    <w:spacing w:line="276" w:lineRule="auto"/>
                    <w:jc w:val="center"/>
                    <w:rPr>
                      <w:b/>
                      <w:color w:val="auto"/>
                      <w:szCs w:val="21"/>
                    </w:rPr>
                  </w:pPr>
                  <w:r>
                    <w:rPr>
                      <w:rFonts w:hint="eastAsia" w:hAnsi="宋体"/>
                      <w:b/>
                      <w:color w:val="auto"/>
                      <w:szCs w:val="21"/>
                    </w:rPr>
                    <w:t>非正常排放源</w:t>
                  </w:r>
                </w:p>
              </w:tc>
              <w:tc>
                <w:tcPr>
                  <w:tcW w:w="751" w:type="pct"/>
                  <w:vAlign w:val="center"/>
                </w:tcPr>
                <w:p w14:paraId="3DFC7CDC">
                  <w:pPr>
                    <w:widowControl/>
                    <w:spacing w:line="276" w:lineRule="auto"/>
                    <w:jc w:val="center"/>
                    <w:rPr>
                      <w:b/>
                      <w:color w:val="auto"/>
                      <w:szCs w:val="21"/>
                    </w:rPr>
                  </w:pPr>
                  <w:r>
                    <w:rPr>
                      <w:rFonts w:hint="eastAsia" w:hAnsi="宋体"/>
                      <w:b/>
                      <w:color w:val="auto"/>
                      <w:szCs w:val="21"/>
                    </w:rPr>
                    <w:t>非正常排放原因</w:t>
                  </w:r>
                </w:p>
              </w:tc>
              <w:tc>
                <w:tcPr>
                  <w:tcW w:w="870" w:type="pct"/>
                  <w:vAlign w:val="center"/>
                </w:tcPr>
                <w:p w14:paraId="6C9F3CD2">
                  <w:pPr>
                    <w:widowControl/>
                    <w:spacing w:line="276" w:lineRule="auto"/>
                    <w:jc w:val="center"/>
                    <w:rPr>
                      <w:b/>
                      <w:color w:val="auto"/>
                      <w:szCs w:val="21"/>
                    </w:rPr>
                  </w:pPr>
                  <w:r>
                    <w:rPr>
                      <w:rFonts w:hint="eastAsia" w:hAnsi="宋体"/>
                      <w:b/>
                      <w:color w:val="auto"/>
                      <w:szCs w:val="21"/>
                    </w:rPr>
                    <w:t>污染物</w:t>
                  </w:r>
                </w:p>
              </w:tc>
              <w:tc>
                <w:tcPr>
                  <w:tcW w:w="609" w:type="pct"/>
                  <w:vAlign w:val="center"/>
                </w:tcPr>
                <w:p w14:paraId="23D5905E">
                  <w:pPr>
                    <w:widowControl/>
                    <w:spacing w:line="276" w:lineRule="auto"/>
                    <w:jc w:val="center"/>
                    <w:rPr>
                      <w:b/>
                      <w:color w:val="auto"/>
                      <w:szCs w:val="21"/>
                    </w:rPr>
                  </w:pPr>
                  <w:r>
                    <w:rPr>
                      <w:rFonts w:hint="eastAsia" w:hAnsi="宋体"/>
                      <w:b/>
                      <w:color w:val="auto"/>
                      <w:szCs w:val="21"/>
                    </w:rPr>
                    <w:t>单次持续时间</w:t>
                  </w:r>
                  <w:r>
                    <w:rPr>
                      <w:rFonts w:hint="eastAsia"/>
                      <w:b/>
                      <w:color w:val="auto"/>
                      <w:szCs w:val="21"/>
                    </w:rPr>
                    <w:t>（</w:t>
                  </w:r>
                  <w:r>
                    <w:rPr>
                      <w:b/>
                      <w:color w:val="auto"/>
                      <w:szCs w:val="21"/>
                    </w:rPr>
                    <w:t>h</w:t>
                  </w:r>
                  <w:r>
                    <w:rPr>
                      <w:rFonts w:hint="eastAsia"/>
                      <w:b/>
                      <w:color w:val="auto"/>
                      <w:szCs w:val="21"/>
                    </w:rPr>
                    <w:t>）</w:t>
                  </w:r>
                </w:p>
              </w:tc>
              <w:tc>
                <w:tcPr>
                  <w:tcW w:w="767" w:type="pct"/>
                  <w:vAlign w:val="center"/>
                </w:tcPr>
                <w:p w14:paraId="5AE1F0F3">
                  <w:pPr>
                    <w:widowControl/>
                    <w:spacing w:line="276" w:lineRule="auto"/>
                    <w:jc w:val="center"/>
                    <w:rPr>
                      <w:b/>
                      <w:color w:val="auto"/>
                      <w:szCs w:val="21"/>
                    </w:rPr>
                  </w:pPr>
                  <w:r>
                    <w:rPr>
                      <w:rFonts w:hint="eastAsia" w:hAnsi="宋体"/>
                      <w:b/>
                      <w:color w:val="auto"/>
                      <w:szCs w:val="21"/>
                    </w:rPr>
                    <w:t>非正常排放速率（</w:t>
                  </w:r>
                  <w:r>
                    <w:rPr>
                      <w:b/>
                      <w:color w:val="auto"/>
                      <w:szCs w:val="21"/>
                    </w:rPr>
                    <w:t>kg/h</w:t>
                  </w:r>
                  <w:r>
                    <w:rPr>
                      <w:rFonts w:hint="eastAsia" w:hAnsi="宋体"/>
                      <w:b/>
                      <w:color w:val="auto"/>
                      <w:szCs w:val="21"/>
                    </w:rPr>
                    <w:t>）</w:t>
                  </w:r>
                </w:p>
              </w:tc>
              <w:tc>
                <w:tcPr>
                  <w:tcW w:w="821" w:type="pct"/>
                  <w:vAlign w:val="center"/>
                </w:tcPr>
                <w:p w14:paraId="6409934A">
                  <w:pPr>
                    <w:widowControl/>
                    <w:spacing w:line="276" w:lineRule="auto"/>
                    <w:jc w:val="center"/>
                    <w:rPr>
                      <w:b/>
                      <w:color w:val="auto"/>
                      <w:szCs w:val="21"/>
                    </w:rPr>
                  </w:pPr>
                  <w:r>
                    <w:rPr>
                      <w:rFonts w:hint="eastAsia" w:hAnsi="宋体"/>
                      <w:b/>
                      <w:color w:val="auto"/>
                      <w:szCs w:val="21"/>
                    </w:rPr>
                    <w:t>非正常排放浓度（</w:t>
                  </w:r>
                  <w:r>
                    <w:rPr>
                      <w:b/>
                      <w:color w:val="auto"/>
                      <w:szCs w:val="21"/>
                    </w:rPr>
                    <w:t>mg/m</w:t>
                  </w:r>
                  <w:r>
                    <w:rPr>
                      <w:b/>
                      <w:color w:val="auto"/>
                      <w:szCs w:val="21"/>
                      <w:vertAlign w:val="superscript"/>
                    </w:rPr>
                    <w:t>3</w:t>
                  </w:r>
                  <w:r>
                    <w:rPr>
                      <w:rFonts w:hint="eastAsia" w:hAnsi="宋体"/>
                      <w:b/>
                      <w:color w:val="auto"/>
                      <w:szCs w:val="21"/>
                    </w:rPr>
                    <w:t>）</w:t>
                  </w:r>
                </w:p>
              </w:tc>
              <w:tc>
                <w:tcPr>
                  <w:tcW w:w="560" w:type="pct"/>
                  <w:vAlign w:val="center"/>
                </w:tcPr>
                <w:p w14:paraId="2C6B6FF6">
                  <w:pPr>
                    <w:widowControl/>
                    <w:spacing w:line="276" w:lineRule="auto"/>
                    <w:jc w:val="center"/>
                    <w:rPr>
                      <w:b/>
                      <w:color w:val="auto"/>
                      <w:szCs w:val="21"/>
                    </w:rPr>
                  </w:pPr>
                  <w:r>
                    <w:rPr>
                      <w:rFonts w:hint="eastAsia" w:hAnsi="宋体"/>
                      <w:b/>
                      <w:color w:val="auto"/>
                      <w:szCs w:val="21"/>
                    </w:rPr>
                    <w:t>年发生频次（次）</w:t>
                  </w:r>
                </w:p>
              </w:tc>
            </w:tr>
            <w:tr w14:paraId="60AF10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22" w:type="pct"/>
                  <w:vAlign w:val="center"/>
                </w:tcPr>
                <w:p w14:paraId="14EBF663">
                  <w:pPr>
                    <w:widowControl/>
                    <w:spacing w:line="276" w:lineRule="auto"/>
                    <w:jc w:val="center"/>
                    <w:rPr>
                      <w:color w:val="auto"/>
                      <w:szCs w:val="21"/>
                    </w:rPr>
                  </w:pPr>
                  <w:r>
                    <w:rPr>
                      <w:color w:val="auto"/>
                      <w:szCs w:val="21"/>
                    </w:rPr>
                    <w:t>DA0</w:t>
                  </w:r>
                  <w:r>
                    <w:rPr>
                      <w:rFonts w:hint="eastAsia"/>
                      <w:color w:val="auto"/>
                      <w:szCs w:val="21"/>
                    </w:rPr>
                    <w:t>10</w:t>
                  </w:r>
                </w:p>
              </w:tc>
              <w:tc>
                <w:tcPr>
                  <w:tcW w:w="751" w:type="pct"/>
                  <w:vAlign w:val="center"/>
                </w:tcPr>
                <w:p w14:paraId="5BF320FB">
                  <w:pPr>
                    <w:widowControl/>
                    <w:spacing w:line="276" w:lineRule="auto"/>
                    <w:jc w:val="center"/>
                    <w:rPr>
                      <w:color w:val="auto"/>
                      <w:szCs w:val="21"/>
                    </w:rPr>
                  </w:pPr>
                  <w:r>
                    <w:rPr>
                      <w:rFonts w:hint="eastAsia"/>
                      <w:color w:val="auto"/>
                      <w:szCs w:val="21"/>
                    </w:rPr>
                    <w:t>活性炭失效</w:t>
                  </w:r>
                </w:p>
              </w:tc>
              <w:tc>
                <w:tcPr>
                  <w:tcW w:w="870" w:type="pct"/>
                  <w:vAlign w:val="center"/>
                </w:tcPr>
                <w:p w14:paraId="50841460">
                  <w:pPr>
                    <w:widowControl/>
                    <w:spacing w:line="276" w:lineRule="auto"/>
                    <w:jc w:val="center"/>
                    <w:rPr>
                      <w:color w:val="auto"/>
                      <w:szCs w:val="21"/>
                    </w:rPr>
                  </w:pPr>
                  <w:r>
                    <w:rPr>
                      <w:color w:val="auto"/>
                      <w:szCs w:val="21"/>
                    </w:rPr>
                    <w:t>非甲烷总烃</w:t>
                  </w:r>
                </w:p>
              </w:tc>
              <w:tc>
                <w:tcPr>
                  <w:tcW w:w="609" w:type="pct"/>
                  <w:vAlign w:val="center"/>
                </w:tcPr>
                <w:p w14:paraId="1B32125D">
                  <w:pPr>
                    <w:widowControl/>
                    <w:spacing w:line="276" w:lineRule="auto"/>
                    <w:jc w:val="center"/>
                    <w:rPr>
                      <w:color w:val="auto"/>
                      <w:szCs w:val="21"/>
                    </w:rPr>
                  </w:pPr>
                  <w:r>
                    <w:rPr>
                      <w:rFonts w:hint="eastAsia"/>
                      <w:color w:val="auto"/>
                      <w:szCs w:val="21"/>
                    </w:rPr>
                    <w:t>0.5</w:t>
                  </w:r>
                </w:p>
              </w:tc>
              <w:tc>
                <w:tcPr>
                  <w:tcW w:w="767" w:type="pct"/>
                  <w:vAlign w:val="center"/>
                </w:tcPr>
                <w:p w14:paraId="710D987F">
                  <w:pPr>
                    <w:widowControl/>
                    <w:spacing w:line="276" w:lineRule="auto"/>
                    <w:jc w:val="center"/>
                    <w:rPr>
                      <w:color w:val="auto"/>
                      <w:szCs w:val="21"/>
                    </w:rPr>
                  </w:pPr>
                  <w:r>
                    <w:rPr>
                      <w:rFonts w:hint="eastAsia"/>
                      <w:color w:val="auto"/>
                      <w:szCs w:val="21"/>
                    </w:rPr>
                    <w:t>0.121</w:t>
                  </w:r>
                </w:p>
              </w:tc>
              <w:tc>
                <w:tcPr>
                  <w:tcW w:w="821" w:type="pct"/>
                  <w:vAlign w:val="center"/>
                </w:tcPr>
                <w:p w14:paraId="315AA483">
                  <w:pPr>
                    <w:widowControl/>
                    <w:spacing w:line="276" w:lineRule="auto"/>
                    <w:jc w:val="center"/>
                    <w:rPr>
                      <w:color w:val="auto"/>
                      <w:szCs w:val="21"/>
                    </w:rPr>
                  </w:pPr>
                  <w:r>
                    <w:rPr>
                      <w:rFonts w:hint="eastAsia"/>
                      <w:color w:val="auto"/>
                      <w:szCs w:val="21"/>
                    </w:rPr>
                    <w:t>40.3</w:t>
                  </w:r>
                </w:p>
              </w:tc>
              <w:tc>
                <w:tcPr>
                  <w:tcW w:w="560" w:type="pct"/>
                  <w:vAlign w:val="center"/>
                </w:tcPr>
                <w:p w14:paraId="471CEA82">
                  <w:pPr>
                    <w:widowControl/>
                    <w:spacing w:line="276" w:lineRule="auto"/>
                    <w:jc w:val="center"/>
                    <w:rPr>
                      <w:color w:val="auto"/>
                      <w:szCs w:val="21"/>
                    </w:rPr>
                  </w:pPr>
                  <w:r>
                    <w:rPr>
                      <w:rFonts w:hint="eastAsia"/>
                      <w:color w:val="auto"/>
                      <w:szCs w:val="21"/>
                    </w:rPr>
                    <w:t>2</w:t>
                  </w:r>
                </w:p>
              </w:tc>
            </w:tr>
            <w:tr w14:paraId="514860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22" w:type="pct"/>
                  <w:vAlign w:val="center"/>
                </w:tcPr>
                <w:p w14:paraId="6292106B">
                  <w:pPr>
                    <w:widowControl/>
                    <w:spacing w:line="276" w:lineRule="auto"/>
                    <w:jc w:val="center"/>
                    <w:rPr>
                      <w:color w:val="auto"/>
                      <w:szCs w:val="21"/>
                    </w:rPr>
                  </w:pPr>
                  <w:r>
                    <w:rPr>
                      <w:rFonts w:hint="eastAsia"/>
                      <w:color w:val="auto"/>
                      <w:szCs w:val="21"/>
                    </w:rPr>
                    <w:t>DA009</w:t>
                  </w:r>
                </w:p>
              </w:tc>
              <w:tc>
                <w:tcPr>
                  <w:tcW w:w="751" w:type="pct"/>
                  <w:vAlign w:val="center"/>
                </w:tcPr>
                <w:p w14:paraId="69B77B31">
                  <w:pPr>
                    <w:widowControl/>
                    <w:spacing w:line="276" w:lineRule="auto"/>
                    <w:jc w:val="center"/>
                    <w:rPr>
                      <w:color w:val="auto"/>
                      <w:szCs w:val="21"/>
                    </w:rPr>
                  </w:pPr>
                  <w:r>
                    <w:rPr>
                      <w:rFonts w:hint="eastAsia"/>
                      <w:color w:val="auto"/>
                      <w:szCs w:val="21"/>
                    </w:rPr>
                    <w:t>活性炭失效</w:t>
                  </w:r>
                </w:p>
              </w:tc>
              <w:tc>
                <w:tcPr>
                  <w:tcW w:w="870" w:type="pct"/>
                  <w:vAlign w:val="center"/>
                </w:tcPr>
                <w:p w14:paraId="7FFF9A6F">
                  <w:pPr>
                    <w:widowControl/>
                    <w:spacing w:line="276" w:lineRule="auto"/>
                    <w:jc w:val="center"/>
                    <w:rPr>
                      <w:color w:val="auto"/>
                      <w:szCs w:val="21"/>
                    </w:rPr>
                  </w:pPr>
                  <w:r>
                    <w:rPr>
                      <w:color w:val="auto"/>
                      <w:szCs w:val="21"/>
                    </w:rPr>
                    <w:t>非甲烷总烃</w:t>
                  </w:r>
                </w:p>
              </w:tc>
              <w:tc>
                <w:tcPr>
                  <w:tcW w:w="609" w:type="pct"/>
                  <w:vAlign w:val="center"/>
                </w:tcPr>
                <w:p w14:paraId="7C4C997B">
                  <w:pPr>
                    <w:widowControl/>
                    <w:spacing w:line="276" w:lineRule="auto"/>
                    <w:jc w:val="center"/>
                    <w:rPr>
                      <w:color w:val="auto"/>
                      <w:szCs w:val="21"/>
                    </w:rPr>
                  </w:pPr>
                  <w:r>
                    <w:rPr>
                      <w:rFonts w:hint="eastAsia"/>
                      <w:color w:val="auto"/>
                      <w:szCs w:val="21"/>
                    </w:rPr>
                    <w:t>0.5</w:t>
                  </w:r>
                </w:p>
              </w:tc>
              <w:tc>
                <w:tcPr>
                  <w:tcW w:w="767" w:type="pct"/>
                  <w:vAlign w:val="center"/>
                </w:tcPr>
                <w:p w14:paraId="5E50AD58">
                  <w:pPr>
                    <w:widowControl/>
                    <w:spacing w:line="276" w:lineRule="auto"/>
                    <w:jc w:val="center"/>
                    <w:rPr>
                      <w:color w:val="auto"/>
                      <w:szCs w:val="21"/>
                    </w:rPr>
                  </w:pPr>
                  <w:r>
                    <w:rPr>
                      <w:rFonts w:hint="eastAsia"/>
                      <w:color w:val="auto"/>
                      <w:szCs w:val="21"/>
                    </w:rPr>
                    <w:t>0.121</w:t>
                  </w:r>
                </w:p>
              </w:tc>
              <w:tc>
                <w:tcPr>
                  <w:tcW w:w="821" w:type="pct"/>
                  <w:vAlign w:val="center"/>
                </w:tcPr>
                <w:p w14:paraId="4F85587C">
                  <w:pPr>
                    <w:widowControl/>
                    <w:spacing w:line="276" w:lineRule="auto"/>
                    <w:jc w:val="center"/>
                    <w:rPr>
                      <w:color w:val="auto"/>
                      <w:szCs w:val="21"/>
                    </w:rPr>
                  </w:pPr>
                  <w:r>
                    <w:rPr>
                      <w:rFonts w:hint="eastAsia"/>
                      <w:color w:val="auto"/>
                      <w:szCs w:val="21"/>
                    </w:rPr>
                    <w:t>40.3</w:t>
                  </w:r>
                </w:p>
              </w:tc>
              <w:tc>
                <w:tcPr>
                  <w:tcW w:w="560" w:type="pct"/>
                  <w:vAlign w:val="center"/>
                </w:tcPr>
                <w:p w14:paraId="30D14489">
                  <w:pPr>
                    <w:widowControl/>
                    <w:spacing w:line="276" w:lineRule="auto"/>
                    <w:jc w:val="center"/>
                    <w:rPr>
                      <w:color w:val="auto"/>
                      <w:szCs w:val="21"/>
                    </w:rPr>
                  </w:pPr>
                  <w:r>
                    <w:rPr>
                      <w:rFonts w:hint="eastAsia"/>
                      <w:color w:val="auto"/>
                      <w:szCs w:val="21"/>
                    </w:rPr>
                    <w:t>2</w:t>
                  </w:r>
                </w:p>
              </w:tc>
            </w:tr>
          </w:tbl>
          <w:p w14:paraId="4D81798E">
            <w:pPr>
              <w:spacing w:line="360" w:lineRule="auto"/>
              <w:ind w:firstLine="480" w:firstLineChars="200"/>
              <w:jc w:val="left"/>
              <w:rPr>
                <w:bCs/>
                <w:color w:val="auto"/>
                <w:sz w:val="24"/>
                <w:szCs w:val="24"/>
              </w:rPr>
            </w:pPr>
            <w:r>
              <w:rPr>
                <w:rFonts w:hint="eastAsia"/>
                <w:bCs/>
                <w:color w:val="auto"/>
                <w:sz w:val="24"/>
                <w:szCs w:val="24"/>
              </w:rPr>
              <w:t>由上表可知，本项目在污染治理设施非正常运行时，短时间内污染物排放浓度较大，但由于持续时间较短，污染物的排放量不会明显增加。此外，为保证废气治理设施处理效率，应做好以下措施：</w:t>
            </w:r>
          </w:p>
          <w:p w14:paraId="49092604">
            <w:pPr>
              <w:spacing w:line="360" w:lineRule="auto"/>
              <w:ind w:firstLine="480" w:firstLineChars="200"/>
              <w:jc w:val="left"/>
              <w:rPr>
                <w:bCs/>
                <w:color w:val="auto"/>
                <w:sz w:val="24"/>
                <w:szCs w:val="24"/>
              </w:rPr>
            </w:pPr>
            <w:r>
              <w:rPr>
                <w:rFonts w:hint="eastAsia"/>
                <w:bCs/>
                <w:color w:val="auto"/>
                <w:sz w:val="24"/>
                <w:szCs w:val="24"/>
              </w:rPr>
              <w:t>①建设单位要定期对废气处理系统等环保设施进行维护和保养，定期更换活性炭，一旦发现设施运行异常，应立即停止生产，迅速抢修或更换，待废气处理设施运行正常后恢复生产。</w:t>
            </w:r>
          </w:p>
          <w:p w14:paraId="23E03C8E">
            <w:pPr>
              <w:spacing w:line="360" w:lineRule="auto"/>
              <w:ind w:firstLine="480" w:firstLineChars="200"/>
              <w:jc w:val="left"/>
              <w:rPr>
                <w:bCs/>
                <w:color w:val="auto"/>
                <w:sz w:val="24"/>
                <w:szCs w:val="24"/>
              </w:rPr>
            </w:pPr>
            <w:r>
              <w:rPr>
                <w:rFonts w:hint="eastAsia"/>
                <w:bCs/>
                <w:color w:val="auto"/>
                <w:sz w:val="24"/>
                <w:szCs w:val="24"/>
              </w:rPr>
              <w:t>②建议设有备用电源、备用处理设备和备用零件，以备停电或设备出现故障时保障及时更换，使废气全部达标排放。</w:t>
            </w:r>
          </w:p>
          <w:p w14:paraId="177F7D48">
            <w:pPr>
              <w:spacing w:line="360" w:lineRule="auto"/>
              <w:ind w:firstLine="480" w:firstLineChars="200"/>
              <w:jc w:val="left"/>
              <w:rPr>
                <w:bCs/>
                <w:color w:val="auto"/>
                <w:sz w:val="24"/>
                <w:szCs w:val="24"/>
              </w:rPr>
            </w:pPr>
            <w:r>
              <w:rPr>
                <w:rFonts w:hint="eastAsia"/>
                <w:bCs/>
                <w:color w:val="auto"/>
                <w:sz w:val="24"/>
                <w:szCs w:val="24"/>
              </w:rPr>
              <w:t>③对员工进行岗位培训。做好值班记录，实行岗位责任制。</w:t>
            </w:r>
          </w:p>
          <w:p w14:paraId="1537D2E9">
            <w:pPr>
              <w:spacing w:line="360" w:lineRule="auto"/>
              <w:ind w:firstLine="482" w:firstLineChars="200"/>
              <w:jc w:val="left"/>
              <w:rPr>
                <w:b/>
                <w:color w:val="auto"/>
                <w:sz w:val="24"/>
              </w:rPr>
            </w:pPr>
            <w:r>
              <w:rPr>
                <w:rFonts w:hint="eastAsia"/>
                <w:b/>
                <w:color w:val="auto"/>
                <w:sz w:val="24"/>
              </w:rPr>
              <w:t>3、废气环保措施可行性分析</w:t>
            </w:r>
          </w:p>
          <w:p w14:paraId="5252DED7">
            <w:pPr>
              <w:pStyle w:val="108"/>
              <w:adjustRightInd/>
              <w:spacing w:line="360" w:lineRule="auto"/>
              <w:ind w:firstLine="480" w:firstLineChars="200"/>
              <w:rPr>
                <w:color w:val="auto"/>
              </w:rPr>
            </w:pPr>
            <w:r>
              <w:rPr>
                <w:rFonts w:hint="eastAsia"/>
                <w:color w:val="auto"/>
              </w:rPr>
              <w:t>（1）达标可行性分析</w:t>
            </w:r>
          </w:p>
          <w:p w14:paraId="28A6EF40">
            <w:pPr>
              <w:pStyle w:val="219"/>
              <w:ind w:firstLine="480" w:firstLineChars="200"/>
              <w:rPr>
                <w:color w:val="auto"/>
              </w:rPr>
            </w:pPr>
            <w:r>
              <w:rPr>
                <w:rFonts w:hint="eastAsia"/>
                <w:color w:val="auto"/>
              </w:rPr>
              <w:t>本项目一车间、三车间喷涂工序产生的喷涂废气通过各自装置上方集气罩收集，通过两级活性炭吸附装置处理达标后，最终分别由DA010、DA009排气筒排放。根据安徽澳林检测技术有限公司于2024年3月8日对4#废气排放口（DA009）监测结果，非甲烷总烃排放浓度最大值为3.37mg/m</w:t>
            </w:r>
            <w:r>
              <w:rPr>
                <w:rFonts w:hint="eastAsia"/>
                <w:color w:val="auto"/>
                <w:vertAlign w:val="superscript"/>
              </w:rPr>
              <w:t>3</w:t>
            </w:r>
            <w:r>
              <w:rPr>
                <w:rFonts w:hint="eastAsia"/>
                <w:color w:val="auto"/>
              </w:rPr>
              <w:t>＜70mg/m</w:t>
            </w:r>
            <w:r>
              <w:rPr>
                <w:rFonts w:hint="eastAsia"/>
                <w:color w:val="auto"/>
                <w:vertAlign w:val="superscript"/>
              </w:rPr>
              <w:t>3</w:t>
            </w:r>
            <w:r>
              <w:rPr>
                <w:rFonts w:hint="eastAsia"/>
                <w:color w:val="auto"/>
              </w:rPr>
              <w:t>，结合工程分析章节废气源强分析，本次改建项目废气依托DA009排气筒排放后，非甲烷总烃叠加后排放浓度约为5.80mg/m</w:t>
            </w:r>
            <w:r>
              <w:rPr>
                <w:rFonts w:hint="eastAsia"/>
                <w:color w:val="auto"/>
                <w:vertAlign w:val="superscript"/>
              </w:rPr>
              <w:t>3</w:t>
            </w:r>
            <w:r>
              <w:rPr>
                <w:rFonts w:hint="eastAsia"/>
                <w:color w:val="auto"/>
              </w:rPr>
              <w:t>＜70mg/m</w:t>
            </w:r>
            <w:r>
              <w:rPr>
                <w:rFonts w:hint="eastAsia"/>
                <w:color w:val="auto"/>
                <w:vertAlign w:val="superscript"/>
              </w:rPr>
              <w:t>3</w:t>
            </w:r>
            <w:r>
              <w:rPr>
                <w:rFonts w:hint="eastAsia"/>
                <w:color w:val="auto"/>
              </w:rPr>
              <w:t>。DA010、DA009排气筒非甲烷总烃排放浓度均</w:t>
            </w:r>
            <w:r>
              <w:rPr>
                <w:rFonts w:hint="eastAsia"/>
                <w:color w:val="auto"/>
                <w:spacing w:val="-2"/>
                <w:szCs w:val="20"/>
              </w:rPr>
              <w:t>能满足安徽省《固定源挥发性有机物综合排放标准 第6部分：其他行业》（DB34/4812.6-2024）表1中排放限值要求。</w:t>
            </w:r>
          </w:p>
          <w:p w14:paraId="6E2A49DA">
            <w:pPr>
              <w:pStyle w:val="108"/>
              <w:adjustRightInd/>
              <w:spacing w:line="360" w:lineRule="auto"/>
              <w:ind w:firstLine="480" w:firstLineChars="200"/>
              <w:rPr>
                <w:color w:val="auto"/>
              </w:rPr>
            </w:pPr>
            <w:r>
              <w:rPr>
                <w:rFonts w:hint="eastAsia"/>
                <w:color w:val="auto"/>
              </w:rPr>
              <w:t>（2）技术可行性分析</w:t>
            </w:r>
          </w:p>
          <w:p w14:paraId="2B97E399">
            <w:pPr>
              <w:pStyle w:val="108"/>
              <w:adjustRightInd/>
              <w:spacing w:line="360" w:lineRule="auto"/>
              <w:ind w:firstLine="480" w:firstLineChars="200"/>
              <w:rPr>
                <w:color w:val="auto"/>
              </w:rPr>
            </w:pPr>
            <w:r>
              <w:rPr>
                <w:color w:val="auto"/>
              </w:rPr>
              <w:t>根据《挥发性有机物（</w:t>
            </w:r>
            <w:r>
              <w:rPr>
                <w:rFonts w:hint="eastAsia"/>
                <w:color w:val="auto"/>
              </w:rPr>
              <w:t>VOCs</w:t>
            </w:r>
            <w:r>
              <w:rPr>
                <w:color w:val="auto"/>
              </w:rPr>
              <w:t>）污染防治技术政策》（公告</w:t>
            </w:r>
            <w:r>
              <w:rPr>
                <w:rFonts w:hint="eastAsia"/>
                <w:color w:val="auto"/>
              </w:rPr>
              <w:t>2013年第31号）及参照</w:t>
            </w:r>
            <w:r>
              <w:rPr>
                <w:color w:val="auto"/>
              </w:rPr>
              <w:t>《排污许可证申请与核发技术规范</w:t>
            </w:r>
            <w:r>
              <w:rPr>
                <w:rFonts w:hint="eastAsia"/>
                <w:color w:val="auto"/>
              </w:rPr>
              <w:t xml:space="preserve"> 涂料、油墨、颜料及类似产品制造业</w:t>
            </w:r>
            <w:r>
              <w:rPr>
                <w:color w:val="auto"/>
              </w:rPr>
              <w:t>》（</w:t>
            </w:r>
            <w:r>
              <w:rPr>
                <w:rFonts w:hint="eastAsia"/>
                <w:color w:val="auto"/>
              </w:rPr>
              <w:t>HJ1116-2020</w:t>
            </w:r>
            <w:r>
              <w:rPr>
                <w:color w:val="auto"/>
              </w:rPr>
              <w:t>）中废气污染防治可行技术</w:t>
            </w:r>
            <w:r>
              <w:rPr>
                <w:rFonts w:hint="eastAsia"/>
                <w:color w:val="auto"/>
              </w:rPr>
              <w:t>，项目废气处理装置为可行技术，且</w:t>
            </w:r>
            <w:r>
              <w:rPr>
                <w:color w:val="auto"/>
              </w:rPr>
              <w:t>不属于</w:t>
            </w:r>
            <w:r>
              <w:rPr>
                <w:rFonts w:hint="eastAsia"/>
                <w:color w:val="auto"/>
              </w:rPr>
              <w:t>《</w:t>
            </w:r>
            <w:r>
              <w:rPr>
                <w:color w:val="auto"/>
              </w:rPr>
              <w:t>国家污染防治技术指导目录（</w:t>
            </w:r>
            <w:r>
              <w:rPr>
                <w:rFonts w:hint="eastAsia"/>
                <w:color w:val="auto"/>
              </w:rPr>
              <w:t>2024年，限制类和淘汰类</w:t>
            </w:r>
            <w:r>
              <w:rPr>
                <w:color w:val="auto"/>
              </w:rPr>
              <w:t>）》（公示稿）中限制类、淘汰类。</w:t>
            </w:r>
          </w:p>
          <w:p w14:paraId="59302DA2">
            <w:pPr>
              <w:spacing w:line="360" w:lineRule="auto"/>
              <w:jc w:val="center"/>
              <w:rPr>
                <w:rFonts w:eastAsia="黑体"/>
                <w:color w:val="auto"/>
                <w:szCs w:val="21"/>
              </w:rPr>
            </w:pPr>
            <w:r>
              <w:rPr>
                <w:rFonts w:hAnsi="黑体" w:eastAsia="黑体"/>
                <w:color w:val="auto"/>
                <w:sz w:val="24"/>
                <w:szCs w:val="24"/>
              </w:rPr>
              <w:t>表</w:t>
            </w:r>
            <w:r>
              <w:rPr>
                <w:rFonts w:hint="eastAsia" w:hAnsi="黑体" w:eastAsia="黑体"/>
                <w:color w:val="auto"/>
                <w:sz w:val="24"/>
                <w:szCs w:val="24"/>
              </w:rPr>
              <w:t xml:space="preserve">43 </w:t>
            </w:r>
            <w:r>
              <w:rPr>
                <w:rFonts w:hAnsi="黑体" w:eastAsia="黑体"/>
                <w:color w:val="auto"/>
                <w:sz w:val="24"/>
                <w:szCs w:val="24"/>
              </w:rPr>
              <w:t xml:space="preserve"> 废气污染防治可行技术参考表</w:t>
            </w:r>
          </w:p>
          <w:tbl>
            <w:tblPr>
              <w:tblStyle w:val="34"/>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67"/>
              <w:gridCol w:w="1517"/>
              <w:gridCol w:w="1699"/>
              <w:gridCol w:w="1562"/>
              <w:gridCol w:w="1554"/>
              <w:gridCol w:w="946"/>
            </w:tblGrid>
            <w:tr w14:paraId="4C9A267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32" w:type="pct"/>
                  <w:vAlign w:val="center"/>
                </w:tcPr>
                <w:p w14:paraId="10102B28">
                  <w:pPr>
                    <w:spacing w:line="276" w:lineRule="auto"/>
                    <w:jc w:val="center"/>
                    <w:rPr>
                      <w:b/>
                      <w:color w:val="auto"/>
                    </w:rPr>
                  </w:pPr>
                  <w:r>
                    <w:rPr>
                      <w:rFonts w:hint="eastAsia"/>
                      <w:b/>
                      <w:color w:val="auto"/>
                    </w:rPr>
                    <w:t>生产设施</w:t>
                  </w:r>
                </w:p>
              </w:tc>
              <w:tc>
                <w:tcPr>
                  <w:tcW w:w="931" w:type="pct"/>
                  <w:vAlign w:val="center"/>
                </w:tcPr>
                <w:p w14:paraId="022F3E05">
                  <w:pPr>
                    <w:spacing w:line="276" w:lineRule="auto"/>
                    <w:jc w:val="center"/>
                    <w:rPr>
                      <w:b/>
                      <w:color w:val="auto"/>
                    </w:rPr>
                  </w:pPr>
                  <w:r>
                    <w:rPr>
                      <w:rFonts w:hint="eastAsia"/>
                      <w:b/>
                      <w:color w:val="auto"/>
                    </w:rPr>
                    <w:t>污染控制项目</w:t>
                  </w:r>
                </w:p>
              </w:tc>
              <w:tc>
                <w:tcPr>
                  <w:tcW w:w="1043" w:type="pct"/>
                  <w:vAlign w:val="center"/>
                </w:tcPr>
                <w:p w14:paraId="560454D0">
                  <w:pPr>
                    <w:spacing w:line="276" w:lineRule="auto"/>
                    <w:jc w:val="center"/>
                    <w:rPr>
                      <w:b/>
                      <w:color w:val="auto"/>
                    </w:rPr>
                  </w:pPr>
                  <w:r>
                    <w:rPr>
                      <w:rFonts w:hint="eastAsia"/>
                      <w:b/>
                      <w:color w:val="auto"/>
                    </w:rPr>
                    <w:t>过程控制技术</w:t>
                  </w:r>
                </w:p>
              </w:tc>
              <w:tc>
                <w:tcPr>
                  <w:tcW w:w="959" w:type="pct"/>
                  <w:vAlign w:val="center"/>
                </w:tcPr>
                <w:p w14:paraId="5BE54146">
                  <w:pPr>
                    <w:spacing w:line="276" w:lineRule="auto"/>
                    <w:jc w:val="center"/>
                    <w:rPr>
                      <w:b/>
                      <w:color w:val="auto"/>
                    </w:rPr>
                  </w:pPr>
                  <w:r>
                    <w:rPr>
                      <w:rFonts w:hint="eastAsia"/>
                      <w:b/>
                      <w:color w:val="auto"/>
                    </w:rPr>
                    <w:t>规范中可行性技术</w:t>
                  </w:r>
                </w:p>
              </w:tc>
              <w:tc>
                <w:tcPr>
                  <w:tcW w:w="954" w:type="pct"/>
                  <w:vAlign w:val="center"/>
                </w:tcPr>
                <w:p w14:paraId="56F3A883">
                  <w:pPr>
                    <w:spacing w:line="276" w:lineRule="auto"/>
                    <w:jc w:val="center"/>
                    <w:rPr>
                      <w:b/>
                      <w:color w:val="auto"/>
                    </w:rPr>
                  </w:pPr>
                  <w:r>
                    <w:rPr>
                      <w:rFonts w:hint="eastAsia"/>
                      <w:b/>
                      <w:color w:val="auto"/>
                    </w:rPr>
                    <w:t>本项目情况</w:t>
                  </w:r>
                </w:p>
              </w:tc>
              <w:tc>
                <w:tcPr>
                  <w:tcW w:w="581" w:type="pct"/>
                  <w:vAlign w:val="center"/>
                </w:tcPr>
                <w:p w14:paraId="4CD6117D">
                  <w:pPr>
                    <w:spacing w:line="276" w:lineRule="auto"/>
                    <w:jc w:val="center"/>
                    <w:rPr>
                      <w:b/>
                      <w:color w:val="auto"/>
                    </w:rPr>
                  </w:pPr>
                  <w:r>
                    <w:rPr>
                      <w:rFonts w:hint="eastAsia"/>
                      <w:b/>
                      <w:color w:val="auto"/>
                    </w:rPr>
                    <w:t>是否是可行技术</w:t>
                  </w:r>
                </w:p>
              </w:tc>
            </w:tr>
            <w:tr w14:paraId="6334536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1" w:hRule="atLeast"/>
                <w:jc w:val="center"/>
              </w:trPr>
              <w:tc>
                <w:tcPr>
                  <w:tcW w:w="532" w:type="pct"/>
                  <w:vAlign w:val="center"/>
                </w:tcPr>
                <w:p w14:paraId="33C96A2D">
                  <w:pPr>
                    <w:pStyle w:val="108"/>
                    <w:adjustRightInd/>
                    <w:spacing w:line="276" w:lineRule="auto"/>
                    <w:jc w:val="center"/>
                    <w:rPr>
                      <w:color w:val="auto"/>
                      <w:kern w:val="2"/>
                      <w:sz w:val="21"/>
                      <w:szCs w:val="21"/>
                      <w:lang w:val="zh-CN"/>
                    </w:rPr>
                  </w:pPr>
                  <w:r>
                    <w:rPr>
                      <w:rFonts w:hint="eastAsia"/>
                      <w:color w:val="auto"/>
                      <w:kern w:val="2"/>
                      <w:sz w:val="21"/>
                      <w:szCs w:val="21"/>
                      <w:lang w:val="zh-CN"/>
                    </w:rPr>
                    <w:t>喷涂废气</w:t>
                  </w:r>
                </w:p>
              </w:tc>
              <w:tc>
                <w:tcPr>
                  <w:tcW w:w="931" w:type="pct"/>
                  <w:vAlign w:val="center"/>
                </w:tcPr>
                <w:p w14:paraId="61E33CED">
                  <w:pPr>
                    <w:pStyle w:val="108"/>
                    <w:adjustRightInd/>
                    <w:spacing w:line="276" w:lineRule="auto"/>
                    <w:jc w:val="center"/>
                    <w:rPr>
                      <w:color w:val="auto"/>
                      <w:kern w:val="2"/>
                      <w:sz w:val="21"/>
                      <w:szCs w:val="21"/>
                      <w:lang w:val="zh-CN"/>
                    </w:rPr>
                  </w:pPr>
                  <w:r>
                    <w:rPr>
                      <w:rFonts w:hint="eastAsia"/>
                      <w:color w:val="auto"/>
                      <w:kern w:val="2"/>
                      <w:sz w:val="21"/>
                      <w:szCs w:val="21"/>
                      <w:lang w:val="zh-CN"/>
                    </w:rPr>
                    <w:t>挥发性有机物</w:t>
                  </w:r>
                </w:p>
              </w:tc>
              <w:tc>
                <w:tcPr>
                  <w:tcW w:w="1043" w:type="pct"/>
                  <w:vAlign w:val="center"/>
                </w:tcPr>
                <w:p w14:paraId="4055485B">
                  <w:pPr>
                    <w:pStyle w:val="108"/>
                    <w:adjustRightInd/>
                    <w:spacing w:line="276" w:lineRule="auto"/>
                    <w:jc w:val="center"/>
                    <w:rPr>
                      <w:color w:val="auto"/>
                      <w:kern w:val="2"/>
                      <w:sz w:val="21"/>
                      <w:szCs w:val="21"/>
                      <w:lang w:val="zh-CN"/>
                    </w:rPr>
                  </w:pPr>
                  <w:r>
                    <w:rPr>
                      <w:color w:val="auto"/>
                      <w:kern w:val="2"/>
                      <w:sz w:val="21"/>
                      <w:szCs w:val="21"/>
                      <w:lang w:val="zh-CN"/>
                    </w:rPr>
                    <w:t>密闭过程、密闭空间、密闭收集、局部有效收集</w:t>
                  </w:r>
                </w:p>
              </w:tc>
              <w:tc>
                <w:tcPr>
                  <w:tcW w:w="959" w:type="pct"/>
                  <w:vAlign w:val="center"/>
                </w:tcPr>
                <w:p w14:paraId="0AF87C3B">
                  <w:pPr>
                    <w:pStyle w:val="108"/>
                    <w:adjustRightInd/>
                    <w:spacing w:line="276" w:lineRule="auto"/>
                    <w:jc w:val="center"/>
                    <w:rPr>
                      <w:color w:val="auto"/>
                      <w:kern w:val="2"/>
                      <w:sz w:val="21"/>
                      <w:szCs w:val="21"/>
                      <w:lang w:val="zh-CN"/>
                    </w:rPr>
                  </w:pPr>
                  <w:r>
                    <w:rPr>
                      <w:rFonts w:hint="eastAsia"/>
                      <w:color w:val="auto"/>
                      <w:kern w:val="2"/>
                      <w:sz w:val="21"/>
                      <w:szCs w:val="21"/>
                      <w:lang w:val="zh-CN"/>
                    </w:rPr>
                    <w:t>VOCs治理技术：冷凝、吸附、燃烧、浓缩-燃烧</w:t>
                  </w:r>
                </w:p>
              </w:tc>
              <w:tc>
                <w:tcPr>
                  <w:tcW w:w="954" w:type="pct"/>
                  <w:vAlign w:val="center"/>
                </w:tcPr>
                <w:p w14:paraId="517679FD">
                  <w:pPr>
                    <w:pStyle w:val="108"/>
                    <w:adjustRightInd/>
                    <w:spacing w:line="276" w:lineRule="auto"/>
                    <w:jc w:val="center"/>
                    <w:rPr>
                      <w:color w:val="auto"/>
                      <w:kern w:val="2"/>
                      <w:sz w:val="21"/>
                      <w:szCs w:val="21"/>
                      <w:lang w:val="zh-CN"/>
                    </w:rPr>
                  </w:pPr>
                  <w:r>
                    <w:rPr>
                      <w:rFonts w:hint="eastAsia"/>
                      <w:color w:val="auto"/>
                      <w:kern w:val="2"/>
                      <w:sz w:val="21"/>
                      <w:szCs w:val="21"/>
                      <w:lang w:val="zh-CN"/>
                    </w:rPr>
                    <w:t>产生的废气由集气罩收集后经两级活性炭吸附装置处理</w:t>
                  </w:r>
                </w:p>
              </w:tc>
              <w:tc>
                <w:tcPr>
                  <w:tcW w:w="581" w:type="pct"/>
                  <w:vAlign w:val="center"/>
                </w:tcPr>
                <w:p w14:paraId="2D5DAA64">
                  <w:pPr>
                    <w:pStyle w:val="108"/>
                    <w:adjustRightInd/>
                    <w:spacing w:line="276" w:lineRule="auto"/>
                    <w:jc w:val="center"/>
                    <w:rPr>
                      <w:color w:val="auto"/>
                      <w:kern w:val="2"/>
                      <w:sz w:val="21"/>
                      <w:szCs w:val="21"/>
                      <w:lang w:val="zh-CN"/>
                    </w:rPr>
                  </w:pPr>
                  <w:r>
                    <w:rPr>
                      <w:rFonts w:hint="eastAsia"/>
                      <w:color w:val="auto"/>
                      <w:kern w:val="2"/>
                      <w:sz w:val="21"/>
                      <w:szCs w:val="21"/>
                      <w:lang w:val="zh-CN"/>
                    </w:rPr>
                    <w:t>是</w:t>
                  </w:r>
                </w:p>
              </w:tc>
            </w:tr>
          </w:tbl>
          <w:p w14:paraId="6CC42D65">
            <w:pPr>
              <w:spacing w:line="360" w:lineRule="auto"/>
              <w:ind w:firstLine="480" w:firstLineChars="200"/>
              <w:jc w:val="left"/>
              <w:rPr>
                <w:color w:val="auto"/>
                <w:sz w:val="24"/>
                <w:szCs w:val="28"/>
              </w:rPr>
            </w:pPr>
            <w:r>
              <w:rPr>
                <w:rFonts w:hint="eastAsia"/>
                <w:color w:val="auto"/>
                <w:sz w:val="24"/>
                <w:szCs w:val="28"/>
              </w:rPr>
              <w:t>（3）排气筒高度设置合理性分析</w:t>
            </w:r>
          </w:p>
          <w:p w14:paraId="4444798D">
            <w:pPr>
              <w:spacing w:line="360" w:lineRule="auto"/>
              <w:ind w:firstLine="480" w:firstLineChars="200"/>
              <w:jc w:val="left"/>
              <w:rPr>
                <w:color w:val="auto"/>
                <w:sz w:val="24"/>
                <w:szCs w:val="28"/>
              </w:rPr>
            </w:pPr>
            <w:r>
              <w:rPr>
                <w:rFonts w:hint="eastAsia"/>
                <w:color w:val="auto"/>
                <w:sz w:val="24"/>
                <w:szCs w:val="28"/>
              </w:rPr>
              <w:t>本次改建项目新增DA010排气筒设置高度依据安徽省《固定源挥发性有机物综合排放标准 第6部分：其他行业</w:t>
            </w:r>
            <w:r>
              <w:rPr>
                <w:rFonts w:hint="eastAsia"/>
                <w:color w:val="auto"/>
                <w:sz w:val="24"/>
              </w:rPr>
              <w:t>》（DB34/4812.6-2024）中4.13之规定：排气筒高度不低于15m（因安全考虑或有特殊工艺要求的除外），具体高度以及与周围建筑物的相对高度关系应根据环境影响评价文件确定。由于周边200m内最高建筑高度为14.4m，故本次新增DA010排气筒高度取20m。</w:t>
            </w:r>
          </w:p>
          <w:p w14:paraId="78D58E48">
            <w:pPr>
              <w:spacing w:line="360" w:lineRule="auto"/>
              <w:ind w:firstLine="480" w:firstLineChars="200"/>
              <w:jc w:val="left"/>
              <w:rPr>
                <w:b/>
                <w:color w:val="auto"/>
                <w:sz w:val="24"/>
              </w:rPr>
            </w:pPr>
            <w:r>
              <w:rPr>
                <w:rFonts w:hint="eastAsia"/>
                <w:color w:val="auto"/>
                <w:sz w:val="24"/>
                <w:szCs w:val="28"/>
              </w:rPr>
              <w:t>综上所述，本项目废气排放技术可行性及污染物排放可达性要求，由此可以得出，该项目的废气处理方案是合理的。</w:t>
            </w:r>
          </w:p>
          <w:p w14:paraId="5807002C">
            <w:pPr>
              <w:pStyle w:val="108"/>
              <w:adjustRightInd/>
              <w:spacing w:line="360" w:lineRule="auto"/>
              <w:ind w:firstLine="482" w:firstLineChars="200"/>
              <w:rPr>
                <w:b/>
                <w:color w:val="auto"/>
              </w:rPr>
            </w:pPr>
            <w:r>
              <w:rPr>
                <w:rFonts w:hint="eastAsia"/>
                <w:b/>
                <w:color w:val="auto"/>
              </w:rPr>
              <w:t>4、环境监测计划</w:t>
            </w:r>
          </w:p>
          <w:p w14:paraId="42A28551">
            <w:pPr>
              <w:pStyle w:val="108"/>
              <w:adjustRightInd/>
              <w:spacing w:line="360" w:lineRule="auto"/>
              <w:ind w:firstLine="480" w:firstLineChars="200"/>
              <w:jc w:val="both"/>
              <w:rPr>
                <w:color w:val="auto"/>
              </w:rPr>
            </w:pPr>
            <w:r>
              <w:rPr>
                <w:rFonts w:hint="eastAsia"/>
                <w:color w:val="auto"/>
              </w:rPr>
              <w:t>项目废气监测频次参照《排污单位自行监测技术指南 涂装》（HJ1086-2020）、《排污单位自行监测技术指南 总则》（HJ819-2017）中规定执行。</w:t>
            </w:r>
          </w:p>
          <w:p w14:paraId="4D2D61DF">
            <w:pPr>
              <w:pStyle w:val="108"/>
              <w:adjustRightInd/>
              <w:spacing w:line="360" w:lineRule="auto"/>
              <w:ind w:firstLine="480" w:firstLineChars="200"/>
              <w:jc w:val="both"/>
              <w:rPr>
                <w:color w:val="auto"/>
              </w:rPr>
            </w:pPr>
          </w:p>
          <w:p w14:paraId="60DF7ADC">
            <w:pPr>
              <w:pStyle w:val="108"/>
              <w:adjustRightInd/>
              <w:spacing w:line="360" w:lineRule="auto"/>
              <w:ind w:firstLine="480" w:firstLineChars="200"/>
              <w:jc w:val="both"/>
              <w:rPr>
                <w:color w:val="auto"/>
              </w:rPr>
            </w:pPr>
          </w:p>
          <w:p w14:paraId="7E14C214">
            <w:pPr>
              <w:pStyle w:val="108"/>
              <w:adjustRightInd/>
              <w:spacing w:line="360" w:lineRule="auto"/>
              <w:ind w:firstLine="480" w:firstLineChars="200"/>
              <w:jc w:val="both"/>
              <w:rPr>
                <w:color w:val="auto"/>
              </w:rPr>
            </w:pPr>
          </w:p>
          <w:p w14:paraId="11FDB5F7">
            <w:pPr>
              <w:pStyle w:val="108"/>
              <w:adjustRightInd/>
              <w:spacing w:line="360" w:lineRule="auto"/>
              <w:ind w:firstLine="480" w:firstLineChars="200"/>
              <w:jc w:val="both"/>
              <w:rPr>
                <w:color w:val="auto"/>
              </w:rPr>
            </w:pPr>
          </w:p>
          <w:p w14:paraId="416C4617">
            <w:pPr>
              <w:spacing w:line="360" w:lineRule="auto"/>
              <w:jc w:val="center"/>
              <w:rPr>
                <w:b/>
                <w:color w:val="auto"/>
                <w:szCs w:val="21"/>
              </w:rPr>
            </w:pPr>
            <w:r>
              <w:rPr>
                <w:rFonts w:hint="eastAsia" w:hAnsi="黑体" w:eastAsia="黑体"/>
                <w:color w:val="auto"/>
                <w:sz w:val="24"/>
                <w:szCs w:val="24"/>
              </w:rPr>
              <w:t>表44</w:t>
            </w:r>
            <w:r>
              <w:rPr>
                <w:rFonts w:hAnsi="黑体" w:eastAsia="黑体"/>
                <w:color w:val="auto"/>
                <w:sz w:val="24"/>
                <w:szCs w:val="24"/>
              </w:rPr>
              <w:t xml:space="preserve">  </w:t>
            </w:r>
            <w:r>
              <w:rPr>
                <w:rFonts w:hint="eastAsia" w:hAnsi="黑体" w:eastAsia="黑体"/>
                <w:color w:val="auto"/>
                <w:sz w:val="24"/>
                <w:szCs w:val="24"/>
              </w:rPr>
              <w:t>大气污染物自行监测计划一览表</w:t>
            </w:r>
          </w:p>
          <w:tbl>
            <w:tblPr>
              <w:tblStyle w:val="3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710"/>
              <w:gridCol w:w="1416"/>
              <w:gridCol w:w="1564"/>
              <w:gridCol w:w="2487"/>
            </w:tblGrid>
            <w:tr w14:paraId="39E80F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4" w:type="pct"/>
                  <w:vAlign w:val="center"/>
                </w:tcPr>
                <w:p w14:paraId="62B5E7FF">
                  <w:pPr>
                    <w:spacing w:line="276" w:lineRule="auto"/>
                    <w:jc w:val="center"/>
                    <w:rPr>
                      <w:b/>
                      <w:color w:val="auto"/>
                      <w:szCs w:val="21"/>
                    </w:rPr>
                  </w:pPr>
                  <w:r>
                    <w:rPr>
                      <w:rFonts w:hint="eastAsia"/>
                      <w:b/>
                      <w:color w:val="auto"/>
                      <w:szCs w:val="21"/>
                    </w:rPr>
                    <w:t>类别</w:t>
                  </w:r>
                </w:p>
              </w:tc>
              <w:tc>
                <w:tcPr>
                  <w:tcW w:w="1050" w:type="pct"/>
                  <w:vAlign w:val="center"/>
                </w:tcPr>
                <w:p w14:paraId="17CCA000">
                  <w:pPr>
                    <w:spacing w:line="276" w:lineRule="auto"/>
                    <w:jc w:val="center"/>
                    <w:rPr>
                      <w:b/>
                      <w:color w:val="auto"/>
                      <w:szCs w:val="21"/>
                    </w:rPr>
                  </w:pPr>
                  <w:r>
                    <w:rPr>
                      <w:rFonts w:hint="eastAsia"/>
                      <w:b/>
                      <w:color w:val="auto"/>
                      <w:szCs w:val="21"/>
                    </w:rPr>
                    <w:t>监测点位</w:t>
                  </w:r>
                </w:p>
              </w:tc>
              <w:tc>
                <w:tcPr>
                  <w:tcW w:w="869" w:type="pct"/>
                  <w:vAlign w:val="center"/>
                </w:tcPr>
                <w:p w14:paraId="3E5573A7">
                  <w:pPr>
                    <w:spacing w:line="276" w:lineRule="auto"/>
                    <w:jc w:val="center"/>
                    <w:rPr>
                      <w:b/>
                      <w:color w:val="auto"/>
                      <w:szCs w:val="21"/>
                    </w:rPr>
                  </w:pPr>
                  <w:r>
                    <w:rPr>
                      <w:rFonts w:hint="eastAsia"/>
                      <w:b/>
                      <w:color w:val="auto"/>
                      <w:szCs w:val="21"/>
                    </w:rPr>
                    <w:t>监测因子</w:t>
                  </w:r>
                </w:p>
              </w:tc>
              <w:tc>
                <w:tcPr>
                  <w:tcW w:w="960" w:type="pct"/>
                  <w:vAlign w:val="center"/>
                </w:tcPr>
                <w:p w14:paraId="03C52799">
                  <w:pPr>
                    <w:spacing w:line="276" w:lineRule="auto"/>
                    <w:jc w:val="center"/>
                    <w:rPr>
                      <w:b/>
                      <w:color w:val="auto"/>
                      <w:szCs w:val="21"/>
                    </w:rPr>
                  </w:pPr>
                  <w:r>
                    <w:rPr>
                      <w:rFonts w:hint="eastAsia"/>
                      <w:b/>
                      <w:color w:val="auto"/>
                      <w:szCs w:val="21"/>
                    </w:rPr>
                    <w:t>监测频次</w:t>
                  </w:r>
                </w:p>
              </w:tc>
              <w:tc>
                <w:tcPr>
                  <w:tcW w:w="1527" w:type="pct"/>
                  <w:vAlign w:val="center"/>
                </w:tcPr>
                <w:p w14:paraId="7B06FF1C">
                  <w:pPr>
                    <w:spacing w:line="276" w:lineRule="auto"/>
                    <w:jc w:val="center"/>
                    <w:rPr>
                      <w:b/>
                      <w:color w:val="auto"/>
                      <w:szCs w:val="21"/>
                    </w:rPr>
                  </w:pPr>
                  <w:r>
                    <w:rPr>
                      <w:rFonts w:hint="eastAsia"/>
                      <w:b/>
                      <w:color w:val="auto"/>
                      <w:szCs w:val="21"/>
                    </w:rPr>
                    <w:t>执行排放标准</w:t>
                  </w:r>
                </w:p>
              </w:tc>
            </w:tr>
            <w:tr w14:paraId="062E56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94" w:type="pct"/>
                  <w:vMerge w:val="restart"/>
                  <w:vAlign w:val="center"/>
                </w:tcPr>
                <w:p w14:paraId="1200AD0F">
                  <w:pPr>
                    <w:spacing w:line="276" w:lineRule="auto"/>
                    <w:jc w:val="center"/>
                    <w:rPr>
                      <w:color w:val="auto"/>
                      <w:szCs w:val="21"/>
                    </w:rPr>
                  </w:pPr>
                  <w:r>
                    <w:rPr>
                      <w:color w:val="auto"/>
                      <w:szCs w:val="21"/>
                    </w:rPr>
                    <w:t>有组织</w:t>
                  </w:r>
                </w:p>
              </w:tc>
              <w:tc>
                <w:tcPr>
                  <w:tcW w:w="1050" w:type="pct"/>
                  <w:vAlign w:val="center"/>
                </w:tcPr>
                <w:p w14:paraId="15ABDE65">
                  <w:pPr>
                    <w:spacing w:line="276" w:lineRule="auto"/>
                    <w:jc w:val="center"/>
                    <w:rPr>
                      <w:color w:val="auto"/>
                      <w:szCs w:val="21"/>
                    </w:rPr>
                  </w:pPr>
                  <w:r>
                    <w:rPr>
                      <w:rFonts w:hint="eastAsia"/>
                      <w:color w:val="auto"/>
                      <w:szCs w:val="21"/>
                    </w:rPr>
                    <w:t>排气筒（</w:t>
                  </w:r>
                  <w:r>
                    <w:rPr>
                      <w:color w:val="auto"/>
                      <w:szCs w:val="21"/>
                    </w:rPr>
                    <w:t>DA0</w:t>
                  </w:r>
                  <w:r>
                    <w:rPr>
                      <w:rFonts w:hint="eastAsia"/>
                      <w:color w:val="auto"/>
                      <w:szCs w:val="21"/>
                    </w:rPr>
                    <w:t>10）</w:t>
                  </w:r>
                </w:p>
              </w:tc>
              <w:tc>
                <w:tcPr>
                  <w:tcW w:w="869" w:type="pct"/>
                  <w:vAlign w:val="center"/>
                </w:tcPr>
                <w:p w14:paraId="43A68092">
                  <w:pPr>
                    <w:spacing w:line="276" w:lineRule="auto"/>
                    <w:jc w:val="center"/>
                    <w:rPr>
                      <w:color w:val="auto"/>
                      <w:szCs w:val="21"/>
                    </w:rPr>
                  </w:pPr>
                  <w:r>
                    <w:rPr>
                      <w:rFonts w:hint="eastAsia"/>
                      <w:color w:val="auto"/>
                      <w:szCs w:val="21"/>
                    </w:rPr>
                    <w:t>非甲烷总烃</w:t>
                  </w:r>
                </w:p>
              </w:tc>
              <w:tc>
                <w:tcPr>
                  <w:tcW w:w="960" w:type="pct"/>
                  <w:vAlign w:val="center"/>
                </w:tcPr>
                <w:p w14:paraId="3A6E0130">
                  <w:pPr>
                    <w:widowControl/>
                    <w:spacing w:line="276" w:lineRule="auto"/>
                    <w:jc w:val="center"/>
                    <w:rPr>
                      <w:color w:val="auto"/>
                      <w:szCs w:val="21"/>
                    </w:rPr>
                  </w:pPr>
                  <w:r>
                    <w:rPr>
                      <w:rFonts w:hint="eastAsia"/>
                      <w:color w:val="auto"/>
                      <w:szCs w:val="21"/>
                    </w:rPr>
                    <w:t>1次/半年</w:t>
                  </w:r>
                </w:p>
              </w:tc>
              <w:tc>
                <w:tcPr>
                  <w:tcW w:w="1527" w:type="pct"/>
                  <w:vMerge w:val="restart"/>
                  <w:vAlign w:val="center"/>
                </w:tcPr>
                <w:p w14:paraId="4BB788A1">
                  <w:pPr>
                    <w:spacing w:line="276" w:lineRule="auto"/>
                    <w:jc w:val="center"/>
                    <w:rPr>
                      <w:color w:val="auto"/>
                      <w:spacing w:val="-2"/>
                      <w:kern w:val="0"/>
                      <w:szCs w:val="21"/>
                    </w:rPr>
                  </w:pPr>
                  <w:r>
                    <w:rPr>
                      <w:rFonts w:hint="eastAsia"/>
                      <w:color w:val="auto"/>
                      <w:spacing w:val="-2"/>
                      <w:kern w:val="0"/>
                      <w:szCs w:val="21"/>
                    </w:rPr>
                    <w:t>安徽省《固定源挥发性有机物综合排放标准 第6部分：其他行业》（DB34/4812.6-2024）表1中排放限值</w:t>
                  </w:r>
                </w:p>
              </w:tc>
            </w:tr>
            <w:tr w14:paraId="008D51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4" w:type="pct"/>
                  <w:vMerge w:val="continue"/>
                  <w:vAlign w:val="center"/>
                </w:tcPr>
                <w:p w14:paraId="63709FD1">
                  <w:pPr>
                    <w:widowControl/>
                    <w:spacing w:line="276" w:lineRule="auto"/>
                    <w:jc w:val="center"/>
                    <w:rPr>
                      <w:color w:val="auto"/>
                      <w:szCs w:val="21"/>
                    </w:rPr>
                  </w:pPr>
                </w:p>
              </w:tc>
              <w:tc>
                <w:tcPr>
                  <w:tcW w:w="1050" w:type="pct"/>
                  <w:vAlign w:val="center"/>
                </w:tcPr>
                <w:p w14:paraId="1A4AA559">
                  <w:pPr>
                    <w:widowControl/>
                    <w:spacing w:line="276" w:lineRule="auto"/>
                    <w:jc w:val="center"/>
                    <w:rPr>
                      <w:color w:val="auto"/>
                      <w:szCs w:val="21"/>
                    </w:rPr>
                  </w:pPr>
                  <w:r>
                    <w:rPr>
                      <w:rFonts w:hint="eastAsia"/>
                      <w:color w:val="auto"/>
                      <w:szCs w:val="21"/>
                    </w:rPr>
                    <w:t>排气筒（</w:t>
                  </w:r>
                  <w:r>
                    <w:rPr>
                      <w:color w:val="auto"/>
                      <w:szCs w:val="21"/>
                    </w:rPr>
                    <w:t>DA0</w:t>
                  </w:r>
                  <w:r>
                    <w:rPr>
                      <w:rFonts w:hint="eastAsia"/>
                      <w:color w:val="auto"/>
                      <w:szCs w:val="21"/>
                    </w:rPr>
                    <w:t>09）</w:t>
                  </w:r>
                </w:p>
              </w:tc>
              <w:tc>
                <w:tcPr>
                  <w:tcW w:w="869" w:type="pct"/>
                  <w:vAlign w:val="center"/>
                </w:tcPr>
                <w:p w14:paraId="1788703F">
                  <w:pPr>
                    <w:spacing w:line="276" w:lineRule="auto"/>
                    <w:jc w:val="center"/>
                    <w:rPr>
                      <w:color w:val="auto"/>
                      <w:szCs w:val="21"/>
                    </w:rPr>
                  </w:pPr>
                  <w:r>
                    <w:rPr>
                      <w:rFonts w:hint="eastAsia"/>
                      <w:color w:val="auto"/>
                      <w:szCs w:val="21"/>
                    </w:rPr>
                    <w:t>非甲烷总烃</w:t>
                  </w:r>
                </w:p>
              </w:tc>
              <w:tc>
                <w:tcPr>
                  <w:tcW w:w="960" w:type="pct"/>
                  <w:vAlign w:val="center"/>
                </w:tcPr>
                <w:p w14:paraId="386DBA9D">
                  <w:pPr>
                    <w:widowControl/>
                    <w:spacing w:line="276" w:lineRule="auto"/>
                    <w:jc w:val="center"/>
                    <w:rPr>
                      <w:color w:val="auto"/>
                      <w:szCs w:val="21"/>
                    </w:rPr>
                  </w:pPr>
                  <w:r>
                    <w:rPr>
                      <w:rFonts w:hint="eastAsia"/>
                      <w:color w:val="auto"/>
                      <w:szCs w:val="21"/>
                    </w:rPr>
                    <w:t>1次/半年</w:t>
                  </w:r>
                </w:p>
              </w:tc>
              <w:tc>
                <w:tcPr>
                  <w:tcW w:w="1527" w:type="pct"/>
                  <w:vMerge w:val="continue"/>
                  <w:vAlign w:val="center"/>
                </w:tcPr>
                <w:p w14:paraId="40249930">
                  <w:pPr>
                    <w:spacing w:line="276" w:lineRule="auto"/>
                    <w:jc w:val="center"/>
                    <w:rPr>
                      <w:color w:val="auto"/>
                      <w:szCs w:val="21"/>
                    </w:rPr>
                  </w:pPr>
                </w:p>
              </w:tc>
            </w:tr>
            <w:tr w14:paraId="595EE4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94" w:type="pct"/>
                  <w:vMerge w:val="restart"/>
                  <w:vAlign w:val="center"/>
                </w:tcPr>
                <w:p w14:paraId="67C15B6B">
                  <w:pPr>
                    <w:widowControl/>
                    <w:spacing w:line="276" w:lineRule="auto"/>
                    <w:jc w:val="center"/>
                    <w:rPr>
                      <w:color w:val="auto"/>
                      <w:szCs w:val="21"/>
                    </w:rPr>
                  </w:pPr>
                  <w:r>
                    <w:rPr>
                      <w:color w:val="auto"/>
                      <w:szCs w:val="21"/>
                    </w:rPr>
                    <w:t>无组织</w:t>
                  </w:r>
                </w:p>
              </w:tc>
              <w:tc>
                <w:tcPr>
                  <w:tcW w:w="1050" w:type="pct"/>
                  <w:vAlign w:val="center"/>
                </w:tcPr>
                <w:p w14:paraId="074AF3DF">
                  <w:pPr>
                    <w:widowControl/>
                    <w:spacing w:line="276" w:lineRule="auto"/>
                    <w:jc w:val="center"/>
                    <w:rPr>
                      <w:color w:val="auto"/>
                      <w:szCs w:val="21"/>
                    </w:rPr>
                  </w:pPr>
                  <w:r>
                    <w:rPr>
                      <w:rFonts w:hint="eastAsia"/>
                      <w:color w:val="auto"/>
                      <w:szCs w:val="21"/>
                    </w:rPr>
                    <w:t>厂界</w:t>
                  </w:r>
                </w:p>
              </w:tc>
              <w:tc>
                <w:tcPr>
                  <w:tcW w:w="869" w:type="pct"/>
                  <w:vAlign w:val="center"/>
                </w:tcPr>
                <w:p w14:paraId="090A98F1">
                  <w:pPr>
                    <w:spacing w:line="276" w:lineRule="auto"/>
                    <w:jc w:val="center"/>
                    <w:rPr>
                      <w:color w:val="auto"/>
                      <w:szCs w:val="21"/>
                    </w:rPr>
                  </w:pPr>
                  <w:r>
                    <w:rPr>
                      <w:rFonts w:hint="eastAsia"/>
                      <w:color w:val="auto"/>
                      <w:szCs w:val="21"/>
                    </w:rPr>
                    <w:t>非甲烷总烃</w:t>
                  </w:r>
                </w:p>
              </w:tc>
              <w:tc>
                <w:tcPr>
                  <w:tcW w:w="960" w:type="pct"/>
                  <w:vAlign w:val="center"/>
                </w:tcPr>
                <w:p w14:paraId="3BE25D2D">
                  <w:pPr>
                    <w:widowControl/>
                    <w:spacing w:line="276" w:lineRule="auto"/>
                    <w:jc w:val="center"/>
                    <w:rPr>
                      <w:color w:val="auto"/>
                      <w:szCs w:val="21"/>
                    </w:rPr>
                  </w:pPr>
                  <w:r>
                    <w:rPr>
                      <w:rFonts w:hint="eastAsia"/>
                      <w:color w:val="auto"/>
                      <w:szCs w:val="21"/>
                    </w:rPr>
                    <w:t>1次/半年</w:t>
                  </w:r>
                </w:p>
              </w:tc>
              <w:tc>
                <w:tcPr>
                  <w:tcW w:w="1527" w:type="pct"/>
                  <w:vAlign w:val="center"/>
                </w:tcPr>
                <w:p w14:paraId="219DC5CA">
                  <w:pPr>
                    <w:widowControl/>
                    <w:spacing w:line="276" w:lineRule="auto"/>
                    <w:jc w:val="center"/>
                    <w:rPr>
                      <w:color w:val="auto"/>
                      <w:szCs w:val="21"/>
                    </w:rPr>
                  </w:pPr>
                  <w:r>
                    <w:rPr>
                      <w:rFonts w:hint="eastAsia"/>
                      <w:color w:val="auto"/>
                      <w:szCs w:val="21"/>
                    </w:rPr>
                    <w:t>大气污染物综合排放标准》（GB16297-1996）表2中无组织排放限值</w:t>
                  </w:r>
                </w:p>
              </w:tc>
            </w:tr>
            <w:tr w14:paraId="5A2DF6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94" w:type="pct"/>
                  <w:vMerge w:val="continue"/>
                  <w:vAlign w:val="center"/>
                </w:tcPr>
                <w:p w14:paraId="3651E61E">
                  <w:pPr>
                    <w:widowControl/>
                    <w:spacing w:line="276" w:lineRule="auto"/>
                    <w:jc w:val="center"/>
                    <w:rPr>
                      <w:color w:val="auto"/>
                      <w:szCs w:val="21"/>
                    </w:rPr>
                  </w:pPr>
                </w:p>
              </w:tc>
              <w:tc>
                <w:tcPr>
                  <w:tcW w:w="1050" w:type="pct"/>
                  <w:vAlign w:val="center"/>
                </w:tcPr>
                <w:p w14:paraId="3E11CA85">
                  <w:pPr>
                    <w:widowControl/>
                    <w:spacing w:line="276" w:lineRule="auto"/>
                    <w:jc w:val="center"/>
                    <w:rPr>
                      <w:color w:val="auto"/>
                      <w:szCs w:val="21"/>
                    </w:rPr>
                  </w:pPr>
                  <w:r>
                    <w:rPr>
                      <w:rFonts w:hint="eastAsia"/>
                      <w:color w:val="auto"/>
                      <w:szCs w:val="21"/>
                    </w:rPr>
                    <w:t>厂房外</w:t>
                  </w:r>
                </w:p>
              </w:tc>
              <w:tc>
                <w:tcPr>
                  <w:tcW w:w="869" w:type="pct"/>
                  <w:vAlign w:val="center"/>
                </w:tcPr>
                <w:p w14:paraId="685FC846">
                  <w:pPr>
                    <w:spacing w:line="276" w:lineRule="auto"/>
                    <w:jc w:val="center"/>
                    <w:rPr>
                      <w:color w:val="auto"/>
                      <w:szCs w:val="21"/>
                    </w:rPr>
                  </w:pPr>
                  <w:r>
                    <w:rPr>
                      <w:rFonts w:hint="eastAsia"/>
                      <w:color w:val="auto"/>
                      <w:szCs w:val="21"/>
                    </w:rPr>
                    <w:t>非甲烷总烃</w:t>
                  </w:r>
                </w:p>
              </w:tc>
              <w:tc>
                <w:tcPr>
                  <w:tcW w:w="960" w:type="pct"/>
                  <w:vAlign w:val="center"/>
                </w:tcPr>
                <w:p w14:paraId="06AD2D67">
                  <w:pPr>
                    <w:widowControl/>
                    <w:spacing w:line="276" w:lineRule="auto"/>
                    <w:jc w:val="center"/>
                    <w:rPr>
                      <w:color w:val="auto"/>
                      <w:szCs w:val="21"/>
                    </w:rPr>
                  </w:pPr>
                  <w:r>
                    <w:rPr>
                      <w:rFonts w:hint="eastAsia"/>
                      <w:color w:val="auto"/>
                      <w:szCs w:val="21"/>
                    </w:rPr>
                    <w:t>1次/年</w:t>
                  </w:r>
                </w:p>
              </w:tc>
              <w:tc>
                <w:tcPr>
                  <w:tcW w:w="1527" w:type="pct"/>
                  <w:vAlign w:val="center"/>
                </w:tcPr>
                <w:p w14:paraId="39BD12BB">
                  <w:pPr>
                    <w:widowControl/>
                    <w:spacing w:line="276" w:lineRule="auto"/>
                    <w:jc w:val="center"/>
                    <w:rPr>
                      <w:bCs/>
                      <w:color w:val="auto"/>
                      <w:szCs w:val="21"/>
                    </w:rPr>
                  </w:pPr>
                  <w:r>
                    <w:rPr>
                      <w:rFonts w:hint="eastAsia"/>
                      <w:color w:val="auto"/>
                      <w:spacing w:val="-2"/>
                      <w:kern w:val="0"/>
                      <w:szCs w:val="21"/>
                    </w:rPr>
                    <w:t>安徽省《固定源挥发性有机物综合排放标准 第6部分：其他行业》（DB34/4812.6-2024）表4中排放限值</w:t>
                  </w:r>
                </w:p>
              </w:tc>
            </w:tr>
          </w:tbl>
          <w:p w14:paraId="5A411AAD">
            <w:pPr>
              <w:spacing w:line="360" w:lineRule="auto"/>
              <w:ind w:firstLine="482" w:firstLineChars="200"/>
              <w:jc w:val="left"/>
              <w:rPr>
                <w:b/>
                <w:color w:val="auto"/>
                <w:sz w:val="24"/>
              </w:rPr>
            </w:pPr>
            <w:r>
              <w:rPr>
                <w:rFonts w:hint="eastAsia"/>
                <w:b/>
                <w:bCs/>
                <w:color w:val="auto"/>
                <w:sz w:val="24"/>
                <w:szCs w:val="28"/>
              </w:rPr>
              <w:t>二、废水污染源强及环境影响和保护措施</w:t>
            </w:r>
          </w:p>
          <w:p w14:paraId="7CEC1757">
            <w:pPr>
              <w:widowControl/>
              <w:spacing w:line="360" w:lineRule="auto"/>
              <w:ind w:firstLine="480" w:firstLineChars="200"/>
              <w:jc w:val="left"/>
              <w:outlineLvl w:val="0"/>
              <w:rPr>
                <w:color w:val="auto"/>
                <w:sz w:val="24"/>
              </w:rPr>
            </w:pPr>
            <w:r>
              <w:rPr>
                <w:rFonts w:hint="eastAsia"/>
                <w:color w:val="auto"/>
                <w:sz w:val="24"/>
              </w:rPr>
              <w:t>根据建设项目工程分析内容，本项目改建完成后不新增生产废水、生活污水，不新增废水种类和排放量。</w:t>
            </w:r>
          </w:p>
          <w:p w14:paraId="1D41AE26">
            <w:pPr>
              <w:spacing w:line="360" w:lineRule="auto"/>
              <w:ind w:firstLine="482" w:firstLineChars="200"/>
              <w:jc w:val="left"/>
              <w:rPr>
                <w:b/>
                <w:snapToGrid w:val="0"/>
                <w:color w:val="auto"/>
                <w:kern w:val="0"/>
                <w:sz w:val="24"/>
              </w:rPr>
            </w:pPr>
            <w:r>
              <w:rPr>
                <w:rFonts w:hint="eastAsia"/>
                <w:b/>
                <w:snapToGrid w:val="0"/>
                <w:color w:val="auto"/>
                <w:kern w:val="0"/>
                <w:sz w:val="24"/>
              </w:rPr>
              <w:t>三、</w:t>
            </w:r>
            <w:r>
              <w:rPr>
                <w:rFonts w:hAnsi="宋体"/>
                <w:b/>
                <w:snapToGrid w:val="0"/>
                <w:color w:val="auto"/>
                <w:kern w:val="0"/>
                <w:sz w:val="24"/>
              </w:rPr>
              <w:t>噪声源强</w:t>
            </w:r>
            <w:r>
              <w:rPr>
                <w:rFonts w:hint="eastAsia"/>
                <w:b/>
                <w:bCs/>
                <w:color w:val="auto"/>
                <w:sz w:val="24"/>
                <w:szCs w:val="28"/>
              </w:rPr>
              <w:t>及环境影响和污染防治措施</w:t>
            </w:r>
          </w:p>
          <w:p w14:paraId="692F2C39">
            <w:pPr>
              <w:spacing w:line="360" w:lineRule="auto"/>
              <w:ind w:firstLine="482" w:firstLineChars="200"/>
              <w:rPr>
                <w:b/>
                <w:color w:val="auto"/>
                <w:sz w:val="24"/>
              </w:rPr>
            </w:pPr>
            <w:r>
              <w:rPr>
                <w:rFonts w:hint="eastAsia"/>
                <w:b/>
                <w:color w:val="auto"/>
                <w:sz w:val="24"/>
              </w:rPr>
              <w:t>1、噪声源强</w:t>
            </w:r>
          </w:p>
          <w:p w14:paraId="56DF0A3C">
            <w:pPr>
              <w:spacing w:line="360" w:lineRule="auto"/>
              <w:ind w:firstLine="480" w:firstLineChars="200"/>
              <w:rPr>
                <w:color w:val="auto"/>
                <w:sz w:val="24"/>
              </w:rPr>
            </w:pPr>
            <w:r>
              <w:rPr>
                <w:rFonts w:hint="eastAsia"/>
                <w:color w:val="auto"/>
                <w:sz w:val="24"/>
              </w:rPr>
              <w:t>本项目主要新增2套热端喷涂装置，2套废气处理设施及配套风机，营运期噪声源主要为生产设备、风机等运行时产生的噪声，项目的设备噪声强度见下表。</w:t>
            </w:r>
          </w:p>
          <w:p w14:paraId="6AB64EE6">
            <w:pPr>
              <w:spacing w:line="360" w:lineRule="auto"/>
              <w:jc w:val="center"/>
              <w:rPr>
                <w:rFonts w:eastAsia="黑体"/>
                <w:color w:val="auto"/>
                <w:szCs w:val="21"/>
              </w:rPr>
            </w:pPr>
            <w:r>
              <w:rPr>
                <w:rFonts w:hint="eastAsia" w:hAnsi="黑体" w:eastAsia="黑体"/>
                <w:color w:val="auto"/>
                <w:sz w:val="24"/>
                <w:szCs w:val="24"/>
              </w:rPr>
              <w:t>表45  工业企业噪声源强调查清单（室外声源）</w:t>
            </w:r>
          </w:p>
          <w:tbl>
            <w:tblPr>
              <w:tblStyle w:val="34"/>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461"/>
              <w:gridCol w:w="709"/>
              <w:gridCol w:w="762"/>
              <w:gridCol w:w="635"/>
              <w:gridCol w:w="736"/>
              <w:gridCol w:w="1981"/>
              <w:gridCol w:w="1981"/>
              <w:gridCol w:w="880"/>
            </w:tblGrid>
            <w:tr w14:paraId="201D85A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83" w:type="pct"/>
                  <w:vMerge w:val="restart"/>
                  <w:vAlign w:val="center"/>
                </w:tcPr>
                <w:p w14:paraId="06DF003D">
                  <w:pPr>
                    <w:spacing w:before="100" w:beforeAutospacing="1" w:after="100" w:afterAutospacing="1" w:line="276" w:lineRule="auto"/>
                    <w:jc w:val="center"/>
                    <w:rPr>
                      <w:b/>
                      <w:color w:val="auto"/>
                      <w:szCs w:val="21"/>
                    </w:rPr>
                  </w:pPr>
                  <w:r>
                    <w:rPr>
                      <w:rFonts w:hint="eastAsia"/>
                      <w:b/>
                      <w:color w:val="auto"/>
                      <w:szCs w:val="21"/>
                    </w:rPr>
                    <w:t>序号</w:t>
                  </w:r>
                </w:p>
              </w:tc>
              <w:tc>
                <w:tcPr>
                  <w:tcW w:w="435" w:type="pct"/>
                  <w:vMerge w:val="restart"/>
                  <w:vAlign w:val="center"/>
                </w:tcPr>
                <w:p w14:paraId="291C82C7">
                  <w:pPr>
                    <w:spacing w:before="100" w:beforeAutospacing="1" w:after="100" w:afterAutospacing="1" w:line="276" w:lineRule="auto"/>
                    <w:jc w:val="center"/>
                    <w:rPr>
                      <w:b/>
                      <w:color w:val="auto"/>
                      <w:szCs w:val="21"/>
                    </w:rPr>
                  </w:pPr>
                  <w:r>
                    <w:rPr>
                      <w:rFonts w:hint="eastAsia"/>
                      <w:b/>
                      <w:color w:val="auto"/>
                      <w:szCs w:val="21"/>
                    </w:rPr>
                    <w:t>声源名称</w:t>
                  </w:r>
                </w:p>
              </w:tc>
              <w:tc>
                <w:tcPr>
                  <w:tcW w:w="1310" w:type="pct"/>
                  <w:gridSpan w:val="3"/>
                  <w:vAlign w:val="center"/>
                </w:tcPr>
                <w:p w14:paraId="135627F9">
                  <w:pPr>
                    <w:spacing w:before="100" w:beforeAutospacing="1" w:after="100" w:afterAutospacing="1" w:line="276" w:lineRule="auto"/>
                    <w:jc w:val="center"/>
                    <w:rPr>
                      <w:b/>
                      <w:color w:val="auto"/>
                      <w:szCs w:val="21"/>
                    </w:rPr>
                  </w:pPr>
                  <w:r>
                    <w:rPr>
                      <w:rFonts w:hint="eastAsia"/>
                      <w:b/>
                      <w:color w:val="auto"/>
                      <w:szCs w:val="21"/>
                    </w:rPr>
                    <w:t>空间相对位置</w:t>
                  </w:r>
                  <w:r>
                    <w:rPr>
                      <w:b/>
                      <w:color w:val="auto"/>
                      <w:szCs w:val="21"/>
                    </w:rPr>
                    <w:t>/m</w:t>
                  </w:r>
                </w:p>
              </w:tc>
              <w:tc>
                <w:tcPr>
                  <w:tcW w:w="1216" w:type="pct"/>
                  <w:vAlign w:val="center"/>
                </w:tcPr>
                <w:p w14:paraId="62496192">
                  <w:pPr>
                    <w:spacing w:before="100" w:beforeAutospacing="1" w:after="100" w:afterAutospacing="1" w:line="276" w:lineRule="auto"/>
                    <w:jc w:val="center"/>
                    <w:rPr>
                      <w:b/>
                      <w:color w:val="auto"/>
                      <w:szCs w:val="21"/>
                    </w:rPr>
                  </w:pPr>
                  <w:r>
                    <w:rPr>
                      <w:rFonts w:hint="eastAsia"/>
                      <w:b/>
                      <w:color w:val="auto"/>
                      <w:szCs w:val="21"/>
                    </w:rPr>
                    <w:t>声源源强</w:t>
                  </w:r>
                </w:p>
              </w:tc>
              <w:tc>
                <w:tcPr>
                  <w:tcW w:w="1216" w:type="pct"/>
                  <w:vMerge w:val="restart"/>
                  <w:vAlign w:val="center"/>
                </w:tcPr>
                <w:p w14:paraId="7B4D5C7B">
                  <w:pPr>
                    <w:spacing w:before="100" w:beforeAutospacing="1" w:after="100" w:afterAutospacing="1" w:line="276" w:lineRule="auto"/>
                    <w:jc w:val="center"/>
                    <w:rPr>
                      <w:b/>
                      <w:color w:val="auto"/>
                      <w:szCs w:val="21"/>
                    </w:rPr>
                  </w:pPr>
                  <w:r>
                    <w:rPr>
                      <w:rFonts w:hint="eastAsia"/>
                      <w:b/>
                      <w:color w:val="auto"/>
                      <w:szCs w:val="21"/>
                    </w:rPr>
                    <w:t>声源控制措施</w:t>
                  </w:r>
                </w:p>
              </w:tc>
              <w:tc>
                <w:tcPr>
                  <w:tcW w:w="540" w:type="pct"/>
                  <w:vMerge w:val="restart"/>
                  <w:vAlign w:val="center"/>
                </w:tcPr>
                <w:p w14:paraId="6A162FB4">
                  <w:pPr>
                    <w:spacing w:before="100" w:beforeAutospacing="1" w:after="100" w:afterAutospacing="1" w:line="276" w:lineRule="auto"/>
                    <w:jc w:val="center"/>
                    <w:rPr>
                      <w:b/>
                      <w:color w:val="auto"/>
                      <w:szCs w:val="21"/>
                    </w:rPr>
                  </w:pPr>
                  <w:r>
                    <w:rPr>
                      <w:rFonts w:hint="eastAsia"/>
                      <w:b/>
                      <w:color w:val="auto"/>
                      <w:szCs w:val="21"/>
                    </w:rPr>
                    <w:t>运行时段</w:t>
                  </w:r>
                </w:p>
              </w:tc>
            </w:tr>
            <w:tr w14:paraId="1469F1F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62" w:type="dxa"/>
                  <w:vMerge w:val="continue"/>
                  <w:vAlign w:val="center"/>
                </w:tcPr>
                <w:p w14:paraId="2B3B88A6">
                  <w:pPr>
                    <w:widowControl/>
                    <w:spacing w:line="276" w:lineRule="auto"/>
                    <w:jc w:val="left"/>
                    <w:rPr>
                      <w:b/>
                      <w:color w:val="auto"/>
                      <w:szCs w:val="21"/>
                    </w:rPr>
                  </w:pPr>
                </w:p>
              </w:tc>
              <w:tc>
                <w:tcPr>
                  <w:tcW w:w="709" w:type="dxa"/>
                  <w:vMerge w:val="continue"/>
                  <w:vAlign w:val="center"/>
                </w:tcPr>
                <w:p w14:paraId="131E5BAE">
                  <w:pPr>
                    <w:widowControl/>
                    <w:spacing w:line="276" w:lineRule="auto"/>
                    <w:jc w:val="left"/>
                    <w:rPr>
                      <w:b/>
                      <w:color w:val="auto"/>
                      <w:szCs w:val="21"/>
                    </w:rPr>
                  </w:pPr>
                </w:p>
              </w:tc>
              <w:tc>
                <w:tcPr>
                  <w:tcW w:w="468" w:type="pct"/>
                  <w:vAlign w:val="center"/>
                </w:tcPr>
                <w:p w14:paraId="6BBA5A31">
                  <w:pPr>
                    <w:spacing w:before="100" w:beforeAutospacing="1" w:after="100" w:afterAutospacing="1" w:line="276" w:lineRule="auto"/>
                    <w:jc w:val="center"/>
                    <w:rPr>
                      <w:b/>
                      <w:color w:val="auto"/>
                      <w:szCs w:val="21"/>
                    </w:rPr>
                  </w:pPr>
                  <w:r>
                    <w:rPr>
                      <w:b/>
                      <w:color w:val="auto"/>
                      <w:szCs w:val="21"/>
                    </w:rPr>
                    <w:t>X</w:t>
                  </w:r>
                </w:p>
              </w:tc>
              <w:tc>
                <w:tcPr>
                  <w:tcW w:w="390" w:type="pct"/>
                  <w:vAlign w:val="center"/>
                </w:tcPr>
                <w:p w14:paraId="0413F8D3">
                  <w:pPr>
                    <w:spacing w:before="100" w:beforeAutospacing="1" w:after="100" w:afterAutospacing="1" w:line="276" w:lineRule="auto"/>
                    <w:jc w:val="center"/>
                    <w:rPr>
                      <w:b/>
                      <w:color w:val="auto"/>
                      <w:szCs w:val="21"/>
                    </w:rPr>
                  </w:pPr>
                  <w:r>
                    <w:rPr>
                      <w:b/>
                      <w:color w:val="auto"/>
                      <w:szCs w:val="21"/>
                    </w:rPr>
                    <w:t>Y</w:t>
                  </w:r>
                </w:p>
              </w:tc>
              <w:tc>
                <w:tcPr>
                  <w:tcW w:w="452" w:type="pct"/>
                  <w:vAlign w:val="center"/>
                </w:tcPr>
                <w:p w14:paraId="073D98F4">
                  <w:pPr>
                    <w:spacing w:before="100" w:beforeAutospacing="1" w:after="100" w:afterAutospacing="1" w:line="276" w:lineRule="auto"/>
                    <w:jc w:val="center"/>
                    <w:rPr>
                      <w:b/>
                      <w:color w:val="auto"/>
                      <w:szCs w:val="21"/>
                    </w:rPr>
                  </w:pPr>
                  <w:r>
                    <w:rPr>
                      <w:b/>
                      <w:color w:val="auto"/>
                      <w:szCs w:val="21"/>
                    </w:rPr>
                    <w:t>Z</w:t>
                  </w:r>
                </w:p>
              </w:tc>
              <w:tc>
                <w:tcPr>
                  <w:tcW w:w="1216" w:type="pct"/>
                  <w:vAlign w:val="center"/>
                </w:tcPr>
                <w:p w14:paraId="018B49A7">
                  <w:pPr>
                    <w:spacing w:before="100" w:beforeAutospacing="1" w:after="100" w:afterAutospacing="1" w:line="276" w:lineRule="auto"/>
                    <w:jc w:val="center"/>
                    <w:rPr>
                      <w:b/>
                      <w:color w:val="auto"/>
                      <w:szCs w:val="21"/>
                    </w:rPr>
                  </w:pPr>
                  <w:r>
                    <w:rPr>
                      <w:rFonts w:hint="eastAsia"/>
                      <w:b/>
                      <w:color w:val="auto"/>
                      <w:szCs w:val="21"/>
                    </w:rPr>
                    <w:t>声压级</w:t>
                  </w:r>
                  <w:r>
                    <w:rPr>
                      <w:b/>
                      <w:color w:val="auto"/>
                      <w:szCs w:val="21"/>
                    </w:rPr>
                    <w:t>/dB</w:t>
                  </w:r>
                  <w:r>
                    <w:rPr>
                      <w:rFonts w:hint="eastAsia"/>
                      <w:b/>
                      <w:color w:val="auto"/>
                      <w:szCs w:val="21"/>
                    </w:rPr>
                    <w:t>（</w:t>
                  </w:r>
                  <w:r>
                    <w:rPr>
                      <w:b/>
                      <w:color w:val="auto"/>
                      <w:szCs w:val="21"/>
                    </w:rPr>
                    <w:t>A</w:t>
                  </w:r>
                  <w:r>
                    <w:rPr>
                      <w:rFonts w:hint="eastAsia"/>
                      <w:b/>
                      <w:color w:val="auto"/>
                      <w:szCs w:val="21"/>
                    </w:rPr>
                    <w:t>）</w:t>
                  </w:r>
                </w:p>
              </w:tc>
              <w:tc>
                <w:tcPr>
                  <w:tcW w:w="1982" w:type="dxa"/>
                  <w:vMerge w:val="continue"/>
                  <w:vAlign w:val="center"/>
                </w:tcPr>
                <w:p w14:paraId="045BBD31">
                  <w:pPr>
                    <w:widowControl/>
                    <w:spacing w:line="276" w:lineRule="auto"/>
                    <w:jc w:val="left"/>
                    <w:rPr>
                      <w:b/>
                      <w:color w:val="auto"/>
                      <w:szCs w:val="21"/>
                    </w:rPr>
                  </w:pPr>
                </w:p>
              </w:tc>
              <w:tc>
                <w:tcPr>
                  <w:tcW w:w="880" w:type="dxa"/>
                  <w:vMerge w:val="continue"/>
                  <w:vAlign w:val="center"/>
                </w:tcPr>
                <w:p w14:paraId="289A5051">
                  <w:pPr>
                    <w:widowControl/>
                    <w:spacing w:line="276" w:lineRule="auto"/>
                    <w:jc w:val="left"/>
                    <w:rPr>
                      <w:b/>
                      <w:color w:val="auto"/>
                      <w:szCs w:val="21"/>
                    </w:rPr>
                  </w:pPr>
                </w:p>
              </w:tc>
            </w:tr>
            <w:tr w14:paraId="112E9AE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83" w:type="pct"/>
                  <w:vAlign w:val="center"/>
                </w:tcPr>
                <w:p w14:paraId="098F5BD9">
                  <w:pPr>
                    <w:spacing w:before="100" w:beforeAutospacing="1" w:after="100" w:afterAutospacing="1" w:line="276" w:lineRule="auto"/>
                    <w:jc w:val="center"/>
                    <w:rPr>
                      <w:color w:val="auto"/>
                      <w:szCs w:val="21"/>
                    </w:rPr>
                  </w:pPr>
                  <w:r>
                    <w:rPr>
                      <w:color w:val="auto"/>
                      <w:szCs w:val="21"/>
                    </w:rPr>
                    <w:t>1</w:t>
                  </w:r>
                </w:p>
              </w:tc>
              <w:tc>
                <w:tcPr>
                  <w:tcW w:w="435" w:type="pct"/>
                  <w:vAlign w:val="center"/>
                </w:tcPr>
                <w:p w14:paraId="1D8FA3B2">
                  <w:pPr>
                    <w:spacing w:before="100" w:beforeAutospacing="1" w:after="100" w:afterAutospacing="1" w:line="276" w:lineRule="auto"/>
                    <w:jc w:val="center"/>
                    <w:rPr>
                      <w:color w:val="auto"/>
                      <w:szCs w:val="21"/>
                    </w:rPr>
                  </w:pPr>
                  <w:r>
                    <w:rPr>
                      <w:rFonts w:hint="eastAsia"/>
                      <w:color w:val="auto"/>
                      <w:szCs w:val="21"/>
                    </w:rPr>
                    <w:t>风机</w:t>
                  </w:r>
                </w:p>
              </w:tc>
              <w:tc>
                <w:tcPr>
                  <w:tcW w:w="468" w:type="pct"/>
                  <w:vAlign w:val="center"/>
                </w:tcPr>
                <w:p w14:paraId="594F4612">
                  <w:pPr>
                    <w:spacing w:before="100" w:beforeAutospacing="1" w:after="100" w:afterAutospacing="1" w:line="276" w:lineRule="auto"/>
                    <w:jc w:val="center"/>
                    <w:rPr>
                      <w:color w:val="auto"/>
                      <w:szCs w:val="21"/>
                    </w:rPr>
                  </w:pPr>
                  <w:r>
                    <w:rPr>
                      <w:rFonts w:hint="eastAsia"/>
                      <w:color w:val="auto"/>
                      <w:szCs w:val="21"/>
                    </w:rPr>
                    <w:t>88</w:t>
                  </w:r>
                </w:p>
              </w:tc>
              <w:tc>
                <w:tcPr>
                  <w:tcW w:w="390" w:type="pct"/>
                  <w:vAlign w:val="center"/>
                </w:tcPr>
                <w:p w14:paraId="709EBA4C">
                  <w:pPr>
                    <w:spacing w:before="100" w:beforeAutospacing="1" w:after="100" w:afterAutospacing="1" w:line="276" w:lineRule="auto"/>
                    <w:jc w:val="center"/>
                    <w:rPr>
                      <w:color w:val="auto"/>
                      <w:szCs w:val="21"/>
                    </w:rPr>
                  </w:pPr>
                  <w:r>
                    <w:rPr>
                      <w:rFonts w:hint="eastAsia"/>
                      <w:color w:val="auto"/>
                      <w:szCs w:val="21"/>
                    </w:rPr>
                    <w:t>141</w:t>
                  </w:r>
                </w:p>
              </w:tc>
              <w:tc>
                <w:tcPr>
                  <w:tcW w:w="452" w:type="pct"/>
                  <w:vAlign w:val="center"/>
                </w:tcPr>
                <w:p w14:paraId="222B3348">
                  <w:pPr>
                    <w:spacing w:before="100" w:beforeAutospacing="1" w:after="100" w:afterAutospacing="1" w:line="276" w:lineRule="auto"/>
                    <w:jc w:val="center"/>
                    <w:rPr>
                      <w:color w:val="auto"/>
                      <w:szCs w:val="21"/>
                    </w:rPr>
                  </w:pPr>
                  <w:r>
                    <w:rPr>
                      <w:rFonts w:hint="eastAsia"/>
                      <w:color w:val="auto"/>
                      <w:szCs w:val="21"/>
                    </w:rPr>
                    <w:t>0.5</w:t>
                  </w:r>
                </w:p>
              </w:tc>
              <w:tc>
                <w:tcPr>
                  <w:tcW w:w="1216" w:type="pct"/>
                  <w:vAlign w:val="center"/>
                </w:tcPr>
                <w:p w14:paraId="2A6B6838">
                  <w:pPr>
                    <w:spacing w:before="100" w:beforeAutospacing="1" w:after="100" w:afterAutospacing="1" w:line="276" w:lineRule="auto"/>
                    <w:jc w:val="center"/>
                    <w:rPr>
                      <w:color w:val="auto"/>
                      <w:szCs w:val="21"/>
                    </w:rPr>
                  </w:pPr>
                  <w:r>
                    <w:rPr>
                      <w:rFonts w:hint="eastAsia"/>
                      <w:color w:val="auto"/>
                      <w:szCs w:val="21"/>
                    </w:rPr>
                    <w:t>85</w:t>
                  </w:r>
                </w:p>
              </w:tc>
              <w:tc>
                <w:tcPr>
                  <w:tcW w:w="1216" w:type="pct"/>
                  <w:vAlign w:val="center"/>
                </w:tcPr>
                <w:p w14:paraId="452E3A0E">
                  <w:pPr>
                    <w:spacing w:before="100" w:beforeAutospacing="1" w:after="100" w:afterAutospacing="1" w:line="276" w:lineRule="auto"/>
                    <w:jc w:val="center"/>
                    <w:rPr>
                      <w:color w:val="auto"/>
                      <w:szCs w:val="21"/>
                    </w:rPr>
                  </w:pPr>
                  <w:r>
                    <w:rPr>
                      <w:rFonts w:hint="eastAsia"/>
                      <w:color w:val="auto"/>
                      <w:szCs w:val="21"/>
                    </w:rPr>
                    <w:t>减振、消声</w:t>
                  </w:r>
                </w:p>
              </w:tc>
              <w:tc>
                <w:tcPr>
                  <w:tcW w:w="540" w:type="pct"/>
                  <w:vAlign w:val="center"/>
                </w:tcPr>
                <w:p w14:paraId="08BD284F">
                  <w:pPr>
                    <w:spacing w:before="100" w:beforeAutospacing="1" w:after="100" w:afterAutospacing="1" w:line="276" w:lineRule="auto"/>
                    <w:jc w:val="center"/>
                    <w:rPr>
                      <w:color w:val="auto"/>
                      <w:szCs w:val="21"/>
                    </w:rPr>
                  </w:pPr>
                  <w:r>
                    <w:rPr>
                      <w:color w:val="auto"/>
                      <w:szCs w:val="21"/>
                    </w:rPr>
                    <w:t>昼间、夜间</w:t>
                  </w:r>
                </w:p>
              </w:tc>
            </w:tr>
            <w:tr w14:paraId="324FD31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83" w:type="pct"/>
                  <w:vAlign w:val="center"/>
                </w:tcPr>
                <w:p w14:paraId="07A56D23">
                  <w:pPr>
                    <w:spacing w:before="100" w:beforeAutospacing="1" w:after="100" w:afterAutospacing="1" w:line="276" w:lineRule="auto"/>
                    <w:jc w:val="center"/>
                    <w:rPr>
                      <w:color w:val="auto"/>
                      <w:szCs w:val="21"/>
                    </w:rPr>
                  </w:pPr>
                  <w:r>
                    <w:rPr>
                      <w:rFonts w:hint="eastAsia"/>
                      <w:color w:val="auto"/>
                      <w:szCs w:val="21"/>
                    </w:rPr>
                    <w:t>2</w:t>
                  </w:r>
                </w:p>
              </w:tc>
              <w:tc>
                <w:tcPr>
                  <w:tcW w:w="435" w:type="pct"/>
                  <w:vAlign w:val="center"/>
                </w:tcPr>
                <w:p w14:paraId="62DFE346">
                  <w:pPr>
                    <w:spacing w:before="100" w:beforeAutospacing="1" w:after="100" w:afterAutospacing="1" w:line="276" w:lineRule="auto"/>
                    <w:jc w:val="center"/>
                    <w:rPr>
                      <w:color w:val="auto"/>
                      <w:szCs w:val="21"/>
                    </w:rPr>
                  </w:pPr>
                  <w:r>
                    <w:rPr>
                      <w:rFonts w:hint="eastAsia"/>
                      <w:color w:val="auto"/>
                      <w:szCs w:val="21"/>
                    </w:rPr>
                    <w:t>风机</w:t>
                  </w:r>
                </w:p>
              </w:tc>
              <w:tc>
                <w:tcPr>
                  <w:tcW w:w="468" w:type="pct"/>
                  <w:vAlign w:val="center"/>
                </w:tcPr>
                <w:p w14:paraId="73AF0323">
                  <w:pPr>
                    <w:spacing w:before="100" w:beforeAutospacing="1" w:after="100" w:afterAutospacing="1" w:line="276" w:lineRule="auto"/>
                    <w:jc w:val="center"/>
                    <w:rPr>
                      <w:color w:val="auto"/>
                      <w:szCs w:val="21"/>
                    </w:rPr>
                  </w:pPr>
                  <w:r>
                    <w:rPr>
                      <w:rFonts w:hint="eastAsia"/>
                      <w:color w:val="auto"/>
                      <w:szCs w:val="21"/>
                    </w:rPr>
                    <w:t>210</w:t>
                  </w:r>
                </w:p>
              </w:tc>
              <w:tc>
                <w:tcPr>
                  <w:tcW w:w="390" w:type="pct"/>
                  <w:vAlign w:val="center"/>
                </w:tcPr>
                <w:p w14:paraId="6CA1C38B">
                  <w:pPr>
                    <w:spacing w:before="100" w:beforeAutospacing="1" w:after="100" w:afterAutospacing="1" w:line="276" w:lineRule="auto"/>
                    <w:jc w:val="center"/>
                    <w:rPr>
                      <w:color w:val="auto"/>
                      <w:szCs w:val="21"/>
                    </w:rPr>
                  </w:pPr>
                  <w:r>
                    <w:rPr>
                      <w:rFonts w:hint="eastAsia"/>
                      <w:color w:val="auto"/>
                      <w:szCs w:val="21"/>
                    </w:rPr>
                    <w:t>224</w:t>
                  </w:r>
                </w:p>
              </w:tc>
              <w:tc>
                <w:tcPr>
                  <w:tcW w:w="452" w:type="pct"/>
                  <w:vAlign w:val="center"/>
                </w:tcPr>
                <w:p w14:paraId="5D5C6707">
                  <w:pPr>
                    <w:spacing w:before="100" w:beforeAutospacing="1" w:after="100" w:afterAutospacing="1" w:line="276" w:lineRule="auto"/>
                    <w:jc w:val="center"/>
                    <w:rPr>
                      <w:color w:val="auto"/>
                      <w:szCs w:val="21"/>
                    </w:rPr>
                  </w:pPr>
                  <w:r>
                    <w:rPr>
                      <w:rFonts w:hint="eastAsia"/>
                      <w:color w:val="auto"/>
                      <w:szCs w:val="21"/>
                    </w:rPr>
                    <w:t>0.5</w:t>
                  </w:r>
                </w:p>
              </w:tc>
              <w:tc>
                <w:tcPr>
                  <w:tcW w:w="1216" w:type="pct"/>
                  <w:vAlign w:val="center"/>
                </w:tcPr>
                <w:p w14:paraId="4A0B0871">
                  <w:pPr>
                    <w:spacing w:before="100" w:beforeAutospacing="1" w:after="100" w:afterAutospacing="1" w:line="276" w:lineRule="auto"/>
                    <w:jc w:val="center"/>
                    <w:rPr>
                      <w:color w:val="auto"/>
                      <w:szCs w:val="21"/>
                    </w:rPr>
                  </w:pPr>
                  <w:r>
                    <w:rPr>
                      <w:rFonts w:hint="eastAsia"/>
                      <w:color w:val="auto"/>
                      <w:szCs w:val="21"/>
                    </w:rPr>
                    <w:t>85</w:t>
                  </w:r>
                </w:p>
              </w:tc>
              <w:tc>
                <w:tcPr>
                  <w:tcW w:w="1216" w:type="pct"/>
                  <w:vAlign w:val="center"/>
                </w:tcPr>
                <w:p w14:paraId="09D64A2B">
                  <w:pPr>
                    <w:spacing w:before="100" w:beforeAutospacing="1" w:after="100" w:afterAutospacing="1" w:line="276" w:lineRule="auto"/>
                    <w:jc w:val="center"/>
                    <w:rPr>
                      <w:color w:val="auto"/>
                      <w:szCs w:val="21"/>
                    </w:rPr>
                  </w:pPr>
                  <w:r>
                    <w:rPr>
                      <w:rFonts w:hint="eastAsia"/>
                      <w:color w:val="auto"/>
                      <w:szCs w:val="21"/>
                    </w:rPr>
                    <w:t>减振、消声</w:t>
                  </w:r>
                </w:p>
              </w:tc>
              <w:tc>
                <w:tcPr>
                  <w:tcW w:w="540" w:type="pct"/>
                  <w:vAlign w:val="center"/>
                </w:tcPr>
                <w:p w14:paraId="0201407F">
                  <w:pPr>
                    <w:spacing w:before="100" w:beforeAutospacing="1" w:after="100" w:afterAutospacing="1" w:line="276" w:lineRule="auto"/>
                    <w:jc w:val="center"/>
                    <w:rPr>
                      <w:color w:val="auto"/>
                      <w:szCs w:val="21"/>
                    </w:rPr>
                  </w:pPr>
                  <w:r>
                    <w:rPr>
                      <w:color w:val="auto"/>
                      <w:szCs w:val="21"/>
                    </w:rPr>
                    <w:t>昼间、夜间</w:t>
                  </w:r>
                </w:p>
              </w:tc>
            </w:tr>
          </w:tbl>
          <w:p w14:paraId="2633E8C6">
            <w:pPr>
              <w:spacing w:line="360" w:lineRule="auto"/>
              <w:rPr>
                <w:b/>
                <w:color w:val="auto"/>
                <w:szCs w:val="21"/>
              </w:rPr>
            </w:pPr>
            <w:r>
              <w:rPr>
                <w:rFonts w:hint="eastAsia"/>
                <w:b/>
                <w:color w:val="auto"/>
                <w:szCs w:val="21"/>
              </w:rPr>
              <w:t>注：以厂区西南角为坐标原点</w:t>
            </w:r>
          </w:p>
          <w:p w14:paraId="24ECF1A0">
            <w:pPr>
              <w:spacing w:line="360" w:lineRule="auto"/>
              <w:jc w:val="center"/>
              <w:rPr>
                <w:b/>
                <w:color w:val="auto"/>
                <w:szCs w:val="21"/>
              </w:rPr>
            </w:pPr>
          </w:p>
          <w:p w14:paraId="62F1A394">
            <w:pPr>
              <w:spacing w:line="360" w:lineRule="auto"/>
              <w:jc w:val="center"/>
              <w:rPr>
                <w:rFonts w:hAnsi="黑体" w:eastAsia="黑体"/>
                <w:color w:val="auto"/>
                <w:sz w:val="24"/>
                <w:szCs w:val="24"/>
              </w:rPr>
            </w:pPr>
          </w:p>
          <w:p w14:paraId="514360D7">
            <w:pPr>
              <w:spacing w:line="360" w:lineRule="auto"/>
              <w:jc w:val="center"/>
              <w:rPr>
                <w:rFonts w:hAnsi="黑体" w:eastAsia="黑体"/>
                <w:color w:val="auto"/>
                <w:sz w:val="24"/>
                <w:szCs w:val="24"/>
              </w:rPr>
            </w:pPr>
          </w:p>
          <w:p w14:paraId="44473595">
            <w:pPr>
              <w:spacing w:line="360" w:lineRule="auto"/>
              <w:jc w:val="center"/>
              <w:rPr>
                <w:rFonts w:eastAsia="黑体"/>
                <w:color w:val="auto"/>
                <w:szCs w:val="21"/>
              </w:rPr>
            </w:pPr>
            <w:r>
              <w:rPr>
                <w:rFonts w:hint="eastAsia" w:hAnsi="黑体" w:eastAsia="黑体"/>
                <w:color w:val="auto"/>
                <w:sz w:val="24"/>
                <w:szCs w:val="24"/>
              </w:rPr>
              <w:t>表46  工业企业噪声源强调查清单（室内声源）</w:t>
            </w:r>
          </w:p>
          <w:tbl>
            <w:tblPr>
              <w:tblStyle w:val="34"/>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533"/>
              <w:gridCol w:w="997"/>
              <w:gridCol w:w="1293"/>
              <w:gridCol w:w="1129"/>
              <w:gridCol w:w="956"/>
              <w:gridCol w:w="883"/>
              <w:gridCol w:w="707"/>
              <w:gridCol w:w="1007"/>
              <w:gridCol w:w="640"/>
            </w:tblGrid>
            <w:tr w14:paraId="4FB9986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27" w:type="pct"/>
                  <w:vMerge w:val="restart"/>
                  <w:vAlign w:val="center"/>
                </w:tcPr>
                <w:p w14:paraId="5078ED88">
                  <w:pPr>
                    <w:spacing w:line="276" w:lineRule="auto"/>
                    <w:jc w:val="center"/>
                    <w:rPr>
                      <w:b/>
                      <w:color w:val="auto"/>
                      <w:szCs w:val="21"/>
                    </w:rPr>
                  </w:pPr>
                  <w:r>
                    <w:rPr>
                      <w:rFonts w:hint="eastAsia" w:hAnsi="宋体"/>
                      <w:b/>
                      <w:color w:val="auto"/>
                      <w:szCs w:val="21"/>
                    </w:rPr>
                    <w:t>序号</w:t>
                  </w:r>
                </w:p>
              </w:tc>
              <w:tc>
                <w:tcPr>
                  <w:tcW w:w="612" w:type="pct"/>
                  <w:vMerge w:val="restart"/>
                  <w:vAlign w:val="center"/>
                </w:tcPr>
                <w:p w14:paraId="1DE3DFAD">
                  <w:pPr>
                    <w:spacing w:line="276" w:lineRule="auto"/>
                    <w:jc w:val="center"/>
                    <w:rPr>
                      <w:rFonts w:hAnsi="宋体"/>
                      <w:b/>
                      <w:color w:val="auto"/>
                      <w:szCs w:val="21"/>
                    </w:rPr>
                  </w:pPr>
                  <w:r>
                    <w:rPr>
                      <w:rFonts w:hint="eastAsia" w:hAnsi="宋体"/>
                      <w:b/>
                      <w:color w:val="auto"/>
                      <w:szCs w:val="21"/>
                    </w:rPr>
                    <w:t>建筑物名称</w:t>
                  </w:r>
                </w:p>
              </w:tc>
              <w:tc>
                <w:tcPr>
                  <w:tcW w:w="794" w:type="pct"/>
                  <w:vMerge w:val="restart"/>
                  <w:vAlign w:val="center"/>
                </w:tcPr>
                <w:p w14:paraId="286F7D17">
                  <w:pPr>
                    <w:spacing w:line="276" w:lineRule="auto"/>
                    <w:jc w:val="center"/>
                    <w:rPr>
                      <w:b/>
                      <w:color w:val="auto"/>
                      <w:szCs w:val="21"/>
                    </w:rPr>
                  </w:pPr>
                  <w:r>
                    <w:rPr>
                      <w:rFonts w:hint="eastAsia" w:hAnsi="宋体"/>
                      <w:b/>
                      <w:color w:val="auto"/>
                      <w:szCs w:val="21"/>
                    </w:rPr>
                    <w:t>声源名称</w:t>
                  </w:r>
                </w:p>
              </w:tc>
              <w:tc>
                <w:tcPr>
                  <w:tcW w:w="693" w:type="pct"/>
                  <w:vAlign w:val="center"/>
                </w:tcPr>
                <w:p w14:paraId="0F020E79">
                  <w:pPr>
                    <w:spacing w:line="276" w:lineRule="auto"/>
                    <w:jc w:val="center"/>
                    <w:rPr>
                      <w:b/>
                      <w:color w:val="auto"/>
                      <w:szCs w:val="21"/>
                    </w:rPr>
                  </w:pPr>
                  <w:r>
                    <w:rPr>
                      <w:rFonts w:hint="eastAsia"/>
                      <w:b/>
                      <w:color w:val="auto"/>
                      <w:szCs w:val="21"/>
                    </w:rPr>
                    <w:t>声源源强</w:t>
                  </w:r>
                </w:p>
              </w:tc>
              <w:tc>
                <w:tcPr>
                  <w:tcW w:w="587" w:type="pct"/>
                  <w:vMerge w:val="restart"/>
                  <w:vAlign w:val="center"/>
                </w:tcPr>
                <w:p w14:paraId="4BC06BBA">
                  <w:pPr>
                    <w:spacing w:line="276" w:lineRule="auto"/>
                    <w:jc w:val="center"/>
                    <w:rPr>
                      <w:rFonts w:hAnsi="宋体"/>
                      <w:b/>
                      <w:color w:val="auto"/>
                      <w:szCs w:val="21"/>
                    </w:rPr>
                  </w:pPr>
                  <w:r>
                    <w:rPr>
                      <w:rFonts w:hint="eastAsia" w:hAnsi="宋体"/>
                      <w:b/>
                      <w:color w:val="auto"/>
                      <w:szCs w:val="21"/>
                    </w:rPr>
                    <w:t>声源控制措施</w:t>
                  </w:r>
                </w:p>
              </w:tc>
              <w:tc>
                <w:tcPr>
                  <w:tcW w:w="1594" w:type="pct"/>
                  <w:gridSpan w:val="3"/>
                  <w:vAlign w:val="center"/>
                </w:tcPr>
                <w:p w14:paraId="7E387D6E">
                  <w:pPr>
                    <w:spacing w:line="276" w:lineRule="auto"/>
                    <w:jc w:val="center"/>
                    <w:rPr>
                      <w:b/>
                      <w:color w:val="auto"/>
                      <w:szCs w:val="21"/>
                    </w:rPr>
                  </w:pPr>
                  <w:r>
                    <w:rPr>
                      <w:rFonts w:hint="eastAsia" w:hAnsi="宋体"/>
                      <w:b/>
                      <w:color w:val="auto"/>
                      <w:szCs w:val="21"/>
                    </w:rPr>
                    <w:t>空间相对位置</w:t>
                  </w:r>
                  <w:r>
                    <w:rPr>
                      <w:rFonts w:hAnsi="宋体"/>
                      <w:b/>
                      <w:color w:val="auto"/>
                      <w:szCs w:val="21"/>
                    </w:rPr>
                    <w:t>/m</w:t>
                  </w:r>
                </w:p>
              </w:tc>
              <w:tc>
                <w:tcPr>
                  <w:tcW w:w="393" w:type="pct"/>
                  <w:vMerge w:val="restart"/>
                  <w:vAlign w:val="center"/>
                </w:tcPr>
                <w:p w14:paraId="227F1228">
                  <w:pPr>
                    <w:spacing w:line="276" w:lineRule="auto"/>
                    <w:jc w:val="center"/>
                    <w:rPr>
                      <w:b/>
                      <w:color w:val="auto"/>
                      <w:szCs w:val="21"/>
                    </w:rPr>
                  </w:pPr>
                  <w:r>
                    <w:rPr>
                      <w:rFonts w:hint="eastAsia"/>
                      <w:b/>
                      <w:color w:val="auto"/>
                      <w:szCs w:val="21"/>
                    </w:rPr>
                    <w:t>运行时段</w:t>
                  </w:r>
                </w:p>
              </w:tc>
            </w:tr>
            <w:tr w14:paraId="62143CF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327" w:type="pct"/>
                  <w:vMerge w:val="continue"/>
                  <w:vAlign w:val="center"/>
                </w:tcPr>
                <w:p w14:paraId="4605EF34">
                  <w:pPr>
                    <w:widowControl/>
                    <w:spacing w:line="276" w:lineRule="auto"/>
                    <w:jc w:val="left"/>
                    <w:rPr>
                      <w:b/>
                      <w:color w:val="auto"/>
                      <w:szCs w:val="21"/>
                    </w:rPr>
                  </w:pPr>
                </w:p>
              </w:tc>
              <w:tc>
                <w:tcPr>
                  <w:tcW w:w="612" w:type="pct"/>
                  <w:vMerge w:val="continue"/>
                  <w:vAlign w:val="center"/>
                </w:tcPr>
                <w:p w14:paraId="144E868B">
                  <w:pPr>
                    <w:widowControl/>
                    <w:spacing w:line="276" w:lineRule="auto"/>
                    <w:jc w:val="left"/>
                    <w:rPr>
                      <w:rFonts w:hAnsi="宋体"/>
                      <w:b/>
                      <w:color w:val="auto"/>
                      <w:szCs w:val="21"/>
                    </w:rPr>
                  </w:pPr>
                </w:p>
              </w:tc>
              <w:tc>
                <w:tcPr>
                  <w:tcW w:w="794" w:type="pct"/>
                  <w:vMerge w:val="continue"/>
                  <w:vAlign w:val="center"/>
                </w:tcPr>
                <w:p w14:paraId="4931F319">
                  <w:pPr>
                    <w:widowControl/>
                    <w:spacing w:line="276" w:lineRule="auto"/>
                    <w:jc w:val="left"/>
                    <w:rPr>
                      <w:b/>
                      <w:color w:val="auto"/>
                      <w:szCs w:val="21"/>
                    </w:rPr>
                  </w:pPr>
                </w:p>
              </w:tc>
              <w:tc>
                <w:tcPr>
                  <w:tcW w:w="693" w:type="pct"/>
                  <w:vAlign w:val="center"/>
                </w:tcPr>
                <w:p w14:paraId="62FBB238">
                  <w:pPr>
                    <w:spacing w:line="276" w:lineRule="auto"/>
                    <w:jc w:val="center"/>
                    <w:rPr>
                      <w:b/>
                      <w:color w:val="auto"/>
                      <w:szCs w:val="21"/>
                    </w:rPr>
                  </w:pPr>
                  <w:r>
                    <w:rPr>
                      <w:rFonts w:hint="eastAsia"/>
                      <w:b/>
                      <w:color w:val="auto"/>
                      <w:szCs w:val="21"/>
                    </w:rPr>
                    <w:t>声功率级</w:t>
                  </w:r>
                  <w:r>
                    <w:rPr>
                      <w:b/>
                      <w:color w:val="auto"/>
                      <w:szCs w:val="21"/>
                    </w:rPr>
                    <w:t>/dB</w:t>
                  </w:r>
                  <w:r>
                    <w:rPr>
                      <w:rFonts w:hint="eastAsia"/>
                      <w:b/>
                      <w:color w:val="auto"/>
                      <w:szCs w:val="21"/>
                    </w:rPr>
                    <w:t>（</w:t>
                  </w:r>
                  <w:r>
                    <w:rPr>
                      <w:b/>
                      <w:color w:val="auto"/>
                      <w:szCs w:val="21"/>
                    </w:rPr>
                    <w:t>A</w:t>
                  </w:r>
                  <w:r>
                    <w:rPr>
                      <w:rFonts w:hint="eastAsia"/>
                      <w:b/>
                      <w:color w:val="auto"/>
                      <w:szCs w:val="21"/>
                    </w:rPr>
                    <w:t>）</w:t>
                  </w:r>
                </w:p>
              </w:tc>
              <w:tc>
                <w:tcPr>
                  <w:tcW w:w="587" w:type="pct"/>
                  <w:vMerge w:val="continue"/>
                  <w:vAlign w:val="center"/>
                </w:tcPr>
                <w:p w14:paraId="3247F652">
                  <w:pPr>
                    <w:widowControl/>
                    <w:spacing w:line="276" w:lineRule="auto"/>
                    <w:jc w:val="left"/>
                    <w:rPr>
                      <w:rFonts w:hAnsi="宋体"/>
                      <w:b/>
                      <w:color w:val="auto"/>
                      <w:szCs w:val="21"/>
                    </w:rPr>
                  </w:pPr>
                </w:p>
              </w:tc>
              <w:tc>
                <w:tcPr>
                  <w:tcW w:w="542" w:type="pct"/>
                  <w:vAlign w:val="center"/>
                </w:tcPr>
                <w:p w14:paraId="70D99D81">
                  <w:pPr>
                    <w:spacing w:line="276" w:lineRule="auto"/>
                    <w:jc w:val="center"/>
                    <w:rPr>
                      <w:color w:val="auto"/>
                      <w:szCs w:val="21"/>
                    </w:rPr>
                  </w:pPr>
                  <w:r>
                    <w:rPr>
                      <w:color w:val="auto"/>
                      <w:szCs w:val="21"/>
                    </w:rPr>
                    <w:t>X</w:t>
                  </w:r>
                </w:p>
              </w:tc>
              <w:tc>
                <w:tcPr>
                  <w:tcW w:w="434" w:type="pct"/>
                  <w:vAlign w:val="center"/>
                </w:tcPr>
                <w:p w14:paraId="0D89F996">
                  <w:pPr>
                    <w:spacing w:line="276" w:lineRule="auto"/>
                    <w:jc w:val="center"/>
                    <w:rPr>
                      <w:color w:val="auto"/>
                      <w:szCs w:val="21"/>
                    </w:rPr>
                  </w:pPr>
                  <w:r>
                    <w:rPr>
                      <w:color w:val="auto"/>
                      <w:szCs w:val="21"/>
                    </w:rPr>
                    <w:t>Y</w:t>
                  </w:r>
                </w:p>
              </w:tc>
              <w:tc>
                <w:tcPr>
                  <w:tcW w:w="618" w:type="pct"/>
                  <w:vAlign w:val="center"/>
                </w:tcPr>
                <w:p w14:paraId="4B1C472A">
                  <w:pPr>
                    <w:spacing w:line="276" w:lineRule="auto"/>
                    <w:jc w:val="center"/>
                    <w:rPr>
                      <w:color w:val="auto"/>
                      <w:szCs w:val="21"/>
                    </w:rPr>
                  </w:pPr>
                  <w:r>
                    <w:rPr>
                      <w:color w:val="auto"/>
                      <w:szCs w:val="21"/>
                    </w:rPr>
                    <w:t>Z</w:t>
                  </w:r>
                </w:p>
              </w:tc>
              <w:tc>
                <w:tcPr>
                  <w:tcW w:w="393" w:type="pct"/>
                  <w:vMerge w:val="continue"/>
                  <w:vAlign w:val="center"/>
                </w:tcPr>
                <w:p w14:paraId="47892374">
                  <w:pPr>
                    <w:widowControl/>
                    <w:spacing w:line="276" w:lineRule="auto"/>
                    <w:jc w:val="left"/>
                    <w:rPr>
                      <w:b/>
                      <w:color w:val="auto"/>
                      <w:szCs w:val="21"/>
                    </w:rPr>
                  </w:pPr>
                </w:p>
              </w:tc>
            </w:tr>
            <w:tr w14:paraId="593D330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 w:hRule="atLeast"/>
                <w:jc w:val="center"/>
              </w:trPr>
              <w:tc>
                <w:tcPr>
                  <w:tcW w:w="327" w:type="pct"/>
                  <w:vAlign w:val="center"/>
                </w:tcPr>
                <w:p w14:paraId="084BAD2A">
                  <w:pPr>
                    <w:spacing w:line="276" w:lineRule="auto"/>
                    <w:jc w:val="center"/>
                    <w:rPr>
                      <w:color w:val="auto"/>
                      <w:szCs w:val="21"/>
                    </w:rPr>
                  </w:pPr>
                  <w:r>
                    <w:rPr>
                      <w:rFonts w:hint="eastAsia"/>
                      <w:color w:val="auto"/>
                      <w:szCs w:val="21"/>
                    </w:rPr>
                    <w:t>1</w:t>
                  </w:r>
                </w:p>
              </w:tc>
              <w:tc>
                <w:tcPr>
                  <w:tcW w:w="612" w:type="pct"/>
                  <w:vAlign w:val="center"/>
                </w:tcPr>
                <w:p w14:paraId="7FB25B85">
                  <w:pPr>
                    <w:spacing w:line="276" w:lineRule="auto"/>
                    <w:jc w:val="center"/>
                    <w:rPr>
                      <w:color w:val="auto"/>
                      <w:szCs w:val="21"/>
                    </w:rPr>
                  </w:pPr>
                  <w:r>
                    <w:rPr>
                      <w:rFonts w:hint="eastAsia"/>
                      <w:color w:val="auto"/>
                      <w:szCs w:val="21"/>
                    </w:rPr>
                    <w:t>厂房1#（一车间）</w:t>
                  </w:r>
                </w:p>
              </w:tc>
              <w:tc>
                <w:tcPr>
                  <w:tcW w:w="794" w:type="pct"/>
                  <w:vAlign w:val="center"/>
                </w:tcPr>
                <w:p w14:paraId="3B7569B9">
                  <w:pPr>
                    <w:spacing w:line="276" w:lineRule="auto"/>
                    <w:jc w:val="center"/>
                    <w:rPr>
                      <w:color w:val="auto"/>
                      <w:kern w:val="0"/>
                      <w:szCs w:val="21"/>
                    </w:rPr>
                  </w:pPr>
                  <w:r>
                    <w:rPr>
                      <w:rFonts w:hint="eastAsia"/>
                      <w:color w:val="auto"/>
                      <w:kern w:val="0"/>
                      <w:szCs w:val="21"/>
                    </w:rPr>
                    <w:t>热端喷涂装置1</w:t>
                  </w:r>
                </w:p>
              </w:tc>
              <w:tc>
                <w:tcPr>
                  <w:tcW w:w="693" w:type="pct"/>
                  <w:vAlign w:val="center"/>
                </w:tcPr>
                <w:p w14:paraId="073014CE">
                  <w:pPr>
                    <w:spacing w:line="276" w:lineRule="auto"/>
                    <w:jc w:val="center"/>
                    <w:rPr>
                      <w:color w:val="auto"/>
                      <w:szCs w:val="21"/>
                    </w:rPr>
                  </w:pPr>
                  <w:r>
                    <w:rPr>
                      <w:rFonts w:hint="eastAsia"/>
                      <w:color w:val="auto"/>
                      <w:szCs w:val="21"/>
                    </w:rPr>
                    <w:t>78</w:t>
                  </w:r>
                </w:p>
              </w:tc>
              <w:tc>
                <w:tcPr>
                  <w:tcW w:w="587" w:type="pct"/>
                  <w:vMerge w:val="restart"/>
                  <w:vAlign w:val="center"/>
                </w:tcPr>
                <w:p w14:paraId="4B53DA1B">
                  <w:pPr>
                    <w:spacing w:line="276" w:lineRule="auto"/>
                    <w:jc w:val="center"/>
                    <w:rPr>
                      <w:color w:val="auto"/>
                      <w:szCs w:val="21"/>
                    </w:rPr>
                  </w:pPr>
                  <w:r>
                    <w:rPr>
                      <w:rFonts w:hint="eastAsia"/>
                      <w:color w:val="auto"/>
                      <w:szCs w:val="21"/>
                    </w:rPr>
                    <w:t>选用低噪声设备、减振、隔声</w:t>
                  </w:r>
                </w:p>
              </w:tc>
              <w:tc>
                <w:tcPr>
                  <w:tcW w:w="542" w:type="pct"/>
                  <w:vAlign w:val="center"/>
                </w:tcPr>
                <w:p w14:paraId="6A8D4DBC">
                  <w:pPr>
                    <w:spacing w:line="276" w:lineRule="auto"/>
                    <w:jc w:val="center"/>
                    <w:rPr>
                      <w:color w:val="auto"/>
                      <w:szCs w:val="21"/>
                    </w:rPr>
                  </w:pPr>
                  <w:r>
                    <w:rPr>
                      <w:rFonts w:hint="eastAsia"/>
                      <w:color w:val="auto"/>
                      <w:szCs w:val="21"/>
                    </w:rPr>
                    <w:t>99</w:t>
                  </w:r>
                </w:p>
              </w:tc>
              <w:tc>
                <w:tcPr>
                  <w:tcW w:w="434" w:type="pct"/>
                  <w:vAlign w:val="center"/>
                </w:tcPr>
                <w:p w14:paraId="7F073FE7">
                  <w:pPr>
                    <w:spacing w:line="276" w:lineRule="auto"/>
                    <w:jc w:val="center"/>
                    <w:rPr>
                      <w:color w:val="auto"/>
                      <w:szCs w:val="21"/>
                    </w:rPr>
                  </w:pPr>
                  <w:r>
                    <w:rPr>
                      <w:rFonts w:hint="eastAsia"/>
                      <w:color w:val="auto"/>
                      <w:szCs w:val="21"/>
                    </w:rPr>
                    <w:t>175</w:t>
                  </w:r>
                </w:p>
              </w:tc>
              <w:tc>
                <w:tcPr>
                  <w:tcW w:w="618" w:type="pct"/>
                  <w:vAlign w:val="center"/>
                </w:tcPr>
                <w:p w14:paraId="32B45827">
                  <w:pPr>
                    <w:spacing w:line="276" w:lineRule="auto"/>
                    <w:jc w:val="center"/>
                    <w:rPr>
                      <w:color w:val="auto"/>
                      <w:szCs w:val="21"/>
                    </w:rPr>
                  </w:pPr>
                  <w:r>
                    <w:rPr>
                      <w:rFonts w:hint="eastAsia"/>
                      <w:color w:val="auto"/>
                      <w:szCs w:val="21"/>
                    </w:rPr>
                    <w:t>1.0</w:t>
                  </w:r>
                </w:p>
              </w:tc>
              <w:tc>
                <w:tcPr>
                  <w:tcW w:w="393" w:type="pct"/>
                  <w:vAlign w:val="center"/>
                </w:tcPr>
                <w:p w14:paraId="27DECA9B">
                  <w:pPr>
                    <w:spacing w:line="276" w:lineRule="auto"/>
                    <w:jc w:val="center"/>
                    <w:rPr>
                      <w:color w:val="auto"/>
                      <w:szCs w:val="21"/>
                    </w:rPr>
                  </w:pPr>
                  <w:r>
                    <w:rPr>
                      <w:color w:val="auto"/>
                      <w:szCs w:val="21"/>
                    </w:rPr>
                    <w:t>昼间、夜间</w:t>
                  </w:r>
                </w:p>
              </w:tc>
            </w:tr>
            <w:tr w14:paraId="711C870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 w:hRule="atLeast"/>
                <w:jc w:val="center"/>
              </w:trPr>
              <w:tc>
                <w:tcPr>
                  <w:tcW w:w="327" w:type="pct"/>
                  <w:vAlign w:val="center"/>
                </w:tcPr>
                <w:p w14:paraId="31DC094A">
                  <w:pPr>
                    <w:spacing w:line="276" w:lineRule="auto"/>
                    <w:jc w:val="center"/>
                    <w:rPr>
                      <w:color w:val="auto"/>
                      <w:szCs w:val="21"/>
                    </w:rPr>
                  </w:pPr>
                  <w:r>
                    <w:rPr>
                      <w:rFonts w:hint="eastAsia"/>
                      <w:color w:val="auto"/>
                      <w:szCs w:val="21"/>
                    </w:rPr>
                    <w:t>2</w:t>
                  </w:r>
                </w:p>
              </w:tc>
              <w:tc>
                <w:tcPr>
                  <w:tcW w:w="612" w:type="pct"/>
                  <w:vAlign w:val="center"/>
                </w:tcPr>
                <w:p w14:paraId="31C4DBEA">
                  <w:pPr>
                    <w:spacing w:line="276" w:lineRule="auto"/>
                    <w:jc w:val="center"/>
                    <w:rPr>
                      <w:color w:val="auto"/>
                      <w:szCs w:val="21"/>
                    </w:rPr>
                  </w:pPr>
                  <w:r>
                    <w:rPr>
                      <w:rFonts w:hint="eastAsia"/>
                      <w:color w:val="auto"/>
                      <w:szCs w:val="21"/>
                    </w:rPr>
                    <w:t>厂房20#（三车间）</w:t>
                  </w:r>
                </w:p>
              </w:tc>
              <w:tc>
                <w:tcPr>
                  <w:tcW w:w="794" w:type="pct"/>
                  <w:vAlign w:val="center"/>
                </w:tcPr>
                <w:p w14:paraId="211139BF">
                  <w:pPr>
                    <w:spacing w:line="276" w:lineRule="auto"/>
                    <w:jc w:val="center"/>
                    <w:rPr>
                      <w:color w:val="auto"/>
                      <w:kern w:val="0"/>
                      <w:szCs w:val="21"/>
                    </w:rPr>
                  </w:pPr>
                  <w:r>
                    <w:rPr>
                      <w:rFonts w:hint="eastAsia"/>
                      <w:color w:val="auto"/>
                      <w:kern w:val="0"/>
                      <w:szCs w:val="21"/>
                    </w:rPr>
                    <w:t>热端喷涂装置1</w:t>
                  </w:r>
                </w:p>
              </w:tc>
              <w:tc>
                <w:tcPr>
                  <w:tcW w:w="693" w:type="pct"/>
                  <w:vAlign w:val="center"/>
                </w:tcPr>
                <w:p w14:paraId="6A266E23">
                  <w:pPr>
                    <w:spacing w:line="276" w:lineRule="auto"/>
                    <w:jc w:val="center"/>
                    <w:rPr>
                      <w:color w:val="auto"/>
                      <w:szCs w:val="21"/>
                    </w:rPr>
                  </w:pPr>
                  <w:r>
                    <w:rPr>
                      <w:rFonts w:hint="eastAsia"/>
                      <w:color w:val="auto"/>
                      <w:szCs w:val="21"/>
                    </w:rPr>
                    <w:t>78</w:t>
                  </w:r>
                </w:p>
              </w:tc>
              <w:tc>
                <w:tcPr>
                  <w:tcW w:w="587" w:type="pct"/>
                  <w:vMerge w:val="continue"/>
                  <w:vAlign w:val="center"/>
                </w:tcPr>
                <w:p w14:paraId="4FD38AF1">
                  <w:pPr>
                    <w:spacing w:line="276" w:lineRule="auto"/>
                    <w:jc w:val="center"/>
                    <w:rPr>
                      <w:color w:val="auto"/>
                      <w:szCs w:val="21"/>
                    </w:rPr>
                  </w:pPr>
                </w:p>
              </w:tc>
              <w:tc>
                <w:tcPr>
                  <w:tcW w:w="542" w:type="pct"/>
                  <w:vAlign w:val="center"/>
                </w:tcPr>
                <w:p w14:paraId="72374A71">
                  <w:pPr>
                    <w:spacing w:line="276" w:lineRule="auto"/>
                    <w:jc w:val="center"/>
                    <w:rPr>
                      <w:color w:val="auto"/>
                      <w:szCs w:val="21"/>
                    </w:rPr>
                  </w:pPr>
                  <w:r>
                    <w:rPr>
                      <w:rFonts w:hint="eastAsia"/>
                      <w:color w:val="auto"/>
                      <w:szCs w:val="21"/>
                    </w:rPr>
                    <w:t>217</w:t>
                  </w:r>
                </w:p>
              </w:tc>
              <w:tc>
                <w:tcPr>
                  <w:tcW w:w="434" w:type="pct"/>
                  <w:vAlign w:val="center"/>
                </w:tcPr>
                <w:p w14:paraId="2E885414">
                  <w:pPr>
                    <w:spacing w:line="276" w:lineRule="auto"/>
                    <w:jc w:val="center"/>
                    <w:rPr>
                      <w:color w:val="auto"/>
                      <w:szCs w:val="21"/>
                    </w:rPr>
                  </w:pPr>
                  <w:r>
                    <w:rPr>
                      <w:rFonts w:hint="eastAsia"/>
                      <w:color w:val="auto"/>
                      <w:szCs w:val="21"/>
                    </w:rPr>
                    <w:t>242</w:t>
                  </w:r>
                </w:p>
              </w:tc>
              <w:tc>
                <w:tcPr>
                  <w:tcW w:w="618" w:type="pct"/>
                  <w:vAlign w:val="center"/>
                </w:tcPr>
                <w:p w14:paraId="633DFE54">
                  <w:pPr>
                    <w:spacing w:line="276" w:lineRule="auto"/>
                    <w:jc w:val="center"/>
                    <w:rPr>
                      <w:color w:val="auto"/>
                      <w:szCs w:val="21"/>
                    </w:rPr>
                  </w:pPr>
                  <w:r>
                    <w:rPr>
                      <w:rFonts w:hint="eastAsia"/>
                      <w:color w:val="auto"/>
                      <w:szCs w:val="21"/>
                    </w:rPr>
                    <w:t>1.0</w:t>
                  </w:r>
                </w:p>
              </w:tc>
              <w:tc>
                <w:tcPr>
                  <w:tcW w:w="393" w:type="pct"/>
                  <w:vAlign w:val="center"/>
                </w:tcPr>
                <w:p w14:paraId="7AFEB0EC">
                  <w:pPr>
                    <w:spacing w:line="276" w:lineRule="auto"/>
                    <w:jc w:val="center"/>
                    <w:rPr>
                      <w:color w:val="auto"/>
                      <w:szCs w:val="21"/>
                    </w:rPr>
                  </w:pPr>
                  <w:r>
                    <w:rPr>
                      <w:color w:val="auto"/>
                      <w:szCs w:val="21"/>
                    </w:rPr>
                    <w:t>昼间、夜间</w:t>
                  </w:r>
                </w:p>
              </w:tc>
            </w:tr>
          </w:tbl>
          <w:p w14:paraId="305C84D7">
            <w:pPr>
              <w:rPr>
                <w:b/>
                <w:color w:val="auto"/>
                <w:szCs w:val="21"/>
              </w:rPr>
            </w:pPr>
            <w:r>
              <w:rPr>
                <w:rFonts w:hint="eastAsia"/>
                <w:b/>
                <w:color w:val="auto"/>
                <w:szCs w:val="21"/>
              </w:rPr>
              <w:t>注：以厂区西南角为坐标原点</w:t>
            </w:r>
          </w:p>
          <w:p w14:paraId="55FCF1F3">
            <w:pPr>
              <w:spacing w:line="360" w:lineRule="auto"/>
              <w:ind w:firstLine="482" w:firstLineChars="200"/>
              <w:rPr>
                <w:b/>
                <w:color w:val="auto"/>
                <w:sz w:val="24"/>
              </w:rPr>
            </w:pPr>
            <w:r>
              <w:rPr>
                <w:rFonts w:hint="eastAsia"/>
                <w:b/>
                <w:color w:val="auto"/>
                <w:sz w:val="24"/>
              </w:rPr>
              <w:t>2、噪声预测结果</w:t>
            </w:r>
          </w:p>
          <w:p w14:paraId="15A37DBD">
            <w:pPr>
              <w:spacing w:line="360" w:lineRule="auto"/>
              <w:ind w:firstLine="480" w:firstLineChars="200"/>
              <w:rPr>
                <w:color w:val="auto"/>
                <w:sz w:val="24"/>
              </w:rPr>
            </w:pPr>
            <w:r>
              <w:rPr>
                <w:color w:val="auto"/>
                <w:sz w:val="24"/>
              </w:rPr>
              <w:t>根据《环境影响评价技术导则</w:t>
            </w:r>
            <w:r>
              <w:rPr>
                <w:rFonts w:hint="eastAsia"/>
                <w:color w:val="auto"/>
                <w:sz w:val="24"/>
              </w:rPr>
              <w:t xml:space="preserve"> </w:t>
            </w:r>
            <w:r>
              <w:rPr>
                <w:color w:val="auto"/>
                <w:sz w:val="24"/>
              </w:rPr>
              <w:t>声环</w:t>
            </w:r>
            <w:r>
              <w:rPr>
                <w:rFonts w:hint="eastAsia"/>
                <w:color w:val="auto"/>
                <w:sz w:val="24"/>
              </w:rPr>
              <w:t>境》（HJ2.4-2021）的要求，本次声环境影响评价选用室内噪声模式和室外噪声模式进行预测，具体预测方法如下。</w:t>
            </w:r>
          </w:p>
          <w:p w14:paraId="3A63B59E">
            <w:pPr>
              <w:spacing w:line="360" w:lineRule="auto"/>
              <w:ind w:firstLine="480" w:firstLineChars="200"/>
              <w:rPr>
                <w:color w:val="auto"/>
                <w:sz w:val="24"/>
              </w:rPr>
            </w:pPr>
            <w:r>
              <w:rPr>
                <w:rFonts w:hint="eastAsia"/>
                <w:color w:val="auto"/>
                <w:sz w:val="24"/>
              </w:rPr>
              <w:t>①指向性点声源的几何发散衰减</w:t>
            </w:r>
          </w:p>
          <w:p w14:paraId="3D6399CD">
            <w:pPr>
              <w:spacing w:line="360" w:lineRule="auto"/>
              <w:ind w:firstLine="480" w:firstLineChars="200"/>
              <w:rPr>
                <w:color w:val="auto"/>
                <w:sz w:val="24"/>
              </w:rPr>
            </w:pPr>
            <w:r>
              <w:rPr>
                <w:rFonts w:hint="eastAsia"/>
                <w:color w:val="auto"/>
                <w:sz w:val="24"/>
              </w:rPr>
              <w:t>无指向性点声源几何发散衰减的基本公式是：</w:t>
            </w:r>
          </w:p>
          <w:p w14:paraId="643C9927">
            <w:pPr>
              <w:spacing w:line="360" w:lineRule="auto"/>
              <w:ind w:firstLine="480" w:firstLineChars="200"/>
              <w:rPr>
                <w:color w:val="auto"/>
                <w:sz w:val="24"/>
              </w:rPr>
            </w:pPr>
          </w:p>
          <w:p w14:paraId="757A52D5">
            <w:pPr>
              <w:autoSpaceDE w:val="0"/>
              <w:autoSpaceDN w:val="0"/>
              <w:adjustRightInd w:val="0"/>
              <w:jc w:val="left"/>
              <w:rPr>
                <w:color w:val="auto"/>
                <w:kern w:val="0"/>
                <w:sz w:val="24"/>
                <w:szCs w:val="24"/>
              </w:rPr>
            </w:pPr>
            <w:r>
              <w:rPr>
                <w:color w:val="auto"/>
                <w:kern w:val="0"/>
                <w:sz w:val="24"/>
                <w:szCs w:val="24"/>
              </w:rPr>
              <w:drawing>
                <wp:anchor distT="0" distB="0" distL="114300" distR="114300" simplePos="0" relativeHeight="251660288" behindDoc="0" locked="0" layoutInCell="1" allowOverlap="1">
                  <wp:simplePos x="0" y="0"/>
                  <wp:positionH relativeFrom="column">
                    <wp:posOffset>1016000</wp:posOffset>
                  </wp:positionH>
                  <wp:positionV relativeFrom="paragraph">
                    <wp:posOffset>0</wp:posOffset>
                  </wp:positionV>
                  <wp:extent cx="2731770" cy="284480"/>
                  <wp:effectExtent l="19050" t="0" r="0" b="0"/>
                  <wp:wrapNone/>
                  <wp:docPr id="8" name="图片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03"/>
                          <pic:cNvPicPr>
                            <a:picLocks noChangeAspect="1" noChangeArrowheads="1"/>
                          </pic:cNvPicPr>
                        </pic:nvPicPr>
                        <pic:blipFill>
                          <a:blip r:embed="rId9" cstate="print"/>
                          <a:srcRect/>
                          <a:stretch>
                            <a:fillRect/>
                          </a:stretch>
                        </pic:blipFill>
                        <pic:spPr>
                          <a:xfrm>
                            <a:off x="0" y="0"/>
                            <a:ext cx="2731878" cy="284671"/>
                          </a:xfrm>
                          <a:prstGeom prst="rect">
                            <a:avLst/>
                          </a:prstGeom>
                          <a:noFill/>
                          <a:ln w="9525">
                            <a:noFill/>
                            <a:miter lim="800000"/>
                            <a:headEnd/>
                            <a:tailEnd/>
                          </a:ln>
                        </pic:spPr>
                      </pic:pic>
                    </a:graphicData>
                  </a:graphic>
                </wp:anchor>
              </w:drawing>
            </w:r>
          </w:p>
          <w:p w14:paraId="7C0A68CA">
            <w:pPr>
              <w:spacing w:line="360" w:lineRule="auto"/>
              <w:ind w:firstLine="480" w:firstLineChars="200"/>
              <w:rPr>
                <w:color w:val="auto"/>
                <w:sz w:val="24"/>
              </w:rPr>
            </w:pPr>
          </w:p>
          <w:p w14:paraId="20F96B27">
            <w:pPr>
              <w:spacing w:line="360" w:lineRule="auto"/>
              <w:ind w:firstLine="480" w:firstLineChars="200"/>
              <w:rPr>
                <w:color w:val="auto"/>
                <w:sz w:val="24"/>
              </w:rPr>
            </w:pPr>
            <w:r>
              <w:rPr>
                <w:rFonts w:hint="eastAsia"/>
                <w:color w:val="auto"/>
                <w:sz w:val="24"/>
              </w:rPr>
              <w:t>式中：Lp（r）—预测点处声压级，dB；</w:t>
            </w:r>
          </w:p>
          <w:p w14:paraId="0FCBFD36">
            <w:pPr>
              <w:spacing w:line="360" w:lineRule="auto"/>
              <w:ind w:firstLine="480" w:firstLineChars="200"/>
              <w:rPr>
                <w:color w:val="auto"/>
                <w:sz w:val="24"/>
              </w:rPr>
            </w:pPr>
            <w:r>
              <w:rPr>
                <w:rFonts w:hint="eastAsia"/>
                <w:color w:val="auto"/>
                <w:sz w:val="24"/>
              </w:rPr>
              <w:t>Lp（r</w:t>
            </w:r>
            <w:r>
              <w:rPr>
                <w:rFonts w:hint="eastAsia"/>
                <w:color w:val="auto"/>
                <w:sz w:val="24"/>
                <w:vertAlign w:val="subscript"/>
              </w:rPr>
              <w:t>0</w:t>
            </w:r>
            <w:r>
              <w:rPr>
                <w:rFonts w:hint="eastAsia"/>
                <w:color w:val="auto"/>
                <w:sz w:val="24"/>
              </w:rPr>
              <w:t>）—参考位置r</w:t>
            </w:r>
            <w:r>
              <w:rPr>
                <w:rFonts w:hint="eastAsia"/>
                <w:color w:val="auto"/>
                <w:sz w:val="24"/>
                <w:vertAlign w:val="subscript"/>
              </w:rPr>
              <w:t>0</w:t>
            </w:r>
            <w:r>
              <w:rPr>
                <w:rFonts w:hint="eastAsia"/>
                <w:color w:val="auto"/>
                <w:sz w:val="24"/>
              </w:rPr>
              <w:t>处的声压级，dB；</w:t>
            </w:r>
          </w:p>
          <w:p w14:paraId="43081DE2">
            <w:pPr>
              <w:spacing w:line="360" w:lineRule="auto"/>
              <w:ind w:firstLine="480" w:firstLineChars="200"/>
              <w:rPr>
                <w:color w:val="auto"/>
                <w:sz w:val="24"/>
              </w:rPr>
            </w:pPr>
            <w:r>
              <w:rPr>
                <w:rFonts w:hint="eastAsia"/>
                <w:color w:val="auto"/>
                <w:sz w:val="24"/>
              </w:rPr>
              <w:t>r—预测点距声源的距离；</w:t>
            </w:r>
          </w:p>
          <w:p w14:paraId="42E4B095">
            <w:pPr>
              <w:spacing w:line="360" w:lineRule="auto"/>
              <w:ind w:firstLine="480" w:firstLineChars="200"/>
              <w:rPr>
                <w:color w:val="auto"/>
                <w:sz w:val="24"/>
              </w:rPr>
            </w:pPr>
            <w:r>
              <w:rPr>
                <w:rFonts w:hint="eastAsia"/>
                <w:color w:val="auto"/>
                <w:sz w:val="24"/>
              </w:rPr>
              <w:t>r</w:t>
            </w:r>
            <w:r>
              <w:rPr>
                <w:rFonts w:hint="eastAsia"/>
                <w:color w:val="auto"/>
                <w:sz w:val="24"/>
                <w:vertAlign w:val="subscript"/>
              </w:rPr>
              <w:t>0</w:t>
            </w:r>
            <w:r>
              <w:rPr>
                <w:rFonts w:hint="eastAsia"/>
                <w:color w:val="auto"/>
                <w:sz w:val="24"/>
              </w:rPr>
              <w:t>—参考位置距声源的距离；</w:t>
            </w:r>
          </w:p>
          <w:p w14:paraId="0F6CD6C9">
            <w:pPr>
              <w:spacing w:line="360" w:lineRule="auto"/>
              <w:ind w:firstLine="480" w:firstLineChars="200"/>
              <w:rPr>
                <w:color w:val="auto"/>
                <w:sz w:val="24"/>
              </w:rPr>
            </w:pPr>
            <w:r>
              <w:rPr>
                <w:rFonts w:hint="eastAsia"/>
                <w:color w:val="auto"/>
                <w:sz w:val="24"/>
              </w:rPr>
              <w:t>上式中第二项表示了点声源的几何发散衰减；</w:t>
            </w:r>
          </w:p>
          <w:p w14:paraId="3D5E3F64">
            <w:pPr>
              <w:rPr>
                <w:rFonts w:ascii="宋体" w:hAnsi="Courier New"/>
                <w:color w:val="auto"/>
                <w:kern w:val="0"/>
                <w:sz w:val="26"/>
                <w:szCs w:val="20"/>
              </w:rPr>
            </w:pPr>
            <w:r>
              <w:rPr>
                <w:rFonts w:ascii="宋体" w:hAnsi="Courier New"/>
                <w:color w:val="auto"/>
                <w:kern w:val="0"/>
                <w:sz w:val="26"/>
                <w:szCs w:val="20"/>
              </w:rPr>
              <w:drawing>
                <wp:anchor distT="0" distB="0" distL="114300" distR="114300" simplePos="0" relativeHeight="251661312" behindDoc="0" locked="0" layoutInCell="1" allowOverlap="1">
                  <wp:simplePos x="0" y="0"/>
                  <wp:positionH relativeFrom="column">
                    <wp:posOffset>1719580</wp:posOffset>
                  </wp:positionH>
                  <wp:positionV relativeFrom="paragraph">
                    <wp:posOffset>17780</wp:posOffset>
                  </wp:positionV>
                  <wp:extent cx="2066925" cy="295275"/>
                  <wp:effectExtent l="19050" t="0" r="9525" b="0"/>
                  <wp:wrapNone/>
                  <wp:docPr id="9" name="图片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04"/>
                          <pic:cNvPicPr>
                            <a:picLocks noChangeAspect="1" noChangeArrowheads="1"/>
                          </pic:cNvPicPr>
                        </pic:nvPicPr>
                        <pic:blipFill>
                          <a:blip r:embed="rId10" cstate="print"/>
                          <a:srcRect/>
                          <a:stretch>
                            <a:fillRect/>
                          </a:stretch>
                        </pic:blipFill>
                        <pic:spPr>
                          <a:xfrm>
                            <a:off x="0" y="0"/>
                            <a:ext cx="2066925" cy="295275"/>
                          </a:xfrm>
                          <a:prstGeom prst="rect">
                            <a:avLst/>
                          </a:prstGeom>
                          <a:noFill/>
                          <a:ln w="9525">
                            <a:noFill/>
                            <a:miter lim="800000"/>
                            <a:headEnd/>
                            <a:tailEnd/>
                          </a:ln>
                        </pic:spPr>
                      </pic:pic>
                    </a:graphicData>
                  </a:graphic>
                </wp:anchor>
              </w:drawing>
            </w:r>
          </w:p>
          <w:p w14:paraId="77373B56">
            <w:pPr>
              <w:spacing w:line="360" w:lineRule="auto"/>
              <w:ind w:firstLine="480" w:firstLineChars="200"/>
              <w:rPr>
                <w:color w:val="auto"/>
                <w:sz w:val="24"/>
              </w:rPr>
            </w:pPr>
            <w:r>
              <w:rPr>
                <w:rFonts w:hint="eastAsia"/>
                <w:color w:val="auto"/>
                <w:sz w:val="24"/>
              </w:rPr>
              <w:t>式中：A</w:t>
            </w:r>
            <w:r>
              <w:rPr>
                <w:rFonts w:hint="eastAsia"/>
                <w:color w:val="auto"/>
                <w:sz w:val="24"/>
                <w:vertAlign w:val="subscript"/>
              </w:rPr>
              <w:t>div</w:t>
            </w:r>
            <w:r>
              <w:rPr>
                <w:rFonts w:hint="eastAsia"/>
                <w:color w:val="auto"/>
                <w:sz w:val="24"/>
              </w:rPr>
              <w:t>—几何发散引起的衰减，dB；</w:t>
            </w:r>
          </w:p>
          <w:p w14:paraId="37C431BF">
            <w:pPr>
              <w:spacing w:line="360" w:lineRule="auto"/>
              <w:ind w:firstLine="480" w:firstLineChars="200"/>
              <w:rPr>
                <w:color w:val="auto"/>
                <w:sz w:val="24"/>
              </w:rPr>
            </w:pPr>
            <w:r>
              <w:rPr>
                <w:rFonts w:hint="eastAsia"/>
                <w:color w:val="auto"/>
                <w:sz w:val="24"/>
              </w:rPr>
              <w:t>r—预测点距声源的距离；</w:t>
            </w:r>
          </w:p>
          <w:p w14:paraId="0AD966F3">
            <w:pPr>
              <w:spacing w:line="360" w:lineRule="auto"/>
              <w:ind w:firstLine="480" w:firstLineChars="200"/>
              <w:rPr>
                <w:color w:val="auto"/>
                <w:sz w:val="24"/>
              </w:rPr>
            </w:pPr>
            <w:r>
              <w:rPr>
                <w:rFonts w:hint="eastAsia"/>
                <w:color w:val="auto"/>
                <w:sz w:val="24"/>
              </w:rPr>
              <w:t>r</w:t>
            </w:r>
            <w:r>
              <w:rPr>
                <w:rFonts w:hint="eastAsia"/>
                <w:color w:val="auto"/>
                <w:sz w:val="24"/>
                <w:vertAlign w:val="subscript"/>
              </w:rPr>
              <w:t>0</w:t>
            </w:r>
            <w:r>
              <w:rPr>
                <w:rFonts w:hint="eastAsia"/>
                <w:color w:val="auto"/>
                <w:sz w:val="24"/>
              </w:rPr>
              <w:t>—参考位置距声源的距离。</w:t>
            </w:r>
          </w:p>
          <w:p w14:paraId="3EAAEC8C">
            <w:pPr>
              <w:spacing w:line="360" w:lineRule="auto"/>
              <w:ind w:firstLine="480" w:firstLineChars="200"/>
              <w:rPr>
                <w:color w:val="auto"/>
                <w:sz w:val="24"/>
              </w:rPr>
            </w:pPr>
            <w:r>
              <w:rPr>
                <w:rFonts w:hint="eastAsia"/>
                <w:color w:val="auto"/>
                <w:sz w:val="24"/>
              </w:rPr>
              <w:t>②面声源的几何发散衰减</w:t>
            </w:r>
          </w:p>
          <w:p w14:paraId="2DF526C8">
            <w:pPr>
              <w:tabs>
                <w:tab w:val="left" w:pos="462"/>
              </w:tabs>
              <w:spacing w:line="360" w:lineRule="auto"/>
              <w:ind w:firstLine="480" w:firstLineChars="200"/>
              <w:rPr>
                <w:color w:val="auto"/>
                <w:sz w:val="24"/>
              </w:rPr>
            </w:pPr>
            <w:r>
              <w:rPr>
                <w:rFonts w:hint="eastAsia"/>
                <w:color w:val="auto"/>
                <w:sz w:val="24"/>
              </w:rPr>
              <w:t>车间透声的墙壁可认为是面声源。</w:t>
            </w:r>
            <w:r>
              <w:rPr>
                <w:color w:val="auto"/>
                <w:sz w:val="24"/>
              </w:rPr>
              <w:t>面声源衰减规律如下：当预测点和面声源中心距离r处于以下条件时，可按下述方法近似计算：r&lt;a/π时，几乎不衰减（Adiv≈0）；当a/π&lt;r&lt;b/π，距离加倍衰减3dB左右，类似线声源衰减特性（Adiv≈10lg（r/r0））；当r&gt;b/π时，距离加倍衰减趋近于6dB，类似点声源衰减特性（Adiv≈20lg（r/r0））。其中面声源的b&gt;a。下图中虚线为实际衰减量。</w:t>
            </w:r>
          </w:p>
          <w:p w14:paraId="7AD96E94">
            <w:pPr>
              <w:rPr>
                <w:color w:val="auto"/>
                <w:sz w:val="28"/>
                <w:szCs w:val="20"/>
              </w:rPr>
            </w:pPr>
            <w:r>
              <w:rPr>
                <w:color w:val="auto"/>
                <w:sz w:val="28"/>
                <w:szCs w:val="20"/>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25400</wp:posOffset>
                  </wp:positionV>
                  <wp:extent cx="2686050" cy="1990725"/>
                  <wp:effectExtent l="19050" t="0" r="0" b="0"/>
                  <wp:wrapNone/>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noChangeArrowheads="1"/>
                          </pic:cNvPicPr>
                        </pic:nvPicPr>
                        <pic:blipFill>
                          <a:blip r:embed="rId11" cstate="print"/>
                          <a:srcRect/>
                          <a:stretch>
                            <a:fillRect/>
                          </a:stretch>
                        </pic:blipFill>
                        <pic:spPr>
                          <a:xfrm>
                            <a:off x="0" y="0"/>
                            <a:ext cx="2686050" cy="1990725"/>
                          </a:xfrm>
                          <a:prstGeom prst="rect">
                            <a:avLst/>
                          </a:prstGeom>
                          <a:noFill/>
                          <a:ln w="9525">
                            <a:noFill/>
                            <a:miter lim="800000"/>
                            <a:headEnd/>
                            <a:tailEnd/>
                          </a:ln>
                        </pic:spPr>
                      </pic:pic>
                    </a:graphicData>
                  </a:graphic>
                </wp:anchor>
              </w:drawing>
            </w:r>
          </w:p>
          <w:p w14:paraId="1CCF1FD1">
            <w:pPr>
              <w:rPr>
                <w:color w:val="auto"/>
              </w:rPr>
            </w:pPr>
          </w:p>
          <w:p w14:paraId="47BBE6E7">
            <w:pPr>
              <w:rPr>
                <w:rFonts w:ascii="宋体" w:hAnsi="Courier New"/>
                <w:color w:val="auto"/>
                <w:kern w:val="0"/>
                <w:sz w:val="26"/>
                <w:szCs w:val="20"/>
              </w:rPr>
            </w:pPr>
          </w:p>
          <w:p w14:paraId="4E8DD879">
            <w:pPr>
              <w:rPr>
                <w:color w:val="auto"/>
                <w:sz w:val="28"/>
                <w:szCs w:val="20"/>
              </w:rPr>
            </w:pPr>
          </w:p>
          <w:p w14:paraId="46C24C9C">
            <w:pPr>
              <w:rPr>
                <w:color w:val="auto"/>
              </w:rPr>
            </w:pPr>
          </w:p>
          <w:p w14:paraId="5AEB8EAF">
            <w:pPr>
              <w:rPr>
                <w:rFonts w:ascii="宋体" w:hAnsi="Courier New"/>
                <w:color w:val="auto"/>
                <w:kern w:val="0"/>
                <w:sz w:val="26"/>
                <w:szCs w:val="20"/>
              </w:rPr>
            </w:pPr>
          </w:p>
          <w:p w14:paraId="6C22F1D3">
            <w:pPr>
              <w:spacing w:line="360" w:lineRule="auto"/>
              <w:jc w:val="center"/>
              <w:rPr>
                <w:rFonts w:eastAsia="黑体"/>
                <w:color w:val="auto"/>
                <w:sz w:val="24"/>
              </w:rPr>
            </w:pPr>
            <w:r>
              <w:rPr>
                <w:rFonts w:hint="eastAsia" w:eastAsia="黑体"/>
                <w:color w:val="auto"/>
                <w:sz w:val="24"/>
              </w:rPr>
              <w:t xml:space="preserve">图7  </w:t>
            </w:r>
            <w:r>
              <w:rPr>
                <w:rFonts w:eastAsia="黑体"/>
                <w:color w:val="auto"/>
                <w:sz w:val="24"/>
              </w:rPr>
              <w:t>长方形面声源中心轴线上的衰减特性</w:t>
            </w:r>
          </w:p>
          <w:p w14:paraId="758B12E3">
            <w:pPr>
              <w:tabs>
                <w:tab w:val="left" w:pos="462"/>
              </w:tabs>
              <w:spacing w:line="360" w:lineRule="auto"/>
              <w:ind w:firstLine="480" w:firstLineChars="200"/>
              <w:rPr>
                <w:color w:val="auto"/>
                <w:sz w:val="24"/>
              </w:rPr>
            </w:pPr>
            <w:r>
              <w:rPr>
                <w:rFonts w:hint="eastAsia"/>
                <w:color w:val="auto"/>
                <w:sz w:val="24"/>
              </w:rPr>
              <w:t>③预测点的等效声级贡献值</w:t>
            </w:r>
          </w:p>
          <w:p w14:paraId="62160E5F">
            <w:pPr>
              <w:spacing w:line="360" w:lineRule="auto"/>
              <w:ind w:firstLine="480" w:firstLineChars="200"/>
              <w:rPr>
                <w:color w:val="auto"/>
                <w:sz w:val="24"/>
              </w:rPr>
            </w:pPr>
            <w:r>
              <w:rPr>
                <w:color w:val="auto"/>
                <w:sz w:val="24"/>
              </w:rPr>
              <w:t>设第i个室外声源在预测点产生的A声级为L</w:t>
            </w:r>
            <w:r>
              <w:rPr>
                <w:rFonts w:hint="eastAsia"/>
                <w:color w:val="auto"/>
                <w:sz w:val="24"/>
                <w:vertAlign w:val="subscript"/>
              </w:rPr>
              <w:t>A</w:t>
            </w:r>
            <w:r>
              <w:rPr>
                <w:color w:val="auto"/>
                <w:sz w:val="24"/>
                <w:vertAlign w:val="subscript"/>
              </w:rPr>
              <w:t>i</w:t>
            </w:r>
            <w:r>
              <w:rPr>
                <w:color w:val="auto"/>
                <w:sz w:val="24"/>
              </w:rPr>
              <w:t>，在T时间内该声源工作时间为t</w:t>
            </w:r>
            <w:r>
              <w:rPr>
                <w:color w:val="auto"/>
                <w:sz w:val="24"/>
                <w:vertAlign w:val="subscript"/>
              </w:rPr>
              <w:t>i</w:t>
            </w:r>
            <w:r>
              <w:rPr>
                <w:color w:val="auto"/>
                <w:sz w:val="24"/>
              </w:rPr>
              <w:t>；第j个等效室外声源在预测点产生的A声级为L</w:t>
            </w:r>
            <w:r>
              <w:rPr>
                <w:color w:val="auto"/>
                <w:sz w:val="24"/>
                <w:vertAlign w:val="subscript"/>
              </w:rPr>
              <w:t>Aj</w:t>
            </w:r>
            <w:r>
              <w:rPr>
                <w:color w:val="auto"/>
                <w:sz w:val="24"/>
              </w:rPr>
              <w:t>，在T时间内该声源工作时间为t</w:t>
            </w:r>
            <w:r>
              <w:rPr>
                <w:color w:val="auto"/>
                <w:sz w:val="24"/>
                <w:vertAlign w:val="subscript"/>
              </w:rPr>
              <w:t>j</w:t>
            </w:r>
            <w:r>
              <w:rPr>
                <w:color w:val="auto"/>
                <w:sz w:val="24"/>
              </w:rPr>
              <w:t>，则拟建工程声源对预测点产生的贡献值（L</w:t>
            </w:r>
            <w:r>
              <w:rPr>
                <w:color w:val="auto"/>
                <w:sz w:val="24"/>
                <w:vertAlign w:val="subscript"/>
              </w:rPr>
              <w:t>eqg</w:t>
            </w:r>
            <w:r>
              <w:rPr>
                <w:color w:val="auto"/>
                <w:sz w:val="24"/>
              </w:rPr>
              <w:t>）为：</w:t>
            </w:r>
          </w:p>
          <w:p w14:paraId="22CF474B">
            <w:pPr>
              <w:spacing w:line="360" w:lineRule="auto"/>
              <w:ind w:firstLine="480" w:firstLineChars="200"/>
              <w:jc w:val="center"/>
              <w:rPr>
                <w:color w:val="auto"/>
                <w:sz w:val="24"/>
              </w:rPr>
            </w:pPr>
            <m:oMathPara>
              <m:oMath>
                <m:sSub>
                  <m:sSubPr>
                    <m:ctrlPr>
                      <w:rPr>
                        <w:rFonts w:ascii="Cambria Math" w:hAnsi="Cambria Math"/>
                        <w:color w:val="auto"/>
                        <w:sz w:val="24"/>
                      </w:rPr>
                    </m:ctrlPr>
                  </m:sSubPr>
                  <m:e>
                    <m:r>
                      <m:rPr>
                        <m:nor/>
                        <m:sty m:val="p"/>
                      </m:rPr>
                      <w:rPr>
                        <w:b w:val="0"/>
                        <w:i w:val="0"/>
                        <w:color w:val="auto"/>
                        <w:sz w:val="24"/>
                      </w:rPr>
                      <m:t>L</m:t>
                    </m:r>
                    <m:ctrlPr>
                      <w:rPr>
                        <w:rFonts w:ascii="Cambria Math" w:hAnsi="Cambria Math"/>
                        <w:color w:val="auto"/>
                        <w:sz w:val="24"/>
                      </w:rPr>
                    </m:ctrlPr>
                  </m:e>
                  <m:sub>
                    <m:r>
                      <m:rPr>
                        <m:nor/>
                        <m:sty m:val="p"/>
                      </m:rPr>
                      <w:rPr>
                        <w:b w:val="0"/>
                        <w:i w:val="0"/>
                        <w:color w:val="auto"/>
                        <w:sz w:val="24"/>
                      </w:rPr>
                      <m:t>eqg</m:t>
                    </m:r>
                    <m:ctrlPr>
                      <w:rPr>
                        <w:rFonts w:ascii="Cambria Math" w:hAnsi="Cambria Math"/>
                        <w:color w:val="auto"/>
                        <w:sz w:val="24"/>
                      </w:rPr>
                    </m:ctrlPr>
                  </m:sub>
                </m:sSub>
                <m:r>
                  <m:rPr>
                    <m:nor/>
                    <m:sty m:val="p"/>
                  </m:rPr>
                  <w:rPr>
                    <w:b w:val="0"/>
                    <w:i w:val="0"/>
                    <w:color w:val="auto"/>
                    <w:sz w:val="24"/>
                  </w:rPr>
                  <m:t>=10lg</m:t>
                </m:r>
                <m:d>
                  <m:dPr>
                    <m:begChr m:val="["/>
                    <m:endChr m:val="]"/>
                    <m:ctrlPr>
                      <w:rPr>
                        <w:rFonts w:ascii="Cambria Math" w:hAnsi="Cambria Math"/>
                        <w:color w:val="auto"/>
                        <w:sz w:val="24"/>
                      </w:rPr>
                    </m:ctrlPr>
                  </m:dPr>
                  <m:e>
                    <m:f>
                      <m:fPr>
                        <m:ctrlPr>
                          <w:rPr>
                            <w:rFonts w:ascii="Cambria Math" w:hAnsi="Cambria Math"/>
                            <w:color w:val="auto"/>
                            <w:sz w:val="24"/>
                          </w:rPr>
                        </m:ctrlPr>
                      </m:fPr>
                      <m:num>
                        <m:r>
                          <m:rPr>
                            <m:nor/>
                            <m:sty m:val="p"/>
                          </m:rPr>
                          <w:rPr>
                            <w:b w:val="0"/>
                            <w:i w:val="0"/>
                            <w:color w:val="auto"/>
                            <w:sz w:val="24"/>
                          </w:rPr>
                          <m:t>1</m:t>
                        </m:r>
                        <m:ctrlPr>
                          <w:rPr>
                            <w:rFonts w:ascii="Cambria Math" w:hAnsi="Cambria Math"/>
                            <w:color w:val="auto"/>
                            <w:sz w:val="24"/>
                          </w:rPr>
                        </m:ctrlPr>
                      </m:num>
                      <m:den>
                        <m:r>
                          <m:rPr>
                            <m:nor/>
                            <m:sty m:val="p"/>
                          </m:rPr>
                          <w:rPr>
                            <w:b w:val="0"/>
                            <w:i w:val="0"/>
                            <w:color w:val="auto"/>
                            <w:sz w:val="24"/>
                          </w:rPr>
                          <m:t>T</m:t>
                        </m:r>
                        <m:ctrlPr>
                          <w:rPr>
                            <w:rFonts w:ascii="Cambria Math" w:hAnsi="Cambria Math"/>
                            <w:color w:val="auto"/>
                            <w:sz w:val="24"/>
                          </w:rPr>
                        </m:ctrlPr>
                      </m:den>
                    </m:f>
                    <m:d>
                      <m:dPr>
                        <m:ctrlPr>
                          <w:rPr>
                            <w:rFonts w:ascii="Cambria Math" w:hAnsi="Cambria Math"/>
                            <w:color w:val="auto"/>
                            <w:sz w:val="24"/>
                          </w:rPr>
                        </m:ctrlPr>
                      </m:dPr>
                      <m:e>
                        <m:nary>
                          <m:naryPr>
                            <m:chr m:val="∑"/>
                            <m:limLoc m:val="undOvr"/>
                            <m:ctrlPr>
                              <w:rPr>
                                <w:rFonts w:ascii="Cambria Math" w:hAnsi="Cambria Math"/>
                                <w:color w:val="auto"/>
                                <w:sz w:val="24"/>
                              </w:rPr>
                            </m:ctrlPr>
                          </m:naryPr>
                          <m:sub>
                            <m:r>
                              <m:rPr>
                                <m:nor/>
                                <m:sty m:val="p"/>
                              </m:rPr>
                              <w:rPr>
                                <w:b w:val="0"/>
                                <w:i w:val="0"/>
                                <w:color w:val="auto"/>
                                <w:sz w:val="24"/>
                              </w:rPr>
                              <m:t>i=1</m:t>
                            </m:r>
                            <m:ctrlPr>
                              <w:rPr>
                                <w:rFonts w:ascii="Cambria Math" w:hAnsi="Cambria Math"/>
                                <w:color w:val="auto"/>
                                <w:sz w:val="24"/>
                              </w:rPr>
                            </m:ctrlPr>
                          </m:sub>
                          <m:sup>
                            <m:r>
                              <m:rPr>
                                <m:nor/>
                                <m:sty m:val="p"/>
                              </m:rPr>
                              <w:rPr>
                                <w:b w:val="0"/>
                                <w:i w:val="0"/>
                                <w:color w:val="auto"/>
                                <w:sz w:val="24"/>
                              </w:rPr>
                              <m:t>N</m:t>
                            </m:r>
                            <m:ctrlPr>
                              <w:rPr>
                                <w:rFonts w:ascii="Cambria Math" w:hAnsi="Cambria Math"/>
                                <w:color w:val="auto"/>
                                <w:sz w:val="24"/>
                              </w:rPr>
                            </m:ctrlPr>
                          </m:sup>
                          <m:e>
                            <m:sSub>
                              <m:sSubPr>
                                <m:ctrlPr>
                                  <w:rPr>
                                    <w:rFonts w:ascii="Cambria Math" w:hAnsi="Cambria Math"/>
                                    <w:color w:val="auto"/>
                                    <w:sz w:val="24"/>
                                  </w:rPr>
                                </m:ctrlPr>
                              </m:sSubPr>
                              <m:e>
                                <m:r>
                                  <m:rPr>
                                    <m:nor/>
                                    <m:sty m:val="p"/>
                                  </m:rPr>
                                  <w:rPr>
                                    <w:b w:val="0"/>
                                    <w:i w:val="0"/>
                                    <w:color w:val="auto"/>
                                    <w:sz w:val="24"/>
                                  </w:rPr>
                                  <m:t>t</m:t>
                                </m:r>
                                <m:ctrlPr>
                                  <w:rPr>
                                    <w:rFonts w:ascii="Cambria Math" w:hAnsi="Cambria Math"/>
                                    <w:color w:val="auto"/>
                                    <w:sz w:val="24"/>
                                  </w:rPr>
                                </m:ctrlPr>
                              </m:e>
                              <m:sub>
                                <m:r>
                                  <m:rPr>
                                    <m:nor/>
                                    <m:sty m:val="p"/>
                                  </m:rPr>
                                  <w:rPr>
                                    <w:b w:val="0"/>
                                    <w:i w:val="0"/>
                                    <w:color w:val="auto"/>
                                    <w:sz w:val="24"/>
                                  </w:rPr>
                                  <m:t>i</m:t>
                                </m:r>
                                <m:ctrlPr>
                                  <w:rPr>
                                    <w:rFonts w:ascii="Cambria Math" w:hAnsi="Cambria Math"/>
                                    <w:color w:val="auto"/>
                                    <w:sz w:val="24"/>
                                  </w:rPr>
                                </m:ctrlPr>
                              </m:sub>
                            </m:sSub>
                            <m:sSup>
                              <m:sSupPr>
                                <m:ctrlPr>
                                  <w:rPr>
                                    <w:rFonts w:ascii="Cambria Math" w:hAnsi="Cambria Math"/>
                                    <w:color w:val="auto"/>
                                    <w:sz w:val="24"/>
                                  </w:rPr>
                                </m:ctrlPr>
                              </m:sSupPr>
                              <m:e>
                                <m:r>
                                  <m:rPr>
                                    <m:nor/>
                                    <m:sty m:val="p"/>
                                  </m:rPr>
                                  <w:rPr>
                                    <w:b w:val="0"/>
                                    <w:i w:val="0"/>
                                    <w:color w:val="auto"/>
                                    <w:sz w:val="24"/>
                                  </w:rPr>
                                  <m:t>10</m:t>
                                </m:r>
                                <m:ctrlPr>
                                  <w:rPr>
                                    <w:rFonts w:ascii="Cambria Math" w:hAnsi="Cambria Math"/>
                                    <w:color w:val="auto"/>
                                    <w:sz w:val="24"/>
                                  </w:rPr>
                                </m:ctrlPr>
                              </m:e>
                              <m:sup>
                                <m:r>
                                  <m:rPr>
                                    <m:nor/>
                                    <m:sty m:val="p"/>
                                  </m:rPr>
                                  <w:rPr>
                                    <w:b w:val="0"/>
                                    <w:i w:val="0"/>
                                    <w:color w:val="auto"/>
                                    <w:sz w:val="24"/>
                                  </w:rPr>
                                  <m:t>0.1</m:t>
                                </m:r>
                                <m:sSub>
                                  <m:sSubPr>
                                    <m:ctrlPr>
                                      <w:rPr>
                                        <w:rFonts w:ascii="Cambria Math" w:hAnsi="Cambria Math"/>
                                        <w:color w:val="auto"/>
                                        <w:sz w:val="24"/>
                                      </w:rPr>
                                    </m:ctrlPr>
                                  </m:sSubPr>
                                  <m:e>
                                    <m:r>
                                      <m:rPr>
                                        <m:nor/>
                                        <m:sty m:val="p"/>
                                      </m:rPr>
                                      <w:rPr>
                                        <w:b w:val="0"/>
                                        <w:i w:val="0"/>
                                        <w:color w:val="auto"/>
                                        <w:sz w:val="24"/>
                                      </w:rPr>
                                      <m:t>L</m:t>
                                    </m:r>
                                    <m:ctrlPr>
                                      <w:rPr>
                                        <w:rFonts w:ascii="Cambria Math" w:hAnsi="Cambria Math"/>
                                        <w:color w:val="auto"/>
                                        <w:sz w:val="24"/>
                                      </w:rPr>
                                    </m:ctrlPr>
                                  </m:e>
                                  <m:sub>
                                    <m:r>
                                      <m:rPr>
                                        <m:nor/>
                                        <m:sty m:val="p"/>
                                      </m:rPr>
                                      <w:rPr>
                                        <w:b w:val="0"/>
                                        <w:i w:val="0"/>
                                        <w:color w:val="auto"/>
                                        <w:sz w:val="24"/>
                                      </w:rPr>
                                      <m:t>Ai</m:t>
                                    </m:r>
                                    <m:ctrlPr>
                                      <w:rPr>
                                        <w:rFonts w:ascii="Cambria Math" w:hAnsi="Cambria Math"/>
                                        <w:color w:val="auto"/>
                                        <w:sz w:val="24"/>
                                      </w:rPr>
                                    </m:ctrlPr>
                                  </m:sub>
                                </m:sSub>
                                <m:ctrlPr>
                                  <w:rPr>
                                    <w:rFonts w:ascii="Cambria Math" w:hAnsi="Cambria Math"/>
                                    <w:color w:val="auto"/>
                                    <w:sz w:val="24"/>
                                  </w:rPr>
                                </m:ctrlPr>
                              </m:sup>
                            </m:sSup>
                            <m:r>
                              <m:rPr>
                                <m:nor/>
                                <m:sty m:val="p"/>
                              </m:rPr>
                              <w:rPr>
                                <w:b w:val="0"/>
                                <w:i w:val="0"/>
                                <w:color w:val="auto"/>
                                <w:sz w:val="24"/>
                              </w:rPr>
                              <m:t>+</m:t>
                            </m:r>
                            <m:nary>
                              <m:naryPr>
                                <m:chr m:val="∑"/>
                                <m:limLoc m:val="undOvr"/>
                                <m:ctrlPr>
                                  <w:rPr>
                                    <w:rFonts w:ascii="Cambria Math" w:hAnsi="Cambria Math"/>
                                    <w:color w:val="auto"/>
                                    <w:sz w:val="24"/>
                                  </w:rPr>
                                </m:ctrlPr>
                              </m:naryPr>
                              <m:sub>
                                <m:r>
                                  <m:rPr>
                                    <m:nor/>
                                    <m:sty m:val="p"/>
                                  </m:rPr>
                                  <w:rPr>
                                    <w:b w:val="0"/>
                                    <w:i w:val="0"/>
                                    <w:color w:val="auto"/>
                                    <w:sz w:val="24"/>
                                  </w:rPr>
                                  <m:t>j=1</m:t>
                                </m:r>
                                <m:ctrlPr>
                                  <w:rPr>
                                    <w:rFonts w:ascii="Cambria Math" w:hAnsi="Cambria Math"/>
                                    <w:color w:val="auto"/>
                                    <w:sz w:val="24"/>
                                  </w:rPr>
                                </m:ctrlPr>
                              </m:sub>
                              <m:sup>
                                <m:r>
                                  <m:rPr>
                                    <m:nor/>
                                    <m:sty m:val="p"/>
                                  </m:rPr>
                                  <w:rPr>
                                    <w:b w:val="0"/>
                                    <w:i w:val="0"/>
                                    <w:color w:val="auto"/>
                                    <w:sz w:val="24"/>
                                  </w:rPr>
                                  <m:t>M</m:t>
                                </m:r>
                                <m:ctrlPr>
                                  <w:rPr>
                                    <w:rFonts w:ascii="Cambria Math" w:hAnsi="Cambria Math"/>
                                    <w:color w:val="auto"/>
                                    <w:sz w:val="24"/>
                                  </w:rPr>
                                </m:ctrlPr>
                              </m:sup>
                              <m:e>
                                <m:sSub>
                                  <m:sSubPr>
                                    <m:ctrlPr>
                                      <w:rPr>
                                        <w:rFonts w:ascii="Cambria Math" w:hAnsi="Cambria Math"/>
                                        <w:color w:val="auto"/>
                                        <w:sz w:val="24"/>
                                      </w:rPr>
                                    </m:ctrlPr>
                                  </m:sSubPr>
                                  <m:e>
                                    <m:r>
                                      <m:rPr>
                                        <m:nor/>
                                        <m:sty m:val="p"/>
                                      </m:rPr>
                                      <w:rPr>
                                        <w:b w:val="0"/>
                                        <w:i w:val="0"/>
                                        <w:color w:val="auto"/>
                                        <w:sz w:val="24"/>
                                      </w:rPr>
                                      <m:t>t</m:t>
                                    </m:r>
                                    <m:ctrlPr>
                                      <w:rPr>
                                        <w:rFonts w:ascii="Cambria Math" w:hAnsi="Cambria Math"/>
                                        <w:color w:val="auto"/>
                                        <w:sz w:val="24"/>
                                      </w:rPr>
                                    </m:ctrlPr>
                                  </m:e>
                                  <m:sub>
                                    <m:r>
                                      <m:rPr>
                                        <m:nor/>
                                        <m:sty m:val="p"/>
                                      </m:rPr>
                                      <w:rPr>
                                        <w:b w:val="0"/>
                                        <w:i w:val="0"/>
                                        <w:color w:val="auto"/>
                                        <w:sz w:val="24"/>
                                      </w:rPr>
                                      <m:t>j</m:t>
                                    </m:r>
                                    <m:ctrlPr>
                                      <w:rPr>
                                        <w:rFonts w:ascii="Cambria Math" w:hAnsi="Cambria Math"/>
                                        <w:color w:val="auto"/>
                                        <w:sz w:val="24"/>
                                      </w:rPr>
                                    </m:ctrlPr>
                                  </m:sub>
                                </m:sSub>
                                <m:sSup>
                                  <m:sSupPr>
                                    <m:ctrlPr>
                                      <w:rPr>
                                        <w:rFonts w:ascii="Cambria Math" w:hAnsi="Cambria Math"/>
                                        <w:color w:val="auto"/>
                                        <w:sz w:val="24"/>
                                      </w:rPr>
                                    </m:ctrlPr>
                                  </m:sSupPr>
                                  <m:e>
                                    <m:r>
                                      <m:rPr>
                                        <m:nor/>
                                        <m:sty m:val="p"/>
                                      </m:rPr>
                                      <w:rPr>
                                        <w:b w:val="0"/>
                                        <w:i w:val="0"/>
                                        <w:color w:val="auto"/>
                                        <w:sz w:val="24"/>
                                      </w:rPr>
                                      <m:t>10</m:t>
                                    </m:r>
                                    <m:ctrlPr>
                                      <w:rPr>
                                        <w:rFonts w:ascii="Cambria Math" w:hAnsi="Cambria Math"/>
                                        <w:color w:val="auto"/>
                                        <w:sz w:val="24"/>
                                      </w:rPr>
                                    </m:ctrlPr>
                                  </m:e>
                                  <m:sup>
                                    <m:r>
                                      <m:rPr>
                                        <m:nor/>
                                        <m:sty m:val="p"/>
                                      </m:rPr>
                                      <w:rPr>
                                        <w:b w:val="0"/>
                                        <w:i w:val="0"/>
                                        <w:color w:val="auto"/>
                                        <w:sz w:val="24"/>
                                      </w:rPr>
                                      <m:t>0.1</m:t>
                                    </m:r>
                                    <m:sSub>
                                      <m:sSubPr>
                                        <m:ctrlPr>
                                          <w:rPr>
                                            <w:rFonts w:ascii="Cambria Math" w:hAnsi="Cambria Math"/>
                                            <w:color w:val="auto"/>
                                            <w:sz w:val="24"/>
                                          </w:rPr>
                                        </m:ctrlPr>
                                      </m:sSubPr>
                                      <m:e>
                                        <m:r>
                                          <m:rPr>
                                            <m:nor/>
                                            <m:sty m:val="p"/>
                                          </m:rPr>
                                          <w:rPr>
                                            <w:b w:val="0"/>
                                            <w:i w:val="0"/>
                                            <w:color w:val="auto"/>
                                            <w:sz w:val="24"/>
                                          </w:rPr>
                                          <m:t>L</m:t>
                                        </m:r>
                                        <m:ctrlPr>
                                          <w:rPr>
                                            <w:rFonts w:ascii="Cambria Math" w:hAnsi="Cambria Math"/>
                                            <w:color w:val="auto"/>
                                            <w:sz w:val="24"/>
                                          </w:rPr>
                                        </m:ctrlPr>
                                      </m:e>
                                      <m:sub>
                                        <m:r>
                                          <m:rPr>
                                            <m:nor/>
                                            <m:sty m:val="p"/>
                                          </m:rPr>
                                          <w:rPr>
                                            <w:b w:val="0"/>
                                            <w:i w:val="0"/>
                                            <w:color w:val="auto"/>
                                            <w:sz w:val="24"/>
                                          </w:rPr>
                                          <m:t>Aj</m:t>
                                        </m:r>
                                        <m:ctrlPr>
                                          <w:rPr>
                                            <w:rFonts w:ascii="Cambria Math" w:hAnsi="Cambria Math"/>
                                            <w:color w:val="auto"/>
                                            <w:sz w:val="24"/>
                                          </w:rPr>
                                        </m:ctrlPr>
                                      </m:sub>
                                    </m:sSub>
                                    <m:ctrlPr>
                                      <w:rPr>
                                        <w:rFonts w:ascii="Cambria Math" w:hAnsi="Cambria Math"/>
                                        <w:color w:val="auto"/>
                                        <w:sz w:val="24"/>
                                      </w:rPr>
                                    </m:ctrlPr>
                                  </m:sup>
                                </m:sSup>
                                <m:ctrlPr>
                                  <w:rPr>
                                    <w:rFonts w:ascii="Cambria Math" w:hAnsi="Cambria Math"/>
                                    <w:color w:val="auto"/>
                                    <w:sz w:val="24"/>
                                  </w:rPr>
                                </m:ctrlPr>
                              </m:e>
                            </m:nary>
                            <m:ctrlPr>
                              <w:rPr>
                                <w:rFonts w:ascii="Cambria Math" w:hAnsi="Cambria Math"/>
                                <w:color w:val="auto"/>
                                <w:sz w:val="24"/>
                              </w:rPr>
                            </m:ctrlPr>
                          </m:e>
                        </m:nary>
                        <m:ctrlPr>
                          <w:rPr>
                            <w:rFonts w:ascii="Cambria Math" w:hAnsi="Cambria Math"/>
                            <w:color w:val="auto"/>
                            <w:sz w:val="24"/>
                          </w:rPr>
                        </m:ctrlPr>
                      </m:e>
                    </m:d>
                    <m:ctrlPr>
                      <w:rPr>
                        <w:rFonts w:ascii="Cambria Math" w:hAnsi="Cambria Math"/>
                        <w:color w:val="auto"/>
                        <w:sz w:val="24"/>
                      </w:rPr>
                    </m:ctrlPr>
                  </m:e>
                </m:d>
              </m:oMath>
            </m:oMathPara>
          </w:p>
          <w:p w14:paraId="02FB7EA6">
            <w:pPr>
              <w:spacing w:line="360" w:lineRule="auto"/>
              <w:ind w:firstLine="480" w:firstLineChars="200"/>
              <w:rPr>
                <w:color w:val="auto"/>
                <w:sz w:val="24"/>
              </w:rPr>
            </w:pPr>
            <w:r>
              <w:rPr>
                <w:rFonts w:hAnsi="宋体"/>
                <w:color w:val="auto"/>
                <w:sz w:val="24"/>
              </w:rPr>
              <w:t>式中：</w:t>
            </w:r>
            <w:r>
              <w:rPr>
                <w:color w:val="auto"/>
                <w:sz w:val="24"/>
              </w:rPr>
              <w:t>tj—</w:t>
            </w:r>
            <w:r>
              <w:rPr>
                <w:rFonts w:hAnsi="宋体"/>
                <w:color w:val="auto"/>
                <w:sz w:val="24"/>
              </w:rPr>
              <w:t>在</w:t>
            </w:r>
            <w:r>
              <w:rPr>
                <w:color w:val="auto"/>
                <w:sz w:val="24"/>
              </w:rPr>
              <w:t>T</w:t>
            </w:r>
            <w:r>
              <w:rPr>
                <w:rFonts w:hAnsi="宋体"/>
                <w:color w:val="auto"/>
                <w:sz w:val="24"/>
              </w:rPr>
              <w:t>时间内</w:t>
            </w:r>
            <w:r>
              <w:rPr>
                <w:color w:val="auto"/>
                <w:sz w:val="24"/>
              </w:rPr>
              <w:t>j</w:t>
            </w:r>
            <w:r>
              <w:rPr>
                <w:rFonts w:hAnsi="宋体"/>
                <w:color w:val="auto"/>
                <w:sz w:val="24"/>
              </w:rPr>
              <w:t>声源工作时间，</w:t>
            </w:r>
            <w:r>
              <w:rPr>
                <w:color w:val="auto"/>
                <w:sz w:val="24"/>
              </w:rPr>
              <w:t>s</w:t>
            </w:r>
            <w:r>
              <w:rPr>
                <w:rFonts w:hAnsi="宋体"/>
                <w:color w:val="auto"/>
                <w:sz w:val="24"/>
              </w:rPr>
              <w:t>；</w:t>
            </w:r>
          </w:p>
          <w:p w14:paraId="16DCDCF1">
            <w:pPr>
              <w:spacing w:line="360" w:lineRule="auto"/>
              <w:ind w:firstLine="480" w:firstLineChars="200"/>
              <w:rPr>
                <w:color w:val="auto"/>
                <w:sz w:val="24"/>
              </w:rPr>
            </w:pPr>
            <w:r>
              <w:rPr>
                <w:color w:val="auto"/>
                <w:sz w:val="24"/>
              </w:rPr>
              <w:t>Ti—</w:t>
            </w:r>
            <w:r>
              <w:rPr>
                <w:rFonts w:hAnsi="宋体"/>
                <w:color w:val="auto"/>
                <w:sz w:val="24"/>
              </w:rPr>
              <w:t>在</w:t>
            </w:r>
            <w:r>
              <w:rPr>
                <w:color w:val="auto"/>
                <w:sz w:val="24"/>
              </w:rPr>
              <w:t>T</w:t>
            </w:r>
            <w:r>
              <w:rPr>
                <w:rFonts w:hAnsi="宋体"/>
                <w:color w:val="auto"/>
                <w:sz w:val="24"/>
              </w:rPr>
              <w:t>时间内</w:t>
            </w:r>
            <w:r>
              <w:rPr>
                <w:color w:val="auto"/>
                <w:sz w:val="24"/>
              </w:rPr>
              <w:t>i</w:t>
            </w:r>
            <w:r>
              <w:rPr>
                <w:rFonts w:hAnsi="宋体"/>
                <w:color w:val="auto"/>
                <w:sz w:val="24"/>
              </w:rPr>
              <w:t>声源工作时间，</w:t>
            </w:r>
            <w:r>
              <w:rPr>
                <w:color w:val="auto"/>
                <w:sz w:val="24"/>
              </w:rPr>
              <w:t>s</w:t>
            </w:r>
            <w:r>
              <w:rPr>
                <w:rFonts w:hAnsi="宋体"/>
                <w:color w:val="auto"/>
                <w:sz w:val="24"/>
              </w:rPr>
              <w:t>；</w:t>
            </w:r>
          </w:p>
          <w:p w14:paraId="05F12063">
            <w:pPr>
              <w:spacing w:line="360" w:lineRule="auto"/>
              <w:ind w:firstLine="480" w:firstLineChars="200"/>
              <w:rPr>
                <w:color w:val="auto"/>
                <w:sz w:val="24"/>
              </w:rPr>
            </w:pPr>
            <w:r>
              <w:rPr>
                <w:color w:val="auto"/>
                <w:sz w:val="24"/>
              </w:rPr>
              <w:t>T—</w:t>
            </w:r>
            <w:r>
              <w:rPr>
                <w:rFonts w:hAnsi="宋体"/>
                <w:color w:val="auto"/>
                <w:sz w:val="24"/>
              </w:rPr>
              <w:t>用于计算等效声级的时间，</w:t>
            </w:r>
            <w:r>
              <w:rPr>
                <w:color w:val="auto"/>
                <w:sz w:val="24"/>
              </w:rPr>
              <w:t>s</w:t>
            </w:r>
            <w:r>
              <w:rPr>
                <w:rFonts w:hAnsi="宋体"/>
                <w:color w:val="auto"/>
                <w:sz w:val="24"/>
              </w:rPr>
              <w:t>；</w:t>
            </w:r>
          </w:p>
          <w:p w14:paraId="1CE89E9A">
            <w:pPr>
              <w:spacing w:line="360" w:lineRule="auto"/>
              <w:ind w:firstLine="480" w:firstLineChars="200"/>
              <w:rPr>
                <w:color w:val="auto"/>
                <w:sz w:val="24"/>
              </w:rPr>
            </w:pPr>
            <w:r>
              <w:rPr>
                <w:color w:val="auto"/>
                <w:sz w:val="24"/>
              </w:rPr>
              <w:t>N—</w:t>
            </w:r>
            <w:r>
              <w:rPr>
                <w:rFonts w:hAnsi="宋体"/>
                <w:color w:val="auto"/>
                <w:sz w:val="24"/>
              </w:rPr>
              <w:t>室外声源个数；</w:t>
            </w:r>
          </w:p>
          <w:p w14:paraId="48927C49">
            <w:pPr>
              <w:spacing w:line="360" w:lineRule="auto"/>
              <w:ind w:firstLine="480" w:firstLineChars="200"/>
              <w:rPr>
                <w:rFonts w:hAnsi="宋体"/>
                <w:color w:val="auto"/>
                <w:sz w:val="24"/>
              </w:rPr>
            </w:pPr>
            <w:r>
              <w:rPr>
                <w:color w:val="auto"/>
                <w:sz w:val="24"/>
              </w:rPr>
              <w:t>M—</w:t>
            </w:r>
            <w:r>
              <w:rPr>
                <w:rFonts w:hAnsi="宋体"/>
                <w:color w:val="auto"/>
                <w:sz w:val="24"/>
              </w:rPr>
              <w:t>等效室外声源个数。</w:t>
            </w:r>
          </w:p>
          <w:p w14:paraId="68D375DF">
            <w:pPr>
              <w:spacing w:line="360" w:lineRule="auto"/>
              <w:ind w:firstLine="480" w:firstLineChars="200"/>
              <w:rPr>
                <w:rFonts w:hAnsi="宋体"/>
                <w:color w:val="auto"/>
                <w:sz w:val="24"/>
              </w:rPr>
            </w:pPr>
            <w:r>
              <w:rPr>
                <w:rFonts w:hint="eastAsia" w:hAnsi="宋体"/>
                <w:color w:val="auto"/>
                <w:sz w:val="24"/>
              </w:rPr>
              <w:t>④预测结果及评价</w:t>
            </w:r>
          </w:p>
          <w:p w14:paraId="0A5B92FA">
            <w:pPr>
              <w:spacing w:line="360" w:lineRule="auto"/>
              <w:ind w:firstLine="480" w:firstLineChars="200"/>
              <w:rPr>
                <w:color w:val="auto"/>
                <w:spacing w:val="-4"/>
                <w:sz w:val="24"/>
                <w:szCs w:val="24"/>
              </w:rPr>
            </w:pPr>
            <w:r>
              <w:rPr>
                <w:rFonts w:hint="eastAsia" w:hAnsi="宋体"/>
                <w:color w:val="auto"/>
                <w:sz w:val="24"/>
              </w:rPr>
              <w:t>根据项目设备噪声源强分布，利用上述的噪声预测模式，预测本工程的主要设备噪声源在采取相应的降噪措施后对厂界环境噪声的贡献值，得出预测结果见下表。</w:t>
            </w:r>
          </w:p>
          <w:p w14:paraId="5158CB06">
            <w:pPr>
              <w:spacing w:line="360" w:lineRule="auto"/>
              <w:ind w:firstLine="464" w:firstLineChars="200"/>
              <w:rPr>
                <w:color w:val="auto"/>
                <w:spacing w:val="-4"/>
                <w:sz w:val="24"/>
                <w:szCs w:val="24"/>
              </w:rPr>
            </w:pPr>
            <w:r>
              <w:rPr>
                <w:rFonts w:hint="eastAsia"/>
                <w:color w:val="auto"/>
                <w:spacing w:val="-4"/>
                <w:sz w:val="24"/>
                <w:szCs w:val="24"/>
              </w:rPr>
              <w:t>根据预测模式计算出噪声源传播至各厂界</w:t>
            </w:r>
            <w:r>
              <w:rPr>
                <w:color w:val="auto"/>
                <w:spacing w:val="-4"/>
                <w:sz w:val="24"/>
                <w:szCs w:val="24"/>
              </w:rPr>
              <w:t>1m</w:t>
            </w:r>
            <w:r>
              <w:rPr>
                <w:rFonts w:hint="eastAsia"/>
                <w:color w:val="auto"/>
                <w:spacing w:val="-4"/>
                <w:sz w:val="24"/>
                <w:szCs w:val="24"/>
              </w:rPr>
              <w:t>处及敏感点处噪声值，结果见下表：</w:t>
            </w:r>
          </w:p>
          <w:p w14:paraId="59C1AE25">
            <w:pPr>
              <w:spacing w:line="360" w:lineRule="auto"/>
              <w:jc w:val="center"/>
              <w:rPr>
                <w:rFonts w:hAnsi="黑体" w:eastAsia="黑体"/>
                <w:color w:val="auto"/>
                <w:sz w:val="24"/>
                <w:szCs w:val="24"/>
              </w:rPr>
            </w:pPr>
          </w:p>
          <w:p w14:paraId="7CAD91EA">
            <w:pPr>
              <w:spacing w:line="360" w:lineRule="auto"/>
              <w:jc w:val="center"/>
              <w:rPr>
                <w:rFonts w:hAnsi="黑体" w:eastAsia="黑体"/>
                <w:color w:val="auto"/>
                <w:sz w:val="24"/>
                <w:szCs w:val="24"/>
              </w:rPr>
            </w:pPr>
          </w:p>
          <w:p w14:paraId="5A24EC30">
            <w:pPr>
              <w:spacing w:line="360" w:lineRule="auto"/>
              <w:jc w:val="center"/>
              <w:rPr>
                <w:rFonts w:hAnsi="黑体" w:eastAsia="黑体"/>
                <w:color w:val="auto"/>
                <w:sz w:val="24"/>
                <w:szCs w:val="24"/>
              </w:rPr>
            </w:pPr>
          </w:p>
          <w:p w14:paraId="5DDB42DD">
            <w:pPr>
              <w:spacing w:line="360" w:lineRule="auto"/>
              <w:jc w:val="center"/>
              <w:rPr>
                <w:rFonts w:eastAsia="黑体"/>
                <w:color w:val="auto"/>
                <w:szCs w:val="21"/>
              </w:rPr>
            </w:pPr>
            <w:r>
              <w:rPr>
                <w:rFonts w:hint="eastAsia" w:hAnsi="黑体" w:eastAsia="黑体"/>
                <w:color w:val="auto"/>
                <w:sz w:val="24"/>
                <w:szCs w:val="24"/>
              </w:rPr>
              <w:t>表47</w:t>
            </w:r>
            <w:r>
              <w:rPr>
                <w:rFonts w:hAnsi="黑体" w:eastAsia="黑体"/>
                <w:color w:val="auto"/>
                <w:sz w:val="24"/>
                <w:szCs w:val="24"/>
              </w:rPr>
              <w:t xml:space="preserve">  </w:t>
            </w:r>
            <w:r>
              <w:rPr>
                <w:rFonts w:hint="eastAsia" w:hAnsi="黑体" w:eastAsia="黑体"/>
                <w:color w:val="auto"/>
                <w:sz w:val="24"/>
                <w:szCs w:val="24"/>
              </w:rPr>
              <w:t>项目噪声预测结果单位</w:t>
            </w:r>
            <w:r>
              <w:rPr>
                <w:rFonts w:hAnsi="黑体" w:eastAsia="黑体"/>
                <w:color w:val="auto"/>
                <w:sz w:val="24"/>
                <w:szCs w:val="24"/>
              </w:rPr>
              <w:t>dB</w:t>
            </w:r>
            <w:r>
              <w:rPr>
                <w:rFonts w:hint="eastAsia" w:hAnsi="黑体" w:eastAsia="黑体"/>
                <w:color w:val="auto"/>
                <w:sz w:val="24"/>
                <w:szCs w:val="24"/>
              </w:rPr>
              <w:t>（</w:t>
            </w:r>
            <w:r>
              <w:rPr>
                <w:rFonts w:hAnsi="黑体" w:eastAsia="黑体"/>
                <w:color w:val="auto"/>
                <w:sz w:val="24"/>
                <w:szCs w:val="24"/>
              </w:rPr>
              <w:t>A</w:t>
            </w:r>
            <w:r>
              <w:rPr>
                <w:rFonts w:hint="eastAsia" w:hAnsi="黑体" w:eastAsia="黑体"/>
                <w:color w:val="auto"/>
                <w:sz w:val="24"/>
                <w:szCs w:val="24"/>
              </w:rPr>
              <w:t>）</w:t>
            </w:r>
          </w:p>
          <w:tbl>
            <w:tblPr>
              <w:tblStyle w:val="34"/>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autofit"/>
              <w:tblCellMar>
                <w:top w:w="0" w:type="dxa"/>
                <w:left w:w="108" w:type="dxa"/>
                <w:bottom w:w="0" w:type="dxa"/>
                <w:right w:w="108" w:type="dxa"/>
              </w:tblCellMar>
            </w:tblPr>
            <w:tblGrid>
              <w:gridCol w:w="968"/>
              <w:gridCol w:w="826"/>
              <w:gridCol w:w="1057"/>
              <w:gridCol w:w="1057"/>
              <w:gridCol w:w="1059"/>
              <w:gridCol w:w="1059"/>
              <w:gridCol w:w="1059"/>
              <w:gridCol w:w="1060"/>
            </w:tblGrid>
            <w:tr w14:paraId="6B0B1115">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jc w:val="center"/>
              </w:trPr>
              <w:tc>
                <w:tcPr>
                  <w:tcW w:w="594" w:type="pct"/>
                  <w:vMerge w:val="restart"/>
                  <w:vAlign w:val="center"/>
                </w:tcPr>
                <w:p w14:paraId="63E167B2">
                  <w:pPr>
                    <w:pStyle w:val="10"/>
                    <w:spacing w:after="0" w:line="276" w:lineRule="auto"/>
                    <w:ind w:left="0" w:leftChars="0"/>
                    <w:jc w:val="center"/>
                    <w:rPr>
                      <w:b/>
                      <w:bCs/>
                      <w:color w:val="auto"/>
                      <w:szCs w:val="21"/>
                    </w:rPr>
                  </w:pPr>
                  <w:r>
                    <w:rPr>
                      <w:rFonts w:hint="eastAsia"/>
                      <w:b/>
                      <w:bCs/>
                      <w:color w:val="auto"/>
                      <w:szCs w:val="21"/>
                    </w:rPr>
                    <w:t>预测点</w:t>
                  </w:r>
                </w:p>
              </w:tc>
              <w:tc>
                <w:tcPr>
                  <w:tcW w:w="1156" w:type="pct"/>
                  <w:gridSpan w:val="2"/>
                  <w:vAlign w:val="center"/>
                </w:tcPr>
                <w:p w14:paraId="2CD76647">
                  <w:pPr>
                    <w:pStyle w:val="10"/>
                    <w:spacing w:after="0" w:line="276" w:lineRule="auto"/>
                    <w:ind w:left="0" w:leftChars="0"/>
                    <w:jc w:val="center"/>
                    <w:rPr>
                      <w:b/>
                      <w:bCs/>
                      <w:color w:val="auto"/>
                      <w:szCs w:val="21"/>
                    </w:rPr>
                  </w:pPr>
                  <w:r>
                    <w:rPr>
                      <w:rFonts w:hint="eastAsia"/>
                      <w:b/>
                      <w:bCs/>
                      <w:color w:val="auto"/>
                      <w:szCs w:val="21"/>
                    </w:rPr>
                    <w:t>背景值</w:t>
                  </w:r>
                </w:p>
              </w:tc>
              <w:tc>
                <w:tcPr>
                  <w:tcW w:w="1299" w:type="pct"/>
                  <w:gridSpan w:val="2"/>
                  <w:vAlign w:val="center"/>
                </w:tcPr>
                <w:p w14:paraId="6BE0A4C0">
                  <w:pPr>
                    <w:pStyle w:val="10"/>
                    <w:spacing w:after="0" w:line="276" w:lineRule="auto"/>
                    <w:ind w:left="0" w:leftChars="0"/>
                    <w:jc w:val="center"/>
                    <w:rPr>
                      <w:b/>
                      <w:bCs/>
                      <w:color w:val="auto"/>
                      <w:szCs w:val="21"/>
                    </w:rPr>
                  </w:pPr>
                  <w:r>
                    <w:rPr>
                      <w:rFonts w:hint="eastAsia"/>
                      <w:b/>
                      <w:bCs/>
                      <w:color w:val="auto"/>
                      <w:szCs w:val="21"/>
                    </w:rPr>
                    <w:t>贡献值</w:t>
                  </w:r>
                </w:p>
              </w:tc>
              <w:tc>
                <w:tcPr>
                  <w:tcW w:w="1300" w:type="pct"/>
                  <w:gridSpan w:val="2"/>
                  <w:vAlign w:val="center"/>
                </w:tcPr>
                <w:p w14:paraId="384DCC4E">
                  <w:pPr>
                    <w:pStyle w:val="10"/>
                    <w:spacing w:after="0" w:line="276" w:lineRule="auto"/>
                    <w:ind w:left="0" w:leftChars="0"/>
                    <w:jc w:val="center"/>
                    <w:rPr>
                      <w:b/>
                      <w:bCs/>
                      <w:color w:val="auto"/>
                      <w:szCs w:val="21"/>
                    </w:rPr>
                  </w:pPr>
                  <w:r>
                    <w:rPr>
                      <w:rFonts w:hint="eastAsia"/>
                      <w:b/>
                      <w:bCs/>
                      <w:color w:val="auto"/>
                      <w:szCs w:val="21"/>
                    </w:rPr>
                    <w:t>预测值</w:t>
                  </w:r>
                </w:p>
              </w:tc>
              <w:tc>
                <w:tcPr>
                  <w:tcW w:w="650" w:type="pct"/>
                  <w:vMerge w:val="restart"/>
                  <w:vAlign w:val="center"/>
                </w:tcPr>
                <w:p w14:paraId="21749FD9">
                  <w:pPr>
                    <w:pStyle w:val="10"/>
                    <w:spacing w:after="0" w:line="276" w:lineRule="auto"/>
                    <w:ind w:left="0" w:leftChars="0"/>
                    <w:jc w:val="center"/>
                    <w:rPr>
                      <w:b/>
                      <w:bCs/>
                      <w:color w:val="auto"/>
                      <w:szCs w:val="21"/>
                    </w:rPr>
                  </w:pPr>
                  <w:r>
                    <w:rPr>
                      <w:rFonts w:hint="eastAsia"/>
                      <w:b/>
                      <w:bCs/>
                      <w:color w:val="auto"/>
                      <w:szCs w:val="21"/>
                    </w:rPr>
                    <w:t>达标情况</w:t>
                  </w:r>
                </w:p>
              </w:tc>
            </w:tr>
            <w:tr w14:paraId="414F2597">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jc w:val="center"/>
              </w:trPr>
              <w:tc>
                <w:tcPr>
                  <w:tcW w:w="594" w:type="pct"/>
                  <w:vMerge w:val="continue"/>
                  <w:vAlign w:val="center"/>
                </w:tcPr>
                <w:p w14:paraId="03311D43">
                  <w:pPr>
                    <w:widowControl/>
                    <w:spacing w:line="276" w:lineRule="auto"/>
                    <w:jc w:val="left"/>
                    <w:rPr>
                      <w:b/>
                      <w:bCs/>
                      <w:color w:val="auto"/>
                      <w:szCs w:val="21"/>
                    </w:rPr>
                  </w:pPr>
                </w:p>
              </w:tc>
              <w:tc>
                <w:tcPr>
                  <w:tcW w:w="507" w:type="pct"/>
                  <w:vAlign w:val="center"/>
                </w:tcPr>
                <w:p w14:paraId="751BCB1D">
                  <w:pPr>
                    <w:pStyle w:val="10"/>
                    <w:spacing w:after="0" w:line="276" w:lineRule="auto"/>
                    <w:ind w:left="0" w:leftChars="0"/>
                    <w:jc w:val="center"/>
                    <w:rPr>
                      <w:b/>
                      <w:bCs/>
                      <w:color w:val="auto"/>
                      <w:szCs w:val="21"/>
                    </w:rPr>
                  </w:pPr>
                  <w:r>
                    <w:rPr>
                      <w:rFonts w:hint="eastAsia"/>
                      <w:b/>
                      <w:bCs/>
                      <w:color w:val="auto"/>
                      <w:szCs w:val="21"/>
                    </w:rPr>
                    <w:t>昼间</w:t>
                  </w:r>
                </w:p>
              </w:tc>
              <w:tc>
                <w:tcPr>
                  <w:tcW w:w="649" w:type="pct"/>
                  <w:vAlign w:val="center"/>
                </w:tcPr>
                <w:p w14:paraId="425B8150">
                  <w:pPr>
                    <w:pStyle w:val="10"/>
                    <w:spacing w:after="0" w:line="276" w:lineRule="auto"/>
                    <w:ind w:left="0" w:leftChars="0"/>
                    <w:jc w:val="center"/>
                    <w:rPr>
                      <w:b/>
                      <w:bCs/>
                      <w:color w:val="auto"/>
                      <w:szCs w:val="21"/>
                    </w:rPr>
                  </w:pPr>
                  <w:r>
                    <w:rPr>
                      <w:rFonts w:hint="eastAsia"/>
                      <w:b/>
                      <w:bCs/>
                      <w:color w:val="auto"/>
                      <w:szCs w:val="21"/>
                    </w:rPr>
                    <w:t>夜间</w:t>
                  </w:r>
                </w:p>
              </w:tc>
              <w:tc>
                <w:tcPr>
                  <w:tcW w:w="649" w:type="pct"/>
                  <w:vAlign w:val="center"/>
                </w:tcPr>
                <w:p w14:paraId="2506C15C">
                  <w:pPr>
                    <w:pStyle w:val="10"/>
                    <w:spacing w:after="0" w:line="276" w:lineRule="auto"/>
                    <w:ind w:left="0" w:leftChars="0"/>
                    <w:jc w:val="center"/>
                    <w:rPr>
                      <w:b/>
                      <w:bCs/>
                      <w:color w:val="auto"/>
                      <w:szCs w:val="21"/>
                    </w:rPr>
                  </w:pPr>
                  <w:r>
                    <w:rPr>
                      <w:rFonts w:hint="eastAsia"/>
                      <w:b/>
                      <w:bCs/>
                      <w:color w:val="auto"/>
                      <w:szCs w:val="21"/>
                    </w:rPr>
                    <w:t>昼间</w:t>
                  </w:r>
                </w:p>
              </w:tc>
              <w:tc>
                <w:tcPr>
                  <w:tcW w:w="650" w:type="pct"/>
                  <w:vAlign w:val="center"/>
                </w:tcPr>
                <w:p w14:paraId="2FCDE8BC">
                  <w:pPr>
                    <w:pStyle w:val="10"/>
                    <w:spacing w:after="0" w:line="276" w:lineRule="auto"/>
                    <w:ind w:left="0" w:leftChars="0"/>
                    <w:jc w:val="center"/>
                    <w:rPr>
                      <w:b/>
                      <w:bCs/>
                      <w:color w:val="auto"/>
                      <w:szCs w:val="21"/>
                    </w:rPr>
                  </w:pPr>
                  <w:r>
                    <w:rPr>
                      <w:rFonts w:hint="eastAsia"/>
                      <w:b/>
                      <w:bCs/>
                      <w:color w:val="auto"/>
                      <w:szCs w:val="21"/>
                    </w:rPr>
                    <w:t>夜间</w:t>
                  </w:r>
                </w:p>
              </w:tc>
              <w:tc>
                <w:tcPr>
                  <w:tcW w:w="650" w:type="pct"/>
                  <w:vAlign w:val="center"/>
                </w:tcPr>
                <w:p w14:paraId="77C2BDC7">
                  <w:pPr>
                    <w:pStyle w:val="10"/>
                    <w:spacing w:after="0" w:line="276" w:lineRule="auto"/>
                    <w:ind w:left="0" w:leftChars="0"/>
                    <w:jc w:val="center"/>
                    <w:rPr>
                      <w:b/>
                      <w:bCs/>
                      <w:color w:val="auto"/>
                      <w:szCs w:val="21"/>
                    </w:rPr>
                  </w:pPr>
                  <w:r>
                    <w:rPr>
                      <w:rFonts w:hint="eastAsia"/>
                      <w:b/>
                      <w:bCs/>
                      <w:color w:val="auto"/>
                      <w:szCs w:val="21"/>
                    </w:rPr>
                    <w:t>昼间</w:t>
                  </w:r>
                </w:p>
              </w:tc>
              <w:tc>
                <w:tcPr>
                  <w:tcW w:w="650" w:type="pct"/>
                  <w:vAlign w:val="center"/>
                </w:tcPr>
                <w:p w14:paraId="185EE8B4">
                  <w:pPr>
                    <w:pStyle w:val="10"/>
                    <w:spacing w:after="0" w:line="276" w:lineRule="auto"/>
                    <w:ind w:left="0" w:leftChars="0"/>
                    <w:jc w:val="center"/>
                    <w:rPr>
                      <w:b/>
                      <w:bCs/>
                      <w:color w:val="auto"/>
                      <w:szCs w:val="21"/>
                    </w:rPr>
                  </w:pPr>
                  <w:r>
                    <w:rPr>
                      <w:rFonts w:hint="eastAsia"/>
                      <w:b/>
                      <w:bCs/>
                      <w:color w:val="auto"/>
                      <w:szCs w:val="21"/>
                    </w:rPr>
                    <w:t>夜间</w:t>
                  </w:r>
                </w:p>
              </w:tc>
              <w:tc>
                <w:tcPr>
                  <w:tcW w:w="650" w:type="pct"/>
                  <w:vMerge w:val="continue"/>
                  <w:vAlign w:val="center"/>
                </w:tcPr>
                <w:p w14:paraId="38AD3885">
                  <w:pPr>
                    <w:pStyle w:val="10"/>
                    <w:spacing w:after="0" w:line="276" w:lineRule="auto"/>
                    <w:ind w:left="0" w:leftChars="0"/>
                    <w:jc w:val="center"/>
                    <w:rPr>
                      <w:b/>
                      <w:bCs/>
                      <w:color w:val="auto"/>
                      <w:szCs w:val="21"/>
                    </w:rPr>
                  </w:pPr>
                </w:p>
              </w:tc>
            </w:tr>
            <w:tr w14:paraId="0C70A9FD">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jc w:val="center"/>
              </w:trPr>
              <w:tc>
                <w:tcPr>
                  <w:tcW w:w="594" w:type="pct"/>
                  <w:vAlign w:val="center"/>
                </w:tcPr>
                <w:p w14:paraId="1F0D3277">
                  <w:pPr>
                    <w:pStyle w:val="10"/>
                    <w:spacing w:after="0" w:line="276" w:lineRule="auto"/>
                    <w:ind w:left="0" w:leftChars="0"/>
                    <w:jc w:val="center"/>
                    <w:rPr>
                      <w:color w:val="auto"/>
                      <w:szCs w:val="21"/>
                    </w:rPr>
                  </w:pPr>
                  <w:r>
                    <w:rPr>
                      <w:rFonts w:hint="eastAsia"/>
                      <w:color w:val="auto"/>
                      <w:szCs w:val="21"/>
                    </w:rPr>
                    <w:t>东厂界</w:t>
                  </w:r>
                </w:p>
              </w:tc>
              <w:tc>
                <w:tcPr>
                  <w:tcW w:w="507" w:type="pct"/>
                  <w:vAlign w:val="center"/>
                </w:tcPr>
                <w:p w14:paraId="13764479">
                  <w:pPr>
                    <w:spacing w:line="276" w:lineRule="auto"/>
                    <w:jc w:val="center"/>
                    <w:rPr>
                      <w:color w:val="auto"/>
                      <w:szCs w:val="21"/>
                    </w:rPr>
                  </w:pPr>
                  <w:r>
                    <w:rPr>
                      <w:rFonts w:hint="eastAsia"/>
                      <w:color w:val="auto"/>
                      <w:szCs w:val="21"/>
                    </w:rPr>
                    <w:t>54.7</w:t>
                  </w:r>
                </w:p>
              </w:tc>
              <w:tc>
                <w:tcPr>
                  <w:tcW w:w="649" w:type="pct"/>
                  <w:vAlign w:val="center"/>
                </w:tcPr>
                <w:p w14:paraId="6C0AAB5A">
                  <w:pPr>
                    <w:spacing w:line="276" w:lineRule="auto"/>
                    <w:jc w:val="center"/>
                    <w:rPr>
                      <w:color w:val="auto"/>
                      <w:szCs w:val="21"/>
                    </w:rPr>
                  </w:pPr>
                  <w:r>
                    <w:rPr>
                      <w:rFonts w:hint="eastAsia"/>
                      <w:color w:val="auto"/>
                      <w:szCs w:val="21"/>
                    </w:rPr>
                    <w:t>45.7</w:t>
                  </w:r>
                </w:p>
              </w:tc>
              <w:tc>
                <w:tcPr>
                  <w:tcW w:w="649" w:type="pct"/>
                  <w:vAlign w:val="center"/>
                </w:tcPr>
                <w:p w14:paraId="12A96BAA">
                  <w:pPr>
                    <w:spacing w:line="276" w:lineRule="auto"/>
                    <w:jc w:val="center"/>
                    <w:rPr>
                      <w:color w:val="auto"/>
                      <w:szCs w:val="21"/>
                    </w:rPr>
                  </w:pPr>
                  <w:r>
                    <w:rPr>
                      <w:rFonts w:hint="eastAsia"/>
                      <w:color w:val="auto"/>
                      <w:szCs w:val="21"/>
                    </w:rPr>
                    <w:t>41.9</w:t>
                  </w:r>
                </w:p>
              </w:tc>
              <w:tc>
                <w:tcPr>
                  <w:tcW w:w="650" w:type="pct"/>
                  <w:vAlign w:val="center"/>
                </w:tcPr>
                <w:p w14:paraId="68CE792D">
                  <w:pPr>
                    <w:spacing w:line="276" w:lineRule="auto"/>
                    <w:jc w:val="center"/>
                    <w:rPr>
                      <w:color w:val="auto"/>
                      <w:szCs w:val="21"/>
                    </w:rPr>
                  </w:pPr>
                  <w:r>
                    <w:rPr>
                      <w:rFonts w:hint="eastAsia"/>
                      <w:color w:val="auto"/>
                      <w:szCs w:val="21"/>
                    </w:rPr>
                    <w:t>41.9</w:t>
                  </w:r>
                </w:p>
              </w:tc>
              <w:tc>
                <w:tcPr>
                  <w:tcW w:w="650" w:type="pct"/>
                  <w:vAlign w:val="center"/>
                </w:tcPr>
                <w:p w14:paraId="3284B7A1">
                  <w:pPr>
                    <w:spacing w:line="276" w:lineRule="auto"/>
                    <w:jc w:val="center"/>
                    <w:rPr>
                      <w:color w:val="auto"/>
                      <w:szCs w:val="21"/>
                    </w:rPr>
                  </w:pPr>
                  <w:r>
                    <w:rPr>
                      <w:rFonts w:hint="eastAsia"/>
                      <w:color w:val="auto"/>
                      <w:szCs w:val="21"/>
                    </w:rPr>
                    <w:t>54.9</w:t>
                  </w:r>
                </w:p>
              </w:tc>
              <w:tc>
                <w:tcPr>
                  <w:tcW w:w="650" w:type="pct"/>
                  <w:vAlign w:val="center"/>
                </w:tcPr>
                <w:p w14:paraId="3D971D59">
                  <w:pPr>
                    <w:spacing w:line="276" w:lineRule="auto"/>
                    <w:jc w:val="center"/>
                    <w:rPr>
                      <w:color w:val="auto"/>
                      <w:szCs w:val="21"/>
                    </w:rPr>
                  </w:pPr>
                  <w:r>
                    <w:rPr>
                      <w:rFonts w:hint="eastAsia"/>
                      <w:color w:val="auto"/>
                      <w:szCs w:val="21"/>
                    </w:rPr>
                    <w:t>47.2</w:t>
                  </w:r>
                </w:p>
              </w:tc>
              <w:tc>
                <w:tcPr>
                  <w:tcW w:w="650" w:type="pct"/>
                  <w:vAlign w:val="center"/>
                </w:tcPr>
                <w:p w14:paraId="3F06B11E">
                  <w:pPr>
                    <w:spacing w:line="276" w:lineRule="auto"/>
                    <w:jc w:val="center"/>
                    <w:rPr>
                      <w:color w:val="auto"/>
                      <w:szCs w:val="21"/>
                    </w:rPr>
                  </w:pPr>
                  <w:r>
                    <w:rPr>
                      <w:color w:val="auto"/>
                      <w:szCs w:val="21"/>
                    </w:rPr>
                    <w:t>达标</w:t>
                  </w:r>
                </w:p>
              </w:tc>
            </w:tr>
            <w:tr w14:paraId="5B639D8C">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jc w:val="center"/>
              </w:trPr>
              <w:tc>
                <w:tcPr>
                  <w:tcW w:w="594" w:type="pct"/>
                  <w:vAlign w:val="center"/>
                </w:tcPr>
                <w:p w14:paraId="7B633786">
                  <w:pPr>
                    <w:pStyle w:val="10"/>
                    <w:spacing w:after="0" w:line="276" w:lineRule="auto"/>
                    <w:ind w:left="0" w:leftChars="0"/>
                    <w:jc w:val="center"/>
                    <w:rPr>
                      <w:color w:val="auto"/>
                      <w:szCs w:val="21"/>
                    </w:rPr>
                  </w:pPr>
                  <w:r>
                    <w:rPr>
                      <w:rFonts w:hint="eastAsia"/>
                      <w:color w:val="auto"/>
                      <w:szCs w:val="21"/>
                    </w:rPr>
                    <w:t>南厂界</w:t>
                  </w:r>
                </w:p>
              </w:tc>
              <w:tc>
                <w:tcPr>
                  <w:tcW w:w="507" w:type="pct"/>
                  <w:vAlign w:val="center"/>
                </w:tcPr>
                <w:p w14:paraId="7254EF98">
                  <w:pPr>
                    <w:spacing w:line="276" w:lineRule="auto"/>
                    <w:jc w:val="center"/>
                    <w:rPr>
                      <w:color w:val="auto"/>
                      <w:szCs w:val="21"/>
                    </w:rPr>
                  </w:pPr>
                  <w:r>
                    <w:rPr>
                      <w:rFonts w:hint="eastAsia"/>
                      <w:color w:val="auto"/>
                      <w:szCs w:val="21"/>
                    </w:rPr>
                    <w:t>51.2</w:t>
                  </w:r>
                </w:p>
              </w:tc>
              <w:tc>
                <w:tcPr>
                  <w:tcW w:w="649" w:type="pct"/>
                  <w:vAlign w:val="center"/>
                </w:tcPr>
                <w:p w14:paraId="265DD144">
                  <w:pPr>
                    <w:spacing w:line="276" w:lineRule="auto"/>
                    <w:jc w:val="center"/>
                    <w:rPr>
                      <w:color w:val="auto"/>
                      <w:szCs w:val="21"/>
                    </w:rPr>
                  </w:pPr>
                  <w:r>
                    <w:rPr>
                      <w:rFonts w:hint="eastAsia"/>
                      <w:color w:val="auto"/>
                      <w:szCs w:val="21"/>
                    </w:rPr>
                    <w:t>49.4</w:t>
                  </w:r>
                </w:p>
              </w:tc>
              <w:tc>
                <w:tcPr>
                  <w:tcW w:w="649" w:type="pct"/>
                  <w:vAlign w:val="center"/>
                </w:tcPr>
                <w:p w14:paraId="6BB9E3D3">
                  <w:pPr>
                    <w:spacing w:line="276" w:lineRule="auto"/>
                    <w:jc w:val="center"/>
                    <w:rPr>
                      <w:color w:val="auto"/>
                      <w:szCs w:val="21"/>
                    </w:rPr>
                  </w:pPr>
                  <w:r>
                    <w:rPr>
                      <w:rFonts w:hint="eastAsia"/>
                      <w:color w:val="auto"/>
                      <w:szCs w:val="21"/>
                    </w:rPr>
                    <w:t>45.8</w:t>
                  </w:r>
                </w:p>
              </w:tc>
              <w:tc>
                <w:tcPr>
                  <w:tcW w:w="650" w:type="pct"/>
                  <w:vAlign w:val="center"/>
                </w:tcPr>
                <w:p w14:paraId="46B4D584">
                  <w:pPr>
                    <w:spacing w:line="276" w:lineRule="auto"/>
                    <w:jc w:val="center"/>
                    <w:rPr>
                      <w:color w:val="auto"/>
                      <w:szCs w:val="21"/>
                    </w:rPr>
                  </w:pPr>
                  <w:r>
                    <w:rPr>
                      <w:rFonts w:hint="eastAsia"/>
                      <w:color w:val="auto"/>
                      <w:szCs w:val="21"/>
                    </w:rPr>
                    <w:t>45.8</w:t>
                  </w:r>
                </w:p>
              </w:tc>
              <w:tc>
                <w:tcPr>
                  <w:tcW w:w="650" w:type="pct"/>
                  <w:vAlign w:val="center"/>
                </w:tcPr>
                <w:p w14:paraId="3475978A">
                  <w:pPr>
                    <w:spacing w:line="276" w:lineRule="auto"/>
                    <w:jc w:val="center"/>
                    <w:rPr>
                      <w:color w:val="auto"/>
                      <w:szCs w:val="21"/>
                    </w:rPr>
                  </w:pPr>
                  <w:r>
                    <w:rPr>
                      <w:rFonts w:hint="eastAsia"/>
                      <w:color w:val="auto"/>
                      <w:szCs w:val="21"/>
                    </w:rPr>
                    <w:t>52.3</w:t>
                  </w:r>
                </w:p>
              </w:tc>
              <w:tc>
                <w:tcPr>
                  <w:tcW w:w="650" w:type="pct"/>
                  <w:vAlign w:val="center"/>
                </w:tcPr>
                <w:p w14:paraId="2CBE2615">
                  <w:pPr>
                    <w:spacing w:line="276" w:lineRule="auto"/>
                    <w:jc w:val="center"/>
                    <w:rPr>
                      <w:color w:val="auto"/>
                      <w:szCs w:val="21"/>
                    </w:rPr>
                  </w:pPr>
                  <w:r>
                    <w:rPr>
                      <w:rFonts w:hint="eastAsia"/>
                      <w:color w:val="auto"/>
                      <w:szCs w:val="21"/>
                    </w:rPr>
                    <w:t>51.0</w:t>
                  </w:r>
                </w:p>
              </w:tc>
              <w:tc>
                <w:tcPr>
                  <w:tcW w:w="650" w:type="pct"/>
                  <w:vAlign w:val="center"/>
                </w:tcPr>
                <w:p w14:paraId="6470D5DC">
                  <w:pPr>
                    <w:spacing w:line="276" w:lineRule="auto"/>
                    <w:jc w:val="center"/>
                    <w:rPr>
                      <w:color w:val="auto"/>
                      <w:szCs w:val="21"/>
                    </w:rPr>
                  </w:pPr>
                  <w:r>
                    <w:rPr>
                      <w:color w:val="auto"/>
                      <w:szCs w:val="21"/>
                    </w:rPr>
                    <w:t>达标</w:t>
                  </w:r>
                </w:p>
              </w:tc>
            </w:tr>
            <w:tr w14:paraId="204CF0DA">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jc w:val="center"/>
              </w:trPr>
              <w:tc>
                <w:tcPr>
                  <w:tcW w:w="594" w:type="pct"/>
                  <w:vAlign w:val="center"/>
                </w:tcPr>
                <w:p w14:paraId="2F6B1E43">
                  <w:pPr>
                    <w:pStyle w:val="10"/>
                    <w:spacing w:after="0" w:line="276" w:lineRule="auto"/>
                    <w:ind w:left="0" w:leftChars="0"/>
                    <w:jc w:val="center"/>
                    <w:rPr>
                      <w:color w:val="auto"/>
                      <w:szCs w:val="21"/>
                    </w:rPr>
                  </w:pPr>
                  <w:r>
                    <w:rPr>
                      <w:rFonts w:hint="eastAsia"/>
                      <w:color w:val="auto"/>
                      <w:szCs w:val="21"/>
                    </w:rPr>
                    <w:t>西厂界</w:t>
                  </w:r>
                </w:p>
              </w:tc>
              <w:tc>
                <w:tcPr>
                  <w:tcW w:w="507" w:type="pct"/>
                  <w:vAlign w:val="center"/>
                </w:tcPr>
                <w:p w14:paraId="4E8ECDD6">
                  <w:pPr>
                    <w:spacing w:line="276" w:lineRule="auto"/>
                    <w:jc w:val="center"/>
                    <w:rPr>
                      <w:color w:val="auto"/>
                      <w:szCs w:val="21"/>
                    </w:rPr>
                  </w:pPr>
                  <w:r>
                    <w:rPr>
                      <w:rFonts w:hint="eastAsia"/>
                      <w:color w:val="auto"/>
                      <w:szCs w:val="21"/>
                    </w:rPr>
                    <w:t>55.0</w:t>
                  </w:r>
                </w:p>
              </w:tc>
              <w:tc>
                <w:tcPr>
                  <w:tcW w:w="649" w:type="pct"/>
                  <w:vAlign w:val="center"/>
                </w:tcPr>
                <w:p w14:paraId="48DF7C03">
                  <w:pPr>
                    <w:spacing w:line="276" w:lineRule="auto"/>
                    <w:jc w:val="center"/>
                    <w:rPr>
                      <w:color w:val="auto"/>
                      <w:szCs w:val="21"/>
                    </w:rPr>
                  </w:pPr>
                  <w:r>
                    <w:rPr>
                      <w:rFonts w:hint="eastAsia"/>
                      <w:color w:val="auto"/>
                      <w:szCs w:val="21"/>
                    </w:rPr>
                    <w:t>47.6</w:t>
                  </w:r>
                </w:p>
              </w:tc>
              <w:tc>
                <w:tcPr>
                  <w:tcW w:w="649" w:type="pct"/>
                  <w:vAlign w:val="center"/>
                </w:tcPr>
                <w:p w14:paraId="3A084370">
                  <w:pPr>
                    <w:spacing w:line="276" w:lineRule="auto"/>
                    <w:jc w:val="center"/>
                    <w:rPr>
                      <w:color w:val="auto"/>
                      <w:szCs w:val="21"/>
                    </w:rPr>
                  </w:pPr>
                  <w:r>
                    <w:rPr>
                      <w:rFonts w:hint="eastAsia"/>
                      <w:color w:val="auto"/>
                      <w:szCs w:val="21"/>
                    </w:rPr>
                    <w:t>43.8</w:t>
                  </w:r>
                </w:p>
              </w:tc>
              <w:tc>
                <w:tcPr>
                  <w:tcW w:w="650" w:type="pct"/>
                  <w:vAlign w:val="center"/>
                </w:tcPr>
                <w:p w14:paraId="3DF9AA10">
                  <w:pPr>
                    <w:spacing w:line="276" w:lineRule="auto"/>
                    <w:jc w:val="center"/>
                    <w:rPr>
                      <w:color w:val="auto"/>
                      <w:szCs w:val="21"/>
                    </w:rPr>
                  </w:pPr>
                  <w:r>
                    <w:rPr>
                      <w:rFonts w:hint="eastAsia"/>
                      <w:color w:val="auto"/>
                      <w:szCs w:val="21"/>
                    </w:rPr>
                    <w:t>43.8</w:t>
                  </w:r>
                </w:p>
              </w:tc>
              <w:tc>
                <w:tcPr>
                  <w:tcW w:w="650" w:type="pct"/>
                  <w:vAlign w:val="center"/>
                </w:tcPr>
                <w:p w14:paraId="03420EAD">
                  <w:pPr>
                    <w:spacing w:line="276" w:lineRule="auto"/>
                    <w:jc w:val="center"/>
                    <w:rPr>
                      <w:color w:val="auto"/>
                      <w:szCs w:val="21"/>
                    </w:rPr>
                  </w:pPr>
                  <w:r>
                    <w:rPr>
                      <w:rFonts w:hint="eastAsia"/>
                      <w:color w:val="auto"/>
                      <w:szCs w:val="21"/>
                    </w:rPr>
                    <w:t>55.3</w:t>
                  </w:r>
                </w:p>
              </w:tc>
              <w:tc>
                <w:tcPr>
                  <w:tcW w:w="650" w:type="pct"/>
                  <w:vAlign w:val="center"/>
                </w:tcPr>
                <w:p w14:paraId="5C6369CE">
                  <w:pPr>
                    <w:spacing w:line="276" w:lineRule="auto"/>
                    <w:jc w:val="center"/>
                    <w:rPr>
                      <w:color w:val="auto"/>
                      <w:szCs w:val="21"/>
                    </w:rPr>
                  </w:pPr>
                  <w:r>
                    <w:rPr>
                      <w:rFonts w:hint="eastAsia"/>
                      <w:color w:val="auto"/>
                      <w:szCs w:val="21"/>
                    </w:rPr>
                    <w:t>49.1</w:t>
                  </w:r>
                </w:p>
              </w:tc>
              <w:tc>
                <w:tcPr>
                  <w:tcW w:w="650" w:type="pct"/>
                  <w:vAlign w:val="center"/>
                </w:tcPr>
                <w:p w14:paraId="2477D4B3">
                  <w:pPr>
                    <w:spacing w:line="276" w:lineRule="auto"/>
                    <w:jc w:val="center"/>
                    <w:rPr>
                      <w:color w:val="auto"/>
                      <w:szCs w:val="21"/>
                    </w:rPr>
                  </w:pPr>
                  <w:r>
                    <w:rPr>
                      <w:color w:val="auto"/>
                      <w:szCs w:val="21"/>
                    </w:rPr>
                    <w:t>达标</w:t>
                  </w:r>
                </w:p>
              </w:tc>
            </w:tr>
            <w:tr w14:paraId="7D368412">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jc w:val="center"/>
              </w:trPr>
              <w:tc>
                <w:tcPr>
                  <w:tcW w:w="594" w:type="pct"/>
                  <w:vAlign w:val="center"/>
                </w:tcPr>
                <w:p w14:paraId="431411E8">
                  <w:pPr>
                    <w:pStyle w:val="10"/>
                    <w:spacing w:after="0" w:line="276" w:lineRule="auto"/>
                    <w:ind w:left="0" w:leftChars="0"/>
                    <w:jc w:val="center"/>
                    <w:rPr>
                      <w:color w:val="auto"/>
                      <w:szCs w:val="21"/>
                    </w:rPr>
                  </w:pPr>
                  <w:r>
                    <w:rPr>
                      <w:rFonts w:hint="eastAsia"/>
                      <w:color w:val="auto"/>
                      <w:szCs w:val="21"/>
                    </w:rPr>
                    <w:t>北厂界</w:t>
                  </w:r>
                </w:p>
              </w:tc>
              <w:tc>
                <w:tcPr>
                  <w:tcW w:w="507" w:type="pct"/>
                  <w:vAlign w:val="center"/>
                </w:tcPr>
                <w:p w14:paraId="6E57CC9D">
                  <w:pPr>
                    <w:spacing w:line="276" w:lineRule="auto"/>
                    <w:jc w:val="center"/>
                    <w:rPr>
                      <w:color w:val="auto"/>
                      <w:szCs w:val="21"/>
                    </w:rPr>
                  </w:pPr>
                  <w:r>
                    <w:rPr>
                      <w:rFonts w:hint="eastAsia"/>
                      <w:color w:val="auto"/>
                      <w:szCs w:val="21"/>
                    </w:rPr>
                    <w:t>53.1</w:t>
                  </w:r>
                </w:p>
              </w:tc>
              <w:tc>
                <w:tcPr>
                  <w:tcW w:w="649" w:type="pct"/>
                  <w:vAlign w:val="center"/>
                </w:tcPr>
                <w:p w14:paraId="0798C775">
                  <w:pPr>
                    <w:spacing w:line="276" w:lineRule="auto"/>
                    <w:jc w:val="center"/>
                    <w:rPr>
                      <w:color w:val="auto"/>
                      <w:szCs w:val="21"/>
                    </w:rPr>
                  </w:pPr>
                  <w:r>
                    <w:rPr>
                      <w:rFonts w:hint="eastAsia"/>
                      <w:color w:val="auto"/>
                      <w:szCs w:val="21"/>
                    </w:rPr>
                    <w:t>45.5</w:t>
                  </w:r>
                </w:p>
              </w:tc>
              <w:tc>
                <w:tcPr>
                  <w:tcW w:w="649" w:type="pct"/>
                  <w:vAlign w:val="center"/>
                </w:tcPr>
                <w:p w14:paraId="6AFF417E">
                  <w:pPr>
                    <w:spacing w:line="276" w:lineRule="auto"/>
                    <w:jc w:val="center"/>
                    <w:rPr>
                      <w:color w:val="auto"/>
                      <w:szCs w:val="21"/>
                    </w:rPr>
                  </w:pPr>
                  <w:r>
                    <w:rPr>
                      <w:rFonts w:hint="eastAsia"/>
                      <w:color w:val="auto"/>
                      <w:szCs w:val="21"/>
                    </w:rPr>
                    <w:t>40.8</w:t>
                  </w:r>
                </w:p>
              </w:tc>
              <w:tc>
                <w:tcPr>
                  <w:tcW w:w="650" w:type="pct"/>
                  <w:vAlign w:val="center"/>
                </w:tcPr>
                <w:p w14:paraId="54DEDFB9">
                  <w:pPr>
                    <w:spacing w:line="276" w:lineRule="auto"/>
                    <w:jc w:val="center"/>
                    <w:rPr>
                      <w:color w:val="auto"/>
                      <w:szCs w:val="21"/>
                    </w:rPr>
                  </w:pPr>
                  <w:r>
                    <w:rPr>
                      <w:rFonts w:hint="eastAsia"/>
                      <w:color w:val="auto"/>
                      <w:szCs w:val="21"/>
                    </w:rPr>
                    <w:t>40.8</w:t>
                  </w:r>
                </w:p>
              </w:tc>
              <w:tc>
                <w:tcPr>
                  <w:tcW w:w="650" w:type="pct"/>
                  <w:vAlign w:val="center"/>
                </w:tcPr>
                <w:p w14:paraId="1D225BF5">
                  <w:pPr>
                    <w:spacing w:line="276" w:lineRule="auto"/>
                    <w:jc w:val="center"/>
                    <w:rPr>
                      <w:color w:val="auto"/>
                      <w:szCs w:val="21"/>
                    </w:rPr>
                  </w:pPr>
                  <w:r>
                    <w:rPr>
                      <w:rFonts w:hint="eastAsia"/>
                      <w:color w:val="auto"/>
                      <w:szCs w:val="21"/>
                    </w:rPr>
                    <w:t>53.3</w:t>
                  </w:r>
                </w:p>
              </w:tc>
              <w:tc>
                <w:tcPr>
                  <w:tcW w:w="650" w:type="pct"/>
                  <w:vAlign w:val="center"/>
                </w:tcPr>
                <w:p w14:paraId="7EB7401E">
                  <w:pPr>
                    <w:spacing w:line="276" w:lineRule="auto"/>
                    <w:jc w:val="center"/>
                    <w:rPr>
                      <w:color w:val="auto"/>
                      <w:szCs w:val="21"/>
                    </w:rPr>
                  </w:pPr>
                  <w:r>
                    <w:rPr>
                      <w:rFonts w:hint="eastAsia"/>
                      <w:color w:val="auto"/>
                      <w:szCs w:val="21"/>
                    </w:rPr>
                    <w:t>46.8</w:t>
                  </w:r>
                </w:p>
              </w:tc>
              <w:tc>
                <w:tcPr>
                  <w:tcW w:w="650" w:type="pct"/>
                  <w:vAlign w:val="center"/>
                </w:tcPr>
                <w:p w14:paraId="13208236">
                  <w:pPr>
                    <w:spacing w:line="276" w:lineRule="auto"/>
                    <w:jc w:val="center"/>
                    <w:rPr>
                      <w:color w:val="auto"/>
                      <w:szCs w:val="21"/>
                    </w:rPr>
                  </w:pPr>
                  <w:r>
                    <w:rPr>
                      <w:color w:val="auto"/>
                      <w:szCs w:val="21"/>
                    </w:rPr>
                    <w:t>达标</w:t>
                  </w:r>
                </w:p>
              </w:tc>
            </w:tr>
            <w:tr w14:paraId="15A4ECA1">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jc w:val="center"/>
              </w:trPr>
              <w:tc>
                <w:tcPr>
                  <w:tcW w:w="594" w:type="pct"/>
                  <w:vAlign w:val="center"/>
                </w:tcPr>
                <w:p w14:paraId="2221D915">
                  <w:pPr>
                    <w:pStyle w:val="10"/>
                    <w:spacing w:after="0" w:line="276" w:lineRule="auto"/>
                    <w:ind w:left="0" w:leftChars="0"/>
                    <w:jc w:val="center"/>
                    <w:rPr>
                      <w:color w:val="auto"/>
                      <w:szCs w:val="21"/>
                    </w:rPr>
                  </w:pPr>
                  <w:r>
                    <w:rPr>
                      <w:rFonts w:hint="eastAsia"/>
                      <w:color w:val="auto"/>
                      <w:szCs w:val="21"/>
                    </w:rPr>
                    <w:t>小东岗</w:t>
                  </w:r>
                </w:p>
              </w:tc>
              <w:tc>
                <w:tcPr>
                  <w:tcW w:w="507" w:type="pct"/>
                  <w:vAlign w:val="center"/>
                </w:tcPr>
                <w:p w14:paraId="2E1A9EEE">
                  <w:pPr>
                    <w:spacing w:line="276" w:lineRule="auto"/>
                    <w:jc w:val="center"/>
                    <w:rPr>
                      <w:color w:val="auto"/>
                      <w:szCs w:val="21"/>
                    </w:rPr>
                  </w:pPr>
                  <w:r>
                    <w:rPr>
                      <w:rFonts w:hint="eastAsia"/>
                      <w:color w:val="auto"/>
                      <w:szCs w:val="21"/>
                    </w:rPr>
                    <w:t>51.8</w:t>
                  </w:r>
                </w:p>
              </w:tc>
              <w:tc>
                <w:tcPr>
                  <w:tcW w:w="649" w:type="pct"/>
                  <w:vAlign w:val="center"/>
                </w:tcPr>
                <w:p w14:paraId="5087B9A4">
                  <w:pPr>
                    <w:spacing w:line="276" w:lineRule="auto"/>
                    <w:jc w:val="center"/>
                    <w:rPr>
                      <w:color w:val="auto"/>
                      <w:szCs w:val="21"/>
                    </w:rPr>
                  </w:pPr>
                  <w:r>
                    <w:rPr>
                      <w:rFonts w:hint="eastAsia"/>
                      <w:color w:val="auto"/>
                      <w:szCs w:val="21"/>
                    </w:rPr>
                    <w:t>40.7</w:t>
                  </w:r>
                </w:p>
              </w:tc>
              <w:tc>
                <w:tcPr>
                  <w:tcW w:w="649" w:type="pct"/>
                  <w:vAlign w:val="center"/>
                </w:tcPr>
                <w:p w14:paraId="7A6C55E7">
                  <w:pPr>
                    <w:spacing w:line="276" w:lineRule="auto"/>
                    <w:jc w:val="center"/>
                    <w:rPr>
                      <w:color w:val="auto"/>
                      <w:szCs w:val="21"/>
                    </w:rPr>
                  </w:pPr>
                  <w:r>
                    <w:rPr>
                      <w:rFonts w:hint="eastAsia"/>
                      <w:color w:val="auto"/>
                      <w:szCs w:val="21"/>
                    </w:rPr>
                    <w:t>39.8</w:t>
                  </w:r>
                </w:p>
              </w:tc>
              <w:tc>
                <w:tcPr>
                  <w:tcW w:w="650" w:type="pct"/>
                  <w:vAlign w:val="center"/>
                </w:tcPr>
                <w:p w14:paraId="2FB8F5EF">
                  <w:pPr>
                    <w:spacing w:line="276" w:lineRule="auto"/>
                    <w:jc w:val="center"/>
                    <w:rPr>
                      <w:color w:val="auto"/>
                      <w:szCs w:val="21"/>
                    </w:rPr>
                  </w:pPr>
                  <w:r>
                    <w:rPr>
                      <w:rFonts w:hint="eastAsia"/>
                      <w:color w:val="auto"/>
                      <w:szCs w:val="21"/>
                    </w:rPr>
                    <w:t>39.8</w:t>
                  </w:r>
                </w:p>
              </w:tc>
              <w:tc>
                <w:tcPr>
                  <w:tcW w:w="650" w:type="pct"/>
                  <w:vAlign w:val="center"/>
                </w:tcPr>
                <w:p w14:paraId="1E093D65">
                  <w:pPr>
                    <w:spacing w:line="276" w:lineRule="auto"/>
                    <w:jc w:val="center"/>
                    <w:rPr>
                      <w:color w:val="auto"/>
                      <w:szCs w:val="21"/>
                    </w:rPr>
                  </w:pPr>
                  <w:r>
                    <w:rPr>
                      <w:rFonts w:hint="eastAsia"/>
                      <w:color w:val="auto"/>
                      <w:szCs w:val="21"/>
                    </w:rPr>
                    <w:t>52.1</w:t>
                  </w:r>
                </w:p>
              </w:tc>
              <w:tc>
                <w:tcPr>
                  <w:tcW w:w="650" w:type="pct"/>
                  <w:vAlign w:val="center"/>
                </w:tcPr>
                <w:p w14:paraId="1FF626D3">
                  <w:pPr>
                    <w:spacing w:line="276" w:lineRule="auto"/>
                    <w:jc w:val="center"/>
                    <w:rPr>
                      <w:color w:val="auto"/>
                      <w:szCs w:val="21"/>
                    </w:rPr>
                  </w:pPr>
                  <w:r>
                    <w:rPr>
                      <w:rFonts w:hint="eastAsia"/>
                      <w:color w:val="auto"/>
                      <w:szCs w:val="21"/>
                    </w:rPr>
                    <w:t>43.3</w:t>
                  </w:r>
                </w:p>
              </w:tc>
              <w:tc>
                <w:tcPr>
                  <w:tcW w:w="650" w:type="pct"/>
                  <w:vAlign w:val="center"/>
                </w:tcPr>
                <w:p w14:paraId="055CD289">
                  <w:pPr>
                    <w:spacing w:line="276" w:lineRule="auto"/>
                    <w:jc w:val="center"/>
                    <w:rPr>
                      <w:color w:val="auto"/>
                      <w:szCs w:val="21"/>
                    </w:rPr>
                  </w:pPr>
                  <w:r>
                    <w:rPr>
                      <w:color w:val="auto"/>
                      <w:szCs w:val="21"/>
                    </w:rPr>
                    <w:t>达标</w:t>
                  </w:r>
                </w:p>
              </w:tc>
            </w:tr>
            <w:tr w14:paraId="7D22768F">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jc w:val="center"/>
              </w:trPr>
              <w:tc>
                <w:tcPr>
                  <w:tcW w:w="594" w:type="pct"/>
                  <w:vAlign w:val="center"/>
                </w:tcPr>
                <w:p w14:paraId="22808FCB">
                  <w:pPr>
                    <w:pStyle w:val="10"/>
                    <w:spacing w:after="0" w:line="276" w:lineRule="auto"/>
                    <w:ind w:left="0" w:leftChars="0"/>
                    <w:jc w:val="center"/>
                    <w:rPr>
                      <w:color w:val="auto"/>
                      <w:szCs w:val="21"/>
                    </w:rPr>
                  </w:pPr>
                  <w:r>
                    <w:rPr>
                      <w:rFonts w:hint="eastAsia"/>
                      <w:color w:val="auto"/>
                      <w:szCs w:val="21"/>
                    </w:rPr>
                    <w:t>散户1</w:t>
                  </w:r>
                </w:p>
              </w:tc>
              <w:tc>
                <w:tcPr>
                  <w:tcW w:w="507" w:type="pct"/>
                  <w:vAlign w:val="center"/>
                </w:tcPr>
                <w:p w14:paraId="4468A74C">
                  <w:pPr>
                    <w:spacing w:line="276" w:lineRule="auto"/>
                    <w:jc w:val="center"/>
                    <w:rPr>
                      <w:color w:val="auto"/>
                      <w:szCs w:val="21"/>
                    </w:rPr>
                  </w:pPr>
                  <w:r>
                    <w:rPr>
                      <w:rFonts w:hint="eastAsia"/>
                      <w:color w:val="auto"/>
                      <w:szCs w:val="21"/>
                    </w:rPr>
                    <w:t>52.1</w:t>
                  </w:r>
                </w:p>
              </w:tc>
              <w:tc>
                <w:tcPr>
                  <w:tcW w:w="649" w:type="pct"/>
                  <w:vAlign w:val="center"/>
                </w:tcPr>
                <w:p w14:paraId="076061CF">
                  <w:pPr>
                    <w:spacing w:line="276" w:lineRule="auto"/>
                    <w:jc w:val="center"/>
                    <w:rPr>
                      <w:color w:val="auto"/>
                      <w:szCs w:val="21"/>
                    </w:rPr>
                  </w:pPr>
                  <w:r>
                    <w:rPr>
                      <w:rFonts w:hint="eastAsia"/>
                      <w:color w:val="auto"/>
                      <w:szCs w:val="21"/>
                    </w:rPr>
                    <w:t>44.2</w:t>
                  </w:r>
                </w:p>
              </w:tc>
              <w:tc>
                <w:tcPr>
                  <w:tcW w:w="649" w:type="pct"/>
                  <w:vAlign w:val="center"/>
                </w:tcPr>
                <w:p w14:paraId="54A716C9">
                  <w:pPr>
                    <w:spacing w:line="276" w:lineRule="auto"/>
                    <w:jc w:val="center"/>
                    <w:rPr>
                      <w:color w:val="auto"/>
                      <w:szCs w:val="21"/>
                    </w:rPr>
                  </w:pPr>
                  <w:r>
                    <w:rPr>
                      <w:rFonts w:hint="eastAsia"/>
                      <w:color w:val="auto"/>
                      <w:szCs w:val="21"/>
                    </w:rPr>
                    <w:t>39.5</w:t>
                  </w:r>
                </w:p>
              </w:tc>
              <w:tc>
                <w:tcPr>
                  <w:tcW w:w="650" w:type="pct"/>
                  <w:vAlign w:val="center"/>
                </w:tcPr>
                <w:p w14:paraId="09462172">
                  <w:pPr>
                    <w:spacing w:line="276" w:lineRule="auto"/>
                    <w:jc w:val="center"/>
                    <w:rPr>
                      <w:color w:val="auto"/>
                      <w:szCs w:val="21"/>
                    </w:rPr>
                  </w:pPr>
                  <w:r>
                    <w:rPr>
                      <w:rFonts w:hint="eastAsia"/>
                      <w:color w:val="auto"/>
                      <w:szCs w:val="21"/>
                    </w:rPr>
                    <w:t>39.5</w:t>
                  </w:r>
                </w:p>
              </w:tc>
              <w:tc>
                <w:tcPr>
                  <w:tcW w:w="650" w:type="pct"/>
                  <w:vAlign w:val="center"/>
                </w:tcPr>
                <w:p w14:paraId="2A8D4D71">
                  <w:pPr>
                    <w:spacing w:line="276" w:lineRule="auto"/>
                    <w:jc w:val="center"/>
                    <w:rPr>
                      <w:color w:val="auto"/>
                      <w:szCs w:val="21"/>
                    </w:rPr>
                  </w:pPr>
                  <w:r>
                    <w:rPr>
                      <w:rFonts w:hint="eastAsia"/>
                      <w:color w:val="auto"/>
                      <w:szCs w:val="21"/>
                    </w:rPr>
                    <w:t>52.3</w:t>
                  </w:r>
                </w:p>
              </w:tc>
              <w:tc>
                <w:tcPr>
                  <w:tcW w:w="650" w:type="pct"/>
                  <w:vAlign w:val="center"/>
                </w:tcPr>
                <w:p w14:paraId="6C509B5B">
                  <w:pPr>
                    <w:spacing w:line="276" w:lineRule="auto"/>
                    <w:jc w:val="center"/>
                    <w:rPr>
                      <w:color w:val="auto"/>
                      <w:szCs w:val="21"/>
                    </w:rPr>
                  </w:pPr>
                  <w:r>
                    <w:rPr>
                      <w:rFonts w:hint="eastAsia"/>
                      <w:color w:val="auto"/>
                      <w:szCs w:val="21"/>
                    </w:rPr>
                    <w:t>45.5</w:t>
                  </w:r>
                </w:p>
              </w:tc>
              <w:tc>
                <w:tcPr>
                  <w:tcW w:w="650" w:type="pct"/>
                  <w:vAlign w:val="center"/>
                </w:tcPr>
                <w:p w14:paraId="303276BB">
                  <w:pPr>
                    <w:spacing w:line="276" w:lineRule="auto"/>
                    <w:jc w:val="center"/>
                    <w:rPr>
                      <w:color w:val="auto"/>
                      <w:szCs w:val="21"/>
                    </w:rPr>
                  </w:pPr>
                  <w:r>
                    <w:rPr>
                      <w:color w:val="auto"/>
                      <w:szCs w:val="21"/>
                    </w:rPr>
                    <w:t>达标</w:t>
                  </w:r>
                </w:p>
              </w:tc>
            </w:tr>
            <w:tr w14:paraId="5174787F">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jc w:val="center"/>
              </w:trPr>
              <w:tc>
                <w:tcPr>
                  <w:tcW w:w="594" w:type="pct"/>
                  <w:vAlign w:val="center"/>
                </w:tcPr>
                <w:p w14:paraId="00235B5C">
                  <w:pPr>
                    <w:pStyle w:val="10"/>
                    <w:spacing w:after="0" w:line="276" w:lineRule="auto"/>
                    <w:ind w:left="0" w:leftChars="0"/>
                    <w:jc w:val="center"/>
                    <w:rPr>
                      <w:color w:val="auto"/>
                      <w:szCs w:val="21"/>
                    </w:rPr>
                  </w:pPr>
                  <w:r>
                    <w:rPr>
                      <w:rFonts w:hint="eastAsia"/>
                      <w:color w:val="auto"/>
                      <w:szCs w:val="21"/>
                    </w:rPr>
                    <w:t>散户2</w:t>
                  </w:r>
                </w:p>
              </w:tc>
              <w:tc>
                <w:tcPr>
                  <w:tcW w:w="507" w:type="pct"/>
                  <w:vAlign w:val="center"/>
                </w:tcPr>
                <w:p w14:paraId="19BAF558">
                  <w:pPr>
                    <w:spacing w:line="276" w:lineRule="auto"/>
                    <w:jc w:val="center"/>
                    <w:rPr>
                      <w:color w:val="auto"/>
                      <w:szCs w:val="21"/>
                    </w:rPr>
                  </w:pPr>
                  <w:r>
                    <w:rPr>
                      <w:rFonts w:hint="eastAsia"/>
                      <w:color w:val="auto"/>
                      <w:szCs w:val="21"/>
                    </w:rPr>
                    <w:t>54.3</w:t>
                  </w:r>
                </w:p>
              </w:tc>
              <w:tc>
                <w:tcPr>
                  <w:tcW w:w="649" w:type="pct"/>
                  <w:vAlign w:val="center"/>
                </w:tcPr>
                <w:p w14:paraId="77BB541C">
                  <w:pPr>
                    <w:spacing w:line="276" w:lineRule="auto"/>
                    <w:jc w:val="center"/>
                    <w:rPr>
                      <w:color w:val="auto"/>
                      <w:szCs w:val="21"/>
                    </w:rPr>
                  </w:pPr>
                  <w:r>
                    <w:rPr>
                      <w:rFonts w:hint="eastAsia"/>
                      <w:color w:val="auto"/>
                      <w:szCs w:val="21"/>
                    </w:rPr>
                    <w:t>44.3</w:t>
                  </w:r>
                </w:p>
              </w:tc>
              <w:tc>
                <w:tcPr>
                  <w:tcW w:w="649" w:type="pct"/>
                  <w:vAlign w:val="center"/>
                </w:tcPr>
                <w:p w14:paraId="3F143877">
                  <w:pPr>
                    <w:spacing w:line="276" w:lineRule="auto"/>
                    <w:jc w:val="center"/>
                    <w:rPr>
                      <w:color w:val="auto"/>
                      <w:szCs w:val="21"/>
                    </w:rPr>
                  </w:pPr>
                  <w:r>
                    <w:rPr>
                      <w:rFonts w:hint="eastAsia"/>
                      <w:color w:val="auto"/>
                      <w:szCs w:val="21"/>
                    </w:rPr>
                    <w:t>42.9</w:t>
                  </w:r>
                </w:p>
              </w:tc>
              <w:tc>
                <w:tcPr>
                  <w:tcW w:w="650" w:type="pct"/>
                  <w:vAlign w:val="center"/>
                </w:tcPr>
                <w:p w14:paraId="6305D51D">
                  <w:pPr>
                    <w:spacing w:line="276" w:lineRule="auto"/>
                    <w:jc w:val="center"/>
                    <w:rPr>
                      <w:color w:val="auto"/>
                      <w:szCs w:val="21"/>
                    </w:rPr>
                  </w:pPr>
                  <w:r>
                    <w:rPr>
                      <w:rFonts w:hint="eastAsia"/>
                      <w:color w:val="auto"/>
                      <w:szCs w:val="21"/>
                    </w:rPr>
                    <w:t>42.9</w:t>
                  </w:r>
                </w:p>
              </w:tc>
              <w:tc>
                <w:tcPr>
                  <w:tcW w:w="650" w:type="pct"/>
                  <w:vAlign w:val="center"/>
                </w:tcPr>
                <w:p w14:paraId="0D3AB00A">
                  <w:pPr>
                    <w:spacing w:line="276" w:lineRule="auto"/>
                    <w:jc w:val="center"/>
                    <w:rPr>
                      <w:color w:val="auto"/>
                      <w:szCs w:val="21"/>
                    </w:rPr>
                  </w:pPr>
                  <w:r>
                    <w:rPr>
                      <w:rFonts w:hint="eastAsia"/>
                      <w:color w:val="auto"/>
                      <w:szCs w:val="21"/>
                    </w:rPr>
                    <w:t>54.6</w:t>
                  </w:r>
                </w:p>
              </w:tc>
              <w:tc>
                <w:tcPr>
                  <w:tcW w:w="650" w:type="pct"/>
                  <w:vAlign w:val="center"/>
                </w:tcPr>
                <w:p w14:paraId="2E858457">
                  <w:pPr>
                    <w:spacing w:line="276" w:lineRule="auto"/>
                    <w:jc w:val="center"/>
                    <w:rPr>
                      <w:color w:val="auto"/>
                      <w:szCs w:val="21"/>
                    </w:rPr>
                  </w:pPr>
                  <w:r>
                    <w:rPr>
                      <w:rFonts w:hint="eastAsia"/>
                      <w:color w:val="auto"/>
                      <w:szCs w:val="21"/>
                    </w:rPr>
                    <w:t>46.7</w:t>
                  </w:r>
                </w:p>
              </w:tc>
              <w:tc>
                <w:tcPr>
                  <w:tcW w:w="650" w:type="pct"/>
                  <w:vAlign w:val="center"/>
                </w:tcPr>
                <w:p w14:paraId="43DAC77B">
                  <w:pPr>
                    <w:spacing w:line="276" w:lineRule="auto"/>
                    <w:jc w:val="center"/>
                    <w:rPr>
                      <w:color w:val="auto"/>
                      <w:szCs w:val="21"/>
                    </w:rPr>
                  </w:pPr>
                  <w:r>
                    <w:rPr>
                      <w:color w:val="auto"/>
                      <w:szCs w:val="21"/>
                    </w:rPr>
                    <w:t>达标</w:t>
                  </w:r>
                </w:p>
              </w:tc>
            </w:tr>
          </w:tbl>
          <w:p w14:paraId="3D34C1D4">
            <w:pPr>
              <w:spacing w:line="360" w:lineRule="auto"/>
              <w:ind w:firstLine="480" w:firstLineChars="200"/>
              <w:rPr>
                <w:color w:val="auto"/>
                <w:sz w:val="24"/>
              </w:rPr>
            </w:pPr>
            <w:r>
              <w:rPr>
                <w:rFonts w:hint="eastAsia"/>
                <w:color w:val="auto"/>
                <w:sz w:val="24"/>
                <w:szCs w:val="28"/>
              </w:rPr>
              <w:t>根据预测结果可知，项目东、南厂界昼、夜间噪声能够达到《声环境质量标准》（GB3096-2008）中3类标准（昼间：65</w:t>
            </w:r>
            <w:r>
              <w:rPr>
                <w:color w:val="auto"/>
                <w:sz w:val="24"/>
                <w:szCs w:val="28"/>
              </w:rPr>
              <w:t>d</w:t>
            </w:r>
            <w:r>
              <w:rPr>
                <w:rFonts w:hint="eastAsia"/>
                <w:color w:val="auto"/>
                <w:sz w:val="24"/>
                <w:szCs w:val="28"/>
              </w:rPr>
              <w:t>B（A）、夜间：55</w:t>
            </w:r>
            <w:r>
              <w:rPr>
                <w:color w:val="auto"/>
                <w:sz w:val="24"/>
                <w:szCs w:val="28"/>
              </w:rPr>
              <w:t>d</w:t>
            </w:r>
            <w:r>
              <w:rPr>
                <w:rFonts w:hint="eastAsia"/>
                <w:color w:val="auto"/>
                <w:sz w:val="24"/>
                <w:szCs w:val="28"/>
              </w:rPr>
              <w:t>B（A））；项目西、北厂界及周边50m范围内声环境保护目标昼、夜间噪声均能够达到《声环境质量标准》（GB3096-2008）中2类标准（昼间：60</w:t>
            </w:r>
            <w:r>
              <w:rPr>
                <w:color w:val="auto"/>
                <w:sz w:val="24"/>
                <w:szCs w:val="28"/>
              </w:rPr>
              <w:t>d</w:t>
            </w:r>
            <w:r>
              <w:rPr>
                <w:rFonts w:hint="eastAsia"/>
                <w:color w:val="auto"/>
                <w:sz w:val="24"/>
                <w:szCs w:val="28"/>
              </w:rPr>
              <w:t>B（A）、夜间：50</w:t>
            </w:r>
            <w:r>
              <w:rPr>
                <w:color w:val="auto"/>
                <w:sz w:val="24"/>
                <w:szCs w:val="28"/>
              </w:rPr>
              <w:t>d</w:t>
            </w:r>
            <w:r>
              <w:rPr>
                <w:rFonts w:hint="eastAsia"/>
                <w:color w:val="auto"/>
                <w:sz w:val="24"/>
                <w:szCs w:val="28"/>
              </w:rPr>
              <w:t>B（A）），对周边环境影响较小。</w:t>
            </w:r>
          </w:p>
          <w:p w14:paraId="02672E2D">
            <w:pPr>
              <w:spacing w:line="360" w:lineRule="auto"/>
              <w:ind w:firstLine="482" w:firstLineChars="200"/>
              <w:rPr>
                <w:b/>
                <w:color w:val="auto"/>
                <w:sz w:val="24"/>
                <w:szCs w:val="28"/>
              </w:rPr>
            </w:pPr>
            <w:r>
              <w:rPr>
                <w:rFonts w:hint="eastAsia"/>
                <w:b/>
                <w:color w:val="auto"/>
                <w:sz w:val="24"/>
                <w:szCs w:val="28"/>
              </w:rPr>
              <w:t>3、</w:t>
            </w:r>
            <w:r>
              <w:rPr>
                <w:rFonts w:hint="eastAsia"/>
                <w:b/>
                <w:bCs/>
                <w:color w:val="auto"/>
                <w:sz w:val="24"/>
              </w:rPr>
              <w:t>噪声污染防治措施</w:t>
            </w:r>
          </w:p>
          <w:p w14:paraId="67728802">
            <w:pPr>
              <w:widowControl/>
              <w:spacing w:line="360" w:lineRule="auto"/>
              <w:ind w:firstLine="480" w:firstLineChars="200"/>
              <w:rPr>
                <w:color w:val="auto"/>
              </w:rPr>
            </w:pPr>
            <w:r>
              <w:rPr>
                <w:rFonts w:hint="eastAsia" w:ascii="宋体" w:hAnsi="宋体" w:cs="宋体"/>
                <w:color w:val="auto"/>
                <w:kern w:val="0"/>
                <w:sz w:val="24"/>
              </w:rPr>
              <w:t>为尽可能降低噪声对周围环境的影响，建议采取如下防治措施：</w:t>
            </w:r>
          </w:p>
          <w:p w14:paraId="73837818">
            <w:pPr>
              <w:widowControl/>
              <w:spacing w:line="360" w:lineRule="auto"/>
              <w:ind w:firstLine="480" w:firstLineChars="200"/>
              <w:rPr>
                <w:color w:val="auto"/>
              </w:rPr>
            </w:pPr>
            <w:r>
              <w:rPr>
                <w:rFonts w:hint="eastAsia" w:ascii="宋体" w:hAnsi="宋体" w:cs="宋体"/>
                <w:color w:val="auto"/>
                <w:kern w:val="0"/>
                <w:sz w:val="24"/>
              </w:rPr>
              <w:t>（</w:t>
            </w:r>
            <w:r>
              <w:rPr>
                <w:color w:val="auto"/>
                <w:kern w:val="0"/>
                <w:sz w:val="24"/>
              </w:rPr>
              <w:t>1</w:t>
            </w:r>
            <w:r>
              <w:rPr>
                <w:rFonts w:hint="eastAsia" w:ascii="宋体" w:hAnsi="宋体" w:cs="宋体"/>
                <w:color w:val="auto"/>
                <w:kern w:val="0"/>
                <w:sz w:val="24"/>
              </w:rPr>
              <w:t>）从声源上降低噪声是最积极的措施，设备选型考虑尽可能采用低噪声设备，高噪声设备底部应安装减振基础；</w:t>
            </w:r>
          </w:p>
          <w:p w14:paraId="68A94950">
            <w:pPr>
              <w:widowControl/>
              <w:spacing w:line="360" w:lineRule="auto"/>
              <w:ind w:firstLine="480" w:firstLineChars="200"/>
              <w:rPr>
                <w:color w:val="auto"/>
              </w:rPr>
            </w:pPr>
            <w:r>
              <w:rPr>
                <w:rFonts w:hint="eastAsia" w:ascii="宋体" w:hAnsi="宋体" w:cs="宋体"/>
                <w:color w:val="auto"/>
                <w:kern w:val="0"/>
                <w:sz w:val="24"/>
              </w:rPr>
              <w:t>（</w:t>
            </w:r>
            <w:r>
              <w:rPr>
                <w:color w:val="auto"/>
                <w:kern w:val="0"/>
                <w:sz w:val="24"/>
              </w:rPr>
              <w:t>2</w:t>
            </w:r>
            <w:r>
              <w:rPr>
                <w:rFonts w:hint="eastAsia" w:ascii="宋体" w:hAnsi="宋体" w:cs="宋体"/>
                <w:color w:val="auto"/>
                <w:kern w:val="0"/>
                <w:sz w:val="24"/>
              </w:rPr>
              <w:t>）定期检查、维修设备，使设备处于良好的运行状态，防止机械噪声的升高；</w:t>
            </w:r>
          </w:p>
          <w:p w14:paraId="38B636CD">
            <w:pPr>
              <w:widowControl/>
              <w:spacing w:line="360" w:lineRule="auto"/>
              <w:ind w:firstLine="480" w:firstLineChars="200"/>
              <w:rPr>
                <w:color w:val="auto"/>
              </w:rPr>
            </w:pPr>
            <w:r>
              <w:rPr>
                <w:rFonts w:hint="eastAsia" w:ascii="宋体" w:hAnsi="宋体" w:cs="宋体"/>
                <w:color w:val="auto"/>
                <w:kern w:val="0"/>
                <w:sz w:val="24"/>
              </w:rPr>
              <w:t>（</w:t>
            </w:r>
            <w:r>
              <w:rPr>
                <w:color w:val="auto"/>
                <w:kern w:val="0"/>
                <w:sz w:val="24"/>
              </w:rPr>
              <w:t>3</w:t>
            </w:r>
            <w:r>
              <w:rPr>
                <w:rFonts w:hint="eastAsia" w:ascii="宋体" w:hAnsi="宋体" w:cs="宋体"/>
                <w:color w:val="auto"/>
                <w:kern w:val="0"/>
                <w:sz w:val="24"/>
              </w:rPr>
              <w:t>）合理布局，高噪声的生产设备均置于生产车间内，远离厂界，减少噪声对外界环境的影响。</w:t>
            </w:r>
          </w:p>
          <w:p w14:paraId="570ED05A">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r>
              <w:rPr>
                <w:color w:val="auto"/>
                <w:kern w:val="0"/>
                <w:sz w:val="24"/>
              </w:rPr>
              <w:t>4</w:t>
            </w:r>
            <w:r>
              <w:rPr>
                <w:rFonts w:hint="eastAsia" w:ascii="宋体" w:hAnsi="宋体" w:cs="宋体"/>
                <w:color w:val="auto"/>
                <w:kern w:val="0"/>
                <w:sz w:val="24"/>
              </w:rPr>
              <w:t xml:space="preserve">）加强设备维护，确保设备处于良好运转状态，杜绝因设备不正常运转时产生的高噪声现象。 </w:t>
            </w:r>
          </w:p>
          <w:p w14:paraId="29622DDD">
            <w:pPr>
              <w:spacing w:line="360" w:lineRule="auto"/>
              <w:ind w:firstLine="480" w:firstLineChars="200"/>
              <w:rPr>
                <w:bCs/>
                <w:color w:val="auto"/>
                <w:spacing w:val="6"/>
                <w:sz w:val="24"/>
              </w:rPr>
            </w:pPr>
            <w:r>
              <w:rPr>
                <w:rFonts w:hint="eastAsia" w:ascii="宋体" w:hAnsi="宋体" w:cs="宋体"/>
                <w:color w:val="auto"/>
                <w:kern w:val="0"/>
                <w:sz w:val="24"/>
              </w:rPr>
              <w:t>（</w:t>
            </w:r>
            <w:r>
              <w:rPr>
                <w:color w:val="auto"/>
                <w:kern w:val="0"/>
                <w:sz w:val="24"/>
              </w:rPr>
              <w:t>5</w:t>
            </w:r>
            <w:r>
              <w:rPr>
                <w:rFonts w:hint="eastAsia" w:ascii="宋体" w:hAnsi="宋体" w:cs="宋体"/>
                <w:color w:val="auto"/>
                <w:kern w:val="0"/>
                <w:sz w:val="24"/>
              </w:rPr>
              <w:t>）生产厂房设置隔声墙、隔声窗，</w:t>
            </w:r>
            <w:r>
              <w:rPr>
                <w:rFonts w:hint="eastAsia"/>
                <w:bCs/>
                <w:color w:val="auto"/>
                <w:spacing w:val="6"/>
                <w:sz w:val="24"/>
              </w:rPr>
              <w:t>可将设备运行噪声对周边影响降到最低。</w:t>
            </w:r>
          </w:p>
          <w:p w14:paraId="0FF935A7">
            <w:pPr>
              <w:spacing w:line="360" w:lineRule="auto"/>
              <w:ind w:firstLine="504" w:firstLineChars="200"/>
              <w:rPr>
                <w:bCs/>
                <w:color w:val="auto"/>
                <w:spacing w:val="6"/>
                <w:sz w:val="24"/>
              </w:rPr>
            </w:pPr>
            <w:r>
              <w:rPr>
                <w:rFonts w:hint="eastAsia"/>
                <w:bCs/>
                <w:color w:val="auto"/>
                <w:spacing w:val="6"/>
                <w:sz w:val="24"/>
              </w:rPr>
              <w:t>（6）针对大噪声风机应设置隔音罩。</w:t>
            </w:r>
          </w:p>
          <w:p w14:paraId="2390D0E1">
            <w:pPr>
              <w:spacing w:line="360" w:lineRule="auto"/>
              <w:ind w:firstLine="482" w:firstLineChars="200"/>
              <w:rPr>
                <w:b/>
                <w:color w:val="auto"/>
                <w:sz w:val="24"/>
              </w:rPr>
            </w:pPr>
            <w:r>
              <w:rPr>
                <w:rFonts w:hint="eastAsia"/>
                <w:b/>
                <w:color w:val="auto"/>
                <w:sz w:val="24"/>
              </w:rPr>
              <w:t>4、环境监测计划</w:t>
            </w:r>
          </w:p>
          <w:p w14:paraId="523268EA">
            <w:pPr>
              <w:spacing w:line="360" w:lineRule="auto"/>
              <w:ind w:firstLine="480" w:firstLineChars="200"/>
              <w:rPr>
                <w:color w:val="auto"/>
                <w:sz w:val="24"/>
              </w:rPr>
            </w:pPr>
            <w:r>
              <w:rPr>
                <w:rFonts w:hint="eastAsia"/>
                <w:color w:val="auto"/>
                <w:sz w:val="24"/>
              </w:rPr>
              <w:t>项目噪声监测频次参照《排污单位自行监测技术指南</w:t>
            </w:r>
            <w:r>
              <w:rPr>
                <w:color w:val="auto"/>
                <w:sz w:val="24"/>
              </w:rPr>
              <w:t xml:space="preserve"> </w:t>
            </w:r>
            <w:r>
              <w:rPr>
                <w:rFonts w:hint="eastAsia"/>
                <w:color w:val="auto"/>
                <w:sz w:val="24"/>
              </w:rPr>
              <w:t>总则》（</w:t>
            </w:r>
            <w:r>
              <w:rPr>
                <w:color w:val="auto"/>
                <w:sz w:val="24"/>
              </w:rPr>
              <w:t>HJ819-2017</w:t>
            </w:r>
            <w:r>
              <w:rPr>
                <w:rFonts w:hint="eastAsia"/>
                <w:color w:val="auto"/>
                <w:sz w:val="24"/>
              </w:rPr>
              <w:t>）、《排污许可证申请与核发技术规范 工业噪声》（H</w:t>
            </w:r>
            <w:r>
              <w:rPr>
                <w:color w:val="auto"/>
                <w:sz w:val="24"/>
              </w:rPr>
              <w:t>J1301-2023</w:t>
            </w:r>
            <w:r>
              <w:rPr>
                <w:rFonts w:hint="eastAsia"/>
                <w:color w:val="auto"/>
                <w:sz w:val="24"/>
              </w:rPr>
              <w:t>）中规定执行。</w:t>
            </w:r>
          </w:p>
          <w:p w14:paraId="06799350">
            <w:pPr>
              <w:spacing w:line="360" w:lineRule="auto"/>
              <w:jc w:val="center"/>
              <w:rPr>
                <w:rFonts w:eastAsia="黑体"/>
                <w:color w:val="auto"/>
                <w:sz w:val="24"/>
              </w:rPr>
            </w:pPr>
            <w:r>
              <w:rPr>
                <w:rFonts w:hint="eastAsia" w:hAnsi="黑体" w:eastAsia="黑体"/>
                <w:color w:val="auto"/>
                <w:sz w:val="24"/>
                <w:szCs w:val="24"/>
              </w:rPr>
              <w:t>表48</w:t>
            </w:r>
            <w:r>
              <w:rPr>
                <w:rFonts w:hAnsi="黑体" w:eastAsia="黑体"/>
                <w:color w:val="auto"/>
                <w:sz w:val="24"/>
                <w:szCs w:val="24"/>
              </w:rPr>
              <w:t xml:space="preserve">  </w:t>
            </w:r>
            <w:r>
              <w:rPr>
                <w:rFonts w:hint="eastAsia" w:hAnsi="黑体" w:eastAsia="黑体"/>
                <w:color w:val="auto"/>
                <w:sz w:val="24"/>
                <w:szCs w:val="24"/>
              </w:rPr>
              <w:t>污染源监测计划表</w:t>
            </w:r>
          </w:p>
          <w:tbl>
            <w:tblPr>
              <w:tblStyle w:val="3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2339"/>
              <w:gridCol w:w="1733"/>
              <w:gridCol w:w="2037"/>
            </w:tblGrid>
            <w:tr w14:paraId="4B2196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50" w:type="pct"/>
                  <w:tcBorders>
                    <w:top w:val="single" w:color="auto" w:sz="12" w:space="0"/>
                    <w:left w:val="nil"/>
                    <w:bottom w:val="single" w:color="auto" w:sz="4" w:space="0"/>
                    <w:right w:val="single" w:color="auto" w:sz="4" w:space="0"/>
                  </w:tcBorders>
                  <w:vAlign w:val="center"/>
                </w:tcPr>
                <w:p w14:paraId="2017AB06">
                  <w:pPr>
                    <w:spacing w:line="276" w:lineRule="auto"/>
                    <w:jc w:val="center"/>
                    <w:rPr>
                      <w:b/>
                      <w:color w:val="auto"/>
                      <w:szCs w:val="21"/>
                    </w:rPr>
                  </w:pPr>
                  <w:r>
                    <w:rPr>
                      <w:rFonts w:hint="eastAsia" w:hAnsi="宋体"/>
                      <w:b/>
                      <w:color w:val="auto"/>
                      <w:szCs w:val="21"/>
                    </w:rPr>
                    <w:t>类型</w:t>
                  </w:r>
                </w:p>
              </w:tc>
              <w:tc>
                <w:tcPr>
                  <w:tcW w:w="1436" w:type="pct"/>
                  <w:tcBorders>
                    <w:top w:val="single" w:color="auto" w:sz="12" w:space="0"/>
                    <w:left w:val="single" w:color="auto" w:sz="4" w:space="0"/>
                    <w:bottom w:val="single" w:color="auto" w:sz="4" w:space="0"/>
                    <w:right w:val="single" w:color="auto" w:sz="4" w:space="0"/>
                  </w:tcBorders>
                  <w:vAlign w:val="center"/>
                </w:tcPr>
                <w:p w14:paraId="51FBFCB8">
                  <w:pPr>
                    <w:spacing w:line="276" w:lineRule="auto"/>
                    <w:jc w:val="center"/>
                    <w:rPr>
                      <w:b/>
                      <w:color w:val="auto"/>
                      <w:szCs w:val="21"/>
                    </w:rPr>
                  </w:pPr>
                  <w:r>
                    <w:rPr>
                      <w:rFonts w:hint="eastAsia" w:hAnsi="宋体"/>
                      <w:b/>
                      <w:color w:val="auto"/>
                      <w:szCs w:val="21"/>
                    </w:rPr>
                    <w:t>监测项目</w:t>
                  </w:r>
                </w:p>
              </w:tc>
              <w:tc>
                <w:tcPr>
                  <w:tcW w:w="1064" w:type="pct"/>
                  <w:tcBorders>
                    <w:top w:val="single" w:color="auto" w:sz="12" w:space="0"/>
                    <w:left w:val="single" w:color="auto" w:sz="4" w:space="0"/>
                    <w:bottom w:val="single" w:color="auto" w:sz="4" w:space="0"/>
                    <w:right w:val="single" w:color="auto" w:sz="4" w:space="0"/>
                  </w:tcBorders>
                  <w:vAlign w:val="center"/>
                </w:tcPr>
                <w:p w14:paraId="5925A4EC">
                  <w:pPr>
                    <w:spacing w:line="276" w:lineRule="auto"/>
                    <w:jc w:val="center"/>
                    <w:rPr>
                      <w:b/>
                      <w:color w:val="auto"/>
                      <w:szCs w:val="21"/>
                    </w:rPr>
                  </w:pPr>
                  <w:r>
                    <w:rPr>
                      <w:rFonts w:hint="eastAsia" w:hAnsi="宋体"/>
                      <w:b/>
                      <w:color w:val="auto"/>
                      <w:szCs w:val="21"/>
                    </w:rPr>
                    <w:t>监测点位</w:t>
                  </w:r>
                </w:p>
              </w:tc>
              <w:tc>
                <w:tcPr>
                  <w:tcW w:w="1250" w:type="pct"/>
                  <w:tcBorders>
                    <w:top w:val="single" w:color="auto" w:sz="12" w:space="0"/>
                    <w:left w:val="single" w:color="auto" w:sz="4" w:space="0"/>
                    <w:bottom w:val="single" w:color="auto" w:sz="4" w:space="0"/>
                    <w:right w:val="nil"/>
                  </w:tcBorders>
                  <w:vAlign w:val="center"/>
                </w:tcPr>
                <w:p w14:paraId="6BC243F7">
                  <w:pPr>
                    <w:spacing w:line="276" w:lineRule="auto"/>
                    <w:jc w:val="center"/>
                    <w:rPr>
                      <w:b/>
                      <w:color w:val="auto"/>
                      <w:szCs w:val="21"/>
                    </w:rPr>
                  </w:pPr>
                  <w:r>
                    <w:rPr>
                      <w:rFonts w:hint="eastAsia" w:hAnsi="宋体"/>
                      <w:b/>
                      <w:color w:val="auto"/>
                      <w:szCs w:val="21"/>
                    </w:rPr>
                    <w:t>监测频次</w:t>
                  </w:r>
                </w:p>
              </w:tc>
            </w:tr>
            <w:tr w14:paraId="55EB29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nil"/>
                    <w:bottom w:val="single" w:color="auto" w:sz="12" w:space="0"/>
                    <w:right w:val="single" w:color="auto" w:sz="4" w:space="0"/>
                  </w:tcBorders>
                  <w:vAlign w:val="center"/>
                </w:tcPr>
                <w:p w14:paraId="7A60A205">
                  <w:pPr>
                    <w:spacing w:line="276" w:lineRule="auto"/>
                    <w:jc w:val="center"/>
                    <w:rPr>
                      <w:color w:val="auto"/>
                      <w:szCs w:val="21"/>
                    </w:rPr>
                  </w:pPr>
                  <w:r>
                    <w:rPr>
                      <w:rFonts w:hint="eastAsia"/>
                      <w:color w:val="auto"/>
                      <w:szCs w:val="21"/>
                    </w:rPr>
                    <w:t>噪声</w:t>
                  </w:r>
                </w:p>
              </w:tc>
              <w:tc>
                <w:tcPr>
                  <w:tcW w:w="1436" w:type="pct"/>
                  <w:tcBorders>
                    <w:top w:val="single" w:color="auto" w:sz="4" w:space="0"/>
                    <w:left w:val="single" w:color="auto" w:sz="4" w:space="0"/>
                    <w:bottom w:val="single" w:color="auto" w:sz="12" w:space="0"/>
                    <w:right w:val="single" w:color="auto" w:sz="4" w:space="0"/>
                  </w:tcBorders>
                  <w:vAlign w:val="center"/>
                </w:tcPr>
                <w:p w14:paraId="240223DF">
                  <w:pPr>
                    <w:spacing w:line="276" w:lineRule="auto"/>
                    <w:jc w:val="center"/>
                    <w:rPr>
                      <w:color w:val="auto"/>
                      <w:szCs w:val="21"/>
                    </w:rPr>
                  </w:pPr>
                  <w:r>
                    <w:rPr>
                      <w:rFonts w:hint="eastAsia"/>
                      <w:color w:val="auto"/>
                      <w:szCs w:val="21"/>
                    </w:rPr>
                    <w:t>等效连续</w:t>
                  </w:r>
                  <w:r>
                    <w:rPr>
                      <w:color w:val="auto"/>
                      <w:szCs w:val="21"/>
                    </w:rPr>
                    <w:t>A</w:t>
                  </w:r>
                  <w:r>
                    <w:rPr>
                      <w:rFonts w:hint="eastAsia"/>
                      <w:color w:val="auto"/>
                      <w:szCs w:val="21"/>
                    </w:rPr>
                    <w:t>声级</w:t>
                  </w:r>
                </w:p>
              </w:tc>
              <w:tc>
                <w:tcPr>
                  <w:tcW w:w="1064" w:type="pct"/>
                  <w:tcBorders>
                    <w:top w:val="single" w:color="auto" w:sz="4" w:space="0"/>
                    <w:left w:val="single" w:color="auto" w:sz="4" w:space="0"/>
                    <w:bottom w:val="single" w:color="auto" w:sz="12" w:space="0"/>
                    <w:right w:val="single" w:color="auto" w:sz="4" w:space="0"/>
                  </w:tcBorders>
                  <w:vAlign w:val="center"/>
                </w:tcPr>
                <w:p w14:paraId="7218713E">
                  <w:pPr>
                    <w:spacing w:line="276" w:lineRule="auto"/>
                    <w:jc w:val="center"/>
                    <w:rPr>
                      <w:color w:val="auto"/>
                      <w:szCs w:val="21"/>
                    </w:rPr>
                  </w:pPr>
                  <w:r>
                    <w:rPr>
                      <w:rFonts w:hint="eastAsia"/>
                      <w:color w:val="auto"/>
                      <w:szCs w:val="21"/>
                    </w:rPr>
                    <w:t>厂界外</w:t>
                  </w:r>
                  <w:r>
                    <w:rPr>
                      <w:color w:val="auto"/>
                      <w:szCs w:val="21"/>
                    </w:rPr>
                    <w:t>1m</w:t>
                  </w:r>
                  <w:r>
                    <w:rPr>
                      <w:rFonts w:hint="eastAsia"/>
                      <w:color w:val="auto"/>
                      <w:szCs w:val="21"/>
                    </w:rPr>
                    <w:t>处</w:t>
                  </w:r>
                </w:p>
              </w:tc>
              <w:tc>
                <w:tcPr>
                  <w:tcW w:w="1250" w:type="pct"/>
                  <w:tcBorders>
                    <w:top w:val="single" w:color="auto" w:sz="4" w:space="0"/>
                    <w:left w:val="single" w:color="auto" w:sz="4" w:space="0"/>
                    <w:bottom w:val="single" w:color="auto" w:sz="12" w:space="0"/>
                    <w:right w:val="nil"/>
                  </w:tcBorders>
                  <w:vAlign w:val="center"/>
                </w:tcPr>
                <w:p w14:paraId="1FF7BAE1">
                  <w:pPr>
                    <w:spacing w:line="276" w:lineRule="auto"/>
                    <w:jc w:val="center"/>
                    <w:rPr>
                      <w:color w:val="auto"/>
                      <w:szCs w:val="21"/>
                    </w:rPr>
                  </w:pPr>
                  <w:r>
                    <w:rPr>
                      <w:color w:val="auto"/>
                      <w:szCs w:val="21"/>
                    </w:rPr>
                    <w:t>1</w:t>
                  </w:r>
                  <w:r>
                    <w:rPr>
                      <w:rFonts w:hint="eastAsia"/>
                      <w:color w:val="auto"/>
                      <w:szCs w:val="21"/>
                    </w:rPr>
                    <w:t>次</w:t>
                  </w:r>
                  <w:r>
                    <w:rPr>
                      <w:color w:val="auto"/>
                      <w:szCs w:val="21"/>
                    </w:rPr>
                    <w:t>/</w:t>
                  </w:r>
                  <w:r>
                    <w:rPr>
                      <w:rFonts w:hint="eastAsia"/>
                      <w:color w:val="auto"/>
                      <w:szCs w:val="21"/>
                    </w:rPr>
                    <w:t>季度</w:t>
                  </w:r>
                </w:p>
              </w:tc>
            </w:tr>
          </w:tbl>
          <w:p w14:paraId="0CA237A5">
            <w:pPr>
              <w:spacing w:line="360" w:lineRule="auto"/>
              <w:ind w:firstLine="482" w:firstLineChars="200"/>
              <w:jc w:val="left"/>
              <w:rPr>
                <w:b/>
                <w:snapToGrid w:val="0"/>
                <w:color w:val="auto"/>
                <w:kern w:val="0"/>
                <w:sz w:val="24"/>
              </w:rPr>
            </w:pPr>
            <w:r>
              <w:rPr>
                <w:rFonts w:hint="eastAsia"/>
                <w:b/>
                <w:snapToGrid w:val="0"/>
                <w:color w:val="auto"/>
                <w:kern w:val="0"/>
                <w:sz w:val="24"/>
              </w:rPr>
              <w:t>四、</w:t>
            </w:r>
            <w:r>
              <w:rPr>
                <w:rFonts w:hint="eastAsia" w:hAnsi="宋体"/>
                <w:b/>
                <w:snapToGrid w:val="0"/>
                <w:color w:val="auto"/>
                <w:kern w:val="0"/>
                <w:sz w:val="24"/>
              </w:rPr>
              <w:t>固废</w:t>
            </w:r>
            <w:r>
              <w:rPr>
                <w:rFonts w:hAnsi="宋体"/>
                <w:b/>
                <w:snapToGrid w:val="0"/>
                <w:color w:val="auto"/>
                <w:kern w:val="0"/>
                <w:sz w:val="24"/>
              </w:rPr>
              <w:t>源强</w:t>
            </w:r>
            <w:r>
              <w:rPr>
                <w:rFonts w:hint="eastAsia"/>
                <w:b/>
                <w:bCs/>
                <w:color w:val="auto"/>
                <w:sz w:val="24"/>
                <w:szCs w:val="28"/>
              </w:rPr>
              <w:t>及环境影响和污染防治措施</w:t>
            </w:r>
          </w:p>
          <w:p w14:paraId="2D7430A9">
            <w:pPr>
              <w:pStyle w:val="108"/>
              <w:adjustRightInd/>
              <w:spacing w:line="360" w:lineRule="auto"/>
              <w:ind w:firstLine="480" w:firstLineChars="200"/>
              <w:rPr>
                <w:rFonts w:hAnsi="宋体"/>
                <w:color w:val="auto"/>
                <w:kern w:val="2"/>
                <w:szCs w:val="22"/>
              </w:rPr>
            </w:pPr>
            <w:r>
              <w:rPr>
                <w:rFonts w:hAnsi="宋体"/>
                <w:color w:val="auto"/>
                <w:kern w:val="2"/>
                <w:szCs w:val="22"/>
              </w:rPr>
              <w:t>本次改建项目不新增劳动定员，不新增生活垃圾，本项目生产过程中的新增的固体废物主要包括一般固废</w:t>
            </w:r>
            <w:r>
              <w:rPr>
                <w:rFonts w:hint="eastAsia" w:hAnsi="宋体"/>
                <w:color w:val="auto"/>
                <w:kern w:val="2"/>
                <w:szCs w:val="22"/>
              </w:rPr>
              <w:t>、</w:t>
            </w:r>
            <w:r>
              <w:rPr>
                <w:rFonts w:hAnsi="宋体"/>
                <w:color w:val="auto"/>
                <w:kern w:val="2"/>
                <w:szCs w:val="22"/>
              </w:rPr>
              <w:t>危险废物</w:t>
            </w:r>
            <w:r>
              <w:rPr>
                <w:rFonts w:hint="eastAsia" w:hAnsi="宋体"/>
                <w:color w:val="auto"/>
                <w:kern w:val="2"/>
                <w:szCs w:val="22"/>
              </w:rPr>
              <w:t>。</w:t>
            </w:r>
          </w:p>
          <w:p w14:paraId="7FB1D822">
            <w:pPr>
              <w:pStyle w:val="108"/>
              <w:adjustRightInd/>
              <w:spacing w:line="360" w:lineRule="auto"/>
              <w:ind w:firstLine="482" w:firstLineChars="200"/>
              <w:rPr>
                <w:rFonts w:hAnsi="宋体"/>
                <w:b/>
                <w:color w:val="auto"/>
                <w:kern w:val="2"/>
                <w:szCs w:val="22"/>
              </w:rPr>
            </w:pPr>
            <w:r>
              <w:rPr>
                <w:rFonts w:hint="eastAsia" w:hAnsi="宋体"/>
                <w:b/>
                <w:color w:val="auto"/>
                <w:kern w:val="2"/>
                <w:szCs w:val="22"/>
              </w:rPr>
              <w:t>1、一般固废</w:t>
            </w:r>
          </w:p>
          <w:p w14:paraId="677A7153">
            <w:pPr>
              <w:pStyle w:val="108"/>
              <w:adjustRightInd/>
              <w:spacing w:line="360" w:lineRule="auto"/>
              <w:ind w:firstLine="480" w:firstLineChars="200"/>
              <w:rPr>
                <w:rFonts w:hAnsi="宋体"/>
                <w:color w:val="auto"/>
                <w:kern w:val="2"/>
                <w:szCs w:val="22"/>
              </w:rPr>
            </w:pPr>
            <w:r>
              <w:rPr>
                <w:rFonts w:hint="eastAsia" w:hAnsi="宋体"/>
                <w:color w:val="auto"/>
                <w:kern w:val="2"/>
                <w:szCs w:val="22"/>
              </w:rPr>
              <w:t>根据工艺流程分析，项目生产过程中产生的一般工业固体废物主要包括不合格品。</w:t>
            </w:r>
          </w:p>
          <w:p w14:paraId="3BF5DA43">
            <w:pPr>
              <w:pStyle w:val="108"/>
              <w:adjustRightInd/>
              <w:spacing w:line="360" w:lineRule="auto"/>
              <w:ind w:firstLine="480" w:firstLineChars="200"/>
              <w:rPr>
                <w:rFonts w:hAnsi="宋体"/>
                <w:color w:val="auto"/>
                <w:kern w:val="2"/>
                <w:szCs w:val="22"/>
              </w:rPr>
            </w:pPr>
            <w:r>
              <w:rPr>
                <w:rFonts w:hint="eastAsia" w:hAnsi="宋体"/>
                <w:color w:val="auto"/>
                <w:kern w:val="2"/>
                <w:szCs w:val="22"/>
              </w:rPr>
              <w:t>（1）不合格品</w:t>
            </w:r>
          </w:p>
          <w:p w14:paraId="7E2CD3B5">
            <w:pPr>
              <w:pStyle w:val="108"/>
              <w:adjustRightInd/>
              <w:spacing w:line="360" w:lineRule="auto"/>
              <w:ind w:firstLine="480" w:firstLineChars="200"/>
              <w:rPr>
                <w:rFonts w:hAnsi="宋体"/>
                <w:color w:val="auto"/>
                <w:kern w:val="2"/>
                <w:szCs w:val="22"/>
              </w:rPr>
            </w:pPr>
            <w:r>
              <w:rPr>
                <w:rFonts w:hint="eastAsia" w:hAnsi="宋体"/>
                <w:color w:val="auto"/>
                <w:kern w:val="2"/>
                <w:szCs w:val="22"/>
              </w:rPr>
              <w:t>本项目玻璃制品喷涂过程中可能存在喷涂不均匀情况，着色后产生部分残次品。根据企业运行情况，不合格品年产生量约占产品</w:t>
            </w:r>
            <w:r>
              <w:rPr>
                <w:color w:val="auto"/>
                <w:kern w:val="2"/>
                <w:szCs w:val="22"/>
              </w:rPr>
              <w:t>总量的1‰</w:t>
            </w:r>
            <w:r>
              <w:rPr>
                <w:rFonts w:hint="eastAsia" w:hAnsi="宋体"/>
                <w:color w:val="auto"/>
                <w:kern w:val="2"/>
                <w:szCs w:val="22"/>
              </w:rPr>
              <w:t>，约15000只（约3.004t/a），统一收集暂存于厂区现有原料库1，后回用于玻璃生产线。</w:t>
            </w:r>
          </w:p>
          <w:p w14:paraId="49626DF4">
            <w:pPr>
              <w:pStyle w:val="108"/>
              <w:adjustRightInd/>
              <w:spacing w:line="360" w:lineRule="auto"/>
              <w:ind w:firstLine="482" w:firstLineChars="200"/>
              <w:rPr>
                <w:rFonts w:hAnsi="宋体"/>
                <w:b/>
                <w:color w:val="auto"/>
                <w:kern w:val="2"/>
                <w:szCs w:val="22"/>
              </w:rPr>
            </w:pPr>
            <w:r>
              <w:rPr>
                <w:rFonts w:hint="eastAsia" w:hAnsi="宋体"/>
                <w:b/>
                <w:color w:val="auto"/>
                <w:kern w:val="2"/>
                <w:szCs w:val="22"/>
              </w:rPr>
              <w:t>2、危险废物</w:t>
            </w:r>
          </w:p>
          <w:p w14:paraId="1C4E7DEC">
            <w:pPr>
              <w:pStyle w:val="108"/>
              <w:adjustRightInd/>
              <w:spacing w:line="360" w:lineRule="auto"/>
              <w:ind w:firstLine="480" w:firstLineChars="200"/>
              <w:rPr>
                <w:rFonts w:hAnsi="宋体"/>
                <w:color w:val="auto"/>
                <w:kern w:val="2"/>
                <w:szCs w:val="22"/>
              </w:rPr>
            </w:pPr>
            <w:r>
              <w:rPr>
                <w:rFonts w:hint="eastAsia" w:hAnsi="宋体"/>
                <w:color w:val="auto"/>
                <w:kern w:val="2"/>
                <w:szCs w:val="22"/>
              </w:rPr>
              <w:t>项目生产过程产生的危险废物主要包括废包装桶（水性漆）、废漆料、废活性炭。</w:t>
            </w:r>
          </w:p>
          <w:p w14:paraId="509F1451">
            <w:pPr>
              <w:pStyle w:val="108"/>
              <w:adjustRightInd/>
              <w:spacing w:line="360" w:lineRule="auto"/>
              <w:ind w:firstLine="480" w:firstLineChars="200"/>
              <w:rPr>
                <w:rFonts w:hAnsi="宋体"/>
                <w:color w:val="auto"/>
                <w:kern w:val="2"/>
                <w:szCs w:val="22"/>
              </w:rPr>
            </w:pPr>
            <w:r>
              <w:rPr>
                <w:rFonts w:hint="eastAsia" w:hAnsi="宋体"/>
                <w:color w:val="auto"/>
                <w:kern w:val="2"/>
                <w:szCs w:val="22"/>
              </w:rPr>
              <w:t>（1）废包装桶</w:t>
            </w:r>
          </w:p>
          <w:p w14:paraId="2BD83145">
            <w:pPr>
              <w:pStyle w:val="108"/>
              <w:adjustRightInd/>
              <w:spacing w:line="360" w:lineRule="auto"/>
              <w:ind w:firstLine="480" w:firstLineChars="200"/>
              <w:rPr>
                <w:rFonts w:hAnsi="宋体"/>
                <w:color w:val="auto"/>
                <w:kern w:val="2"/>
                <w:szCs w:val="22"/>
              </w:rPr>
            </w:pPr>
            <w:r>
              <w:rPr>
                <w:rFonts w:hint="eastAsia" w:hAnsi="宋体"/>
                <w:color w:val="auto"/>
                <w:kern w:val="2"/>
                <w:szCs w:val="22"/>
              </w:rPr>
              <w:t>根据本项目新增原辅材料消耗情况可知，水性漆包装桶年产生2250个，20kg的包装桶单桶重量0.5kg。根据统计，项目废包装桶产生重量总计约为1.125t/a。</w:t>
            </w:r>
          </w:p>
          <w:p w14:paraId="17D9E8E7">
            <w:pPr>
              <w:pStyle w:val="108"/>
              <w:adjustRightInd/>
              <w:spacing w:line="360" w:lineRule="auto"/>
              <w:ind w:firstLine="480" w:firstLineChars="200"/>
              <w:rPr>
                <w:rFonts w:hAnsi="宋体"/>
                <w:color w:val="auto"/>
                <w:kern w:val="2"/>
                <w:szCs w:val="22"/>
              </w:rPr>
            </w:pPr>
            <w:r>
              <w:rPr>
                <w:rFonts w:hint="eastAsia" w:hAnsi="宋体"/>
                <w:color w:val="auto"/>
                <w:kern w:val="2"/>
                <w:szCs w:val="22"/>
              </w:rPr>
              <w:t>根据《国家危险废物名录》（2021年版），废包装桶属于HW49（其他废物），危废代码：900-041-49（含有或沾染毒性、感染性危险废物的废弃包装物、容器、过滤吸附介质），统一收集存放在危废暂存间，后委托有资质单位定期处理。</w:t>
            </w:r>
          </w:p>
          <w:p w14:paraId="33AE3220">
            <w:pPr>
              <w:pStyle w:val="108"/>
              <w:adjustRightInd/>
              <w:spacing w:line="360" w:lineRule="auto"/>
              <w:ind w:firstLine="480" w:firstLineChars="200"/>
              <w:rPr>
                <w:rFonts w:hAnsi="宋体"/>
                <w:color w:val="auto"/>
                <w:kern w:val="2"/>
                <w:szCs w:val="22"/>
              </w:rPr>
            </w:pPr>
            <w:r>
              <w:rPr>
                <w:rFonts w:hint="eastAsia" w:hAnsi="宋体"/>
                <w:color w:val="auto"/>
                <w:kern w:val="2"/>
                <w:szCs w:val="22"/>
              </w:rPr>
              <w:t>（2）废漆料</w:t>
            </w:r>
          </w:p>
          <w:p w14:paraId="79427EAB">
            <w:pPr>
              <w:pStyle w:val="108"/>
              <w:adjustRightInd/>
              <w:spacing w:line="360" w:lineRule="auto"/>
              <w:ind w:firstLine="480" w:firstLineChars="200"/>
              <w:rPr>
                <w:rFonts w:hAnsi="宋体"/>
                <w:color w:val="auto"/>
                <w:kern w:val="2"/>
                <w:szCs w:val="22"/>
              </w:rPr>
            </w:pPr>
            <w:r>
              <w:rPr>
                <w:rFonts w:hint="eastAsia" w:hAnsi="宋体"/>
                <w:color w:val="auto"/>
                <w:kern w:val="2"/>
                <w:szCs w:val="22"/>
              </w:rPr>
              <w:t>根据本项目水性漆物料平衡图可知，喷涂工序约50%水性漆未附着，水性漆中90%水性丙烯酸树脂固份、10%氧化物残留在转盘机形成废漆料，废漆料产生量约4.275t/a。</w:t>
            </w:r>
          </w:p>
          <w:p w14:paraId="05CCB415">
            <w:pPr>
              <w:pStyle w:val="108"/>
              <w:adjustRightInd/>
              <w:spacing w:line="360" w:lineRule="auto"/>
              <w:ind w:firstLine="480" w:firstLineChars="200"/>
              <w:rPr>
                <w:rFonts w:hAnsi="宋体"/>
                <w:color w:val="auto"/>
                <w:kern w:val="2"/>
                <w:szCs w:val="22"/>
              </w:rPr>
            </w:pPr>
            <w:r>
              <w:rPr>
                <w:rFonts w:hint="eastAsia" w:hAnsi="宋体"/>
                <w:color w:val="auto"/>
                <w:kern w:val="2"/>
                <w:szCs w:val="22"/>
              </w:rPr>
              <w:t>根据《国家危险废物名录》（2021年版），废漆料含有氧化铁、氧化铒、氧化钛有色成分，属于HW12（染料、涂料废物），危废代码：900-255-12（使用各种颜料进行着色过程中产生的废颜料），统一收集存放在危废暂存间，后委托有资质单位定期处理。</w:t>
            </w:r>
          </w:p>
          <w:p w14:paraId="511237F4">
            <w:pPr>
              <w:pStyle w:val="108"/>
              <w:adjustRightInd/>
              <w:spacing w:line="360" w:lineRule="auto"/>
              <w:ind w:firstLine="480" w:firstLineChars="200"/>
              <w:rPr>
                <w:rFonts w:hAnsi="宋体"/>
                <w:color w:val="auto"/>
                <w:kern w:val="2"/>
                <w:szCs w:val="22"/>
              </w:rPr>
            </w:pPr>
            <w:r>
              <w:rPr>
                <w:rFonts w:hint="eastAsia" w:hAnsi="宋体"/>
                <w:color w:val="auto"/>
                <w:kern w:val="2"/>
                <w:szCs w:val="22"/>
              </w:rPr>
              <w:t>（3）废活性炭</w:t>
            </w:r>
          </w:p>
          <w:p w14:paraId="58516240">
            <w:pPr>
              <w:widowControl/>
              <w:spacing w:line="360" w:lineRule="auto"/>
              <w:ind w:firstLine="480" w:firstLineChars="200"/>
              <w:rPr>
                <w:color w:val="auto"/>
                <w:kern w:val="0"/>
                <w:sz w:val="24"/>
              </w:rPr>
            </w:pPr>
            <w:r>
              <w:rPr>
                <w:rFonts w:hAnsi="宋体"/>
                <w:color w:val="auto"/>
                <w:kern w:val="0"/>
                <w:sz w:val="24"/>
              </w:rPr>
              <w:t>建设单位拟配套活性炭吸附装置为颗粒状活性炭，吸附装置由</w:t>
            </w:r>
            <w:r>
              <w:rPr>
                <w:color w:val="auto"/>
                <w:kern w:val="0"/>
                <w:sz w:val="24"/>
              </w:rPr>
              <w:t>1</w:t>
            </w:r>
            <w:r>
              <w:rPr>
                <w:rFonts w:hAnsi="宋体"/>
                <w:color w:val="auto"/>
                <w:kern w:val="0"/>
                <w:sz w:val="24"/>
              </w:rPr>
              <w:t>个独立活性炭箱体组成，并选择碘值高于</w:t>
            </w:r>
            <w:r>
              <w:rPr>
                <w:color w:val="auto"/>
                <w:kern w:val="0"/>
                <w:sz w:val="24"/>
              </w:rPr>
              <w:t>800</w:t>
            </w:r>
            <w:r>
              <w:rPr>
                <w:rFonts w:hAnsi="宋体"/>
                <w:color w:val="auto"/>
                <w:kern w:val="0"/>
                <w:sz w:val="24"/>
              </w:rPr>
              <w:t>毫克</w:t>
            </w:r>
            <w:r>
              <w:rPr>
                <w:color w:val="auto"/>
                <w:kern w:val="0"/>
                <w:sz w:val="24"/>
              </w:rPr>
              <w:t>/</w:t>
            </w:r>
            <w:r>
              <w:rPr>
                <w:rFonts w:hAnsi="宋体"/>
                <w:color w:val="auto"/>
                <w:kern w:val="0"/>
                <w:sz w:val="24"/>
              </w:rPr>
              <w:t>克的颗粒柱状活性炭。本项目将单个活性炭箱流速控制为</w:t>
            </w:r>
            <w:r>
              <w:rPr>
                <w:color w:val="auto"/>
                <w:kern w:val="0"/>
                <w:sz w:val="24"/>
              </w:rPr>
              <w:t>0.6m/s</w:t>
            </w:r>
            <w:r>
              <w:rPr>
                <w:rFonts w:hAnsi="宋体"/>
                <w:color w:val="auto"/>
                <w:kern w:val="0"/>
                <w:sz w:val="24"/>
              </w:rPr>
              <w:t>，满足《大气污染治理工程技术导则》（</w:t>
            </w:r>
            <w:r>
              <w:rPr>
                <w:color w:val="auto"/>
                <w:kern w:val="0"/>
                <w:sz w:val="24"/>
              </w:rPr>
              <w:t>HJ2000-2010</w:t>
            </w:r>
            <w:r>
              <w:rPr>
                <w:rFonts w:hAnsi="宋体"/>
                <w:color w:val="auto"/>
                <w:kern w:val="0"/>
                <w:sz w:val="24"/>
              </w:rPr>
              <w:t>）中</w:t>
            </w:r>
            <w:r>
              <w:rPr>
                <w:rFonts w:ascii="宋体" w:hAnsi="宋体"/>
                <w:color w:val="auto"/>
                <w:kern w:val="0"/>
                <w:sz w:val="24"/>
              </w:rPr>
              <w:t>“采</w:t>
            </w:r>
            <w:r>
              <w:rPr>
                <w:rFonts w:hAnsi="宋体"/>
                <w:color w:val="auto"/>
                <w:kern w:val="0"/>
                <w:sz w:val="24"/>
              </w:rPr>
              <w:t>用颗粒状活性炭时，宜取</w:t>
            </w:r>
            <w:r>
              <w:rPr>
                <w:color w:val="auto"/>
                <w:kern w:val="0"/>
                <w:sz w:val="24"/>
              </w:rPr>
              <w:t>0.20~0.60m/s</w:t>
            </w:r>
            <w:r>
              <w:rPr>
                <w:rFonts w:ascii="宋体" w:hAnsi="宋体"/>
                <w:color w:val="auto"/>
                <w:kern w:val="0"/>
                <w:sz w:val="24"/>
              </w:rPr>
              <w:t>”</w:t>
            </w:r>
            <w:r>
              <w:rPr>
                <w:rFonts w:hAnsi="宋体"/>
                <w:color w:val="auto"/>
                <w:kern w:val="0"/>
                <w:sz w:val="24"/>
              </w:rPr>
              <w:t>的要求。活性炭分</w:t>
            </w:r>
            <w:r>
              <w:rPr>
                <w:rFonts w:hint="eastAsia"/>
                <w:color w:val="auto"/>
                <w:kern w:val="0"/>
                <w:sz w:val="24"/>
              </w:rPr>
              <w:t>2</w:t>
            </w:r>
            <w:r>
              <w:rPr>
                <w:rFonts w:hAnsi="宋体"/>
                <w:color w:val="auto"/>
                <w:kern w:val="0"/>
                <w:sz w:val="24"/>
              </w:rPr>
              <w:t>层进行叠装装填，总装填厚度为</w:t>
            </w:r>
            <w:r>
              <w:rPr>
                <w:rFonts w:hint="eastAsia"/>
                <w:color w:val="auto"/>
                <w:kern w:val="0"/>
                <w:sz w:val="24"/>
              </w:rPr>
              <w:t>2</w:t>
            </w:r>
            <w:r>
              <w:rPr>
                <w:color w:val="auto"/>
                <w:kern w:val="0"/>
                <w:sz w:val="24"/>
              </w:rPr>
              <w:t>00mm</w:t>
            </w:r>
            <w:r>
              <w:rPr>
                <w:rFonts w:hAnsi="宋体"/>
                <w:color w:val="auto"/>
                <w:kern w:val="0"/>
                <w:sz w:val="24"/>
              </w:rPr>
              <w:t>，本项目</w:t>
            </w:r>
            <w:r>
              <w:rPr>
                <w:rFonts w:hint="eastAsia" w:hAnsi="宋体"/>
                <w:color w:val="auto"/>
                <w:kern w:val="0"/>
                <w:sz w:val="24"/>
              </w:rPr>
              <w:t>2套</w:t>
            </w:r>
            <w:r>
              <w:rPr>
                <w:rFonts w:hAnsi="宋体"/>
                <w:color w:val="auto"/>
                <w:kern w:val="0"/>
                <w:sz w:val="24"/>
              </w:rPr>
              <w:t>废气处理装置配套风机风量分别为</w:t>
            </w:r>
            <w:r>
              <w:rPr>
                <w:rFonts w:hint="eastAsia"/>
                <w:color w:val="auto"/>
                <w:kern w:val="0"/>
                <w:sz w:val="24"/>
              </w:rPr>
              <w:t>3000</w:t>
            </w:r>
            <w:r>
              <w:rPr>
                <w:color w:val="auto"/>
                <w:kern w:val="0"/>
                <w:sz w:val="24"/>
              </w:rPr>
              <w:t>m</w:t>
            </w:r>
            <w:r>
              <w:rPr>
                <w:color w:val="auto"/>
                <w:kern w:val="0"/>
                <w:sz w:val="24"/>
                <w:vertAlign w:val="superscript"/>
              </w:rPr>
              <w:t>3</w:t>
            </w:r>
            <w:r>
              <w:rPr>
                <w:color w:val="auto"/>
                <w:kern w:val="0"/>
                <w:sz w:val="24"/>
              </w:rPr>
              <w:t>/h</w:t>
            </w:r>
            <w:r>
              <w:rPr>
                <w:rFonts w:hAnsi="宋体"/>
                <w:color w:val="auto"/>
                <w:kern w:val="0"/>
                <w:sz w:val="24"/>
              </w:rPr>
              <w:t>，则</w:t>
            </w:r>
            <w:r>
              <w:rPr>
                <w:rFonts w:hint="eastAsia" w:hAnsi="宋体"/>
                <w:color w:val="auto"/>
                <w:kern w:val="0"/>
                <w:sz w:val="24"/>
              </w:rPr>
              <w:t>1套废气处理装置</w:t>
            </w:r>
            <w:r>
              <w:rPr>
                <w:rFonts w:hAnsi="宋体"/>
                <w:color w:val="auto"/>
                <w:kern w:val="0"/>
                <w:sz w:val="24"/>
              </w:rPr>
              <w:t>活性炭填充体积为</w:t>
            </w:r>
            <w:r>
              <w:rPr>
                <w:rFonts w:hint="eastAsia"/>
                <w:color w:val="auto"/>
                <w:kern w:val="0"/>
                <w:sz w:val="24"/>
              </w:rPr>
              <w:t>30</w:t>
            </w:r>
            <w:r>
              <w:rPr>
                <w:color w:val="auto"/>
                <w:kern w:val="0"/>
                <w:sz w:val="24"/>
              </w:rPr>
              <w:t>00m</w:t>
            </w:r>
            <w:r>
              <w:rPr>
                <w:color w:val="auto"/>
                <w:kern w:val="0"/>
                <w:sz w:val="24"/>
                <w:vertAlign w:val="superscript"/>
              </w:rPr>
              <w:t>3</w:t>
            </w:r>
            <w:r>
              <w:rPr>
                <w:color w:val="auto"/>
                <w:kern w:val="0"/>
                <w:sz w:val="24"/>
              </w:rPr>
              <w:t>/h÷3600s/h÷0.6m/s×0.</w:t>
            </w:r>
            <w:r>
              <w:rPr>
                <w:rFonts w:hint="eastAsia"/>
                <w:color w:val="auto"/>
                <w:kern w:val="0"/>
                <w:sz w:val="24"/>
              </w:rPr>
              <w:t>2</w:t>
            </w:r>
            <w:r>
              <w:rPr>
                <w:color w:val="auto"/>
                <w:kern w:val="0"/>
                <w:sz w:val="24"/>
              </w:rPr>
              <w:t>m=</w:t>
            </w:r>
            <w:r>
              <w:rPr>
                <w:rFonts w:hint="eastAsia"/>
                <w:color w:val="auto"/>
                <w:kern w:val="0"/>
                <w:sz w:val="24"/>
              </w:rPr>
              <w:t>0.28</w:t>
            </w:r>
            <w:r>
              <w:rPr>
                <w:color w:val="auto"/>
                <w:kern w:val="0"/>
                <w:sz w:val="24"/>
              </w:rPr>
              <w:t>m</w:t>
            </w:r>
            <w:r>
              <w:rPr>
                <w:color w:val="auto"/>
                <w:kern w:val="0"/>
                <w:sz w:val="24"/>
                <w:vertAlign w:val="superscript"/>
              </w:rPr>
              <w:t>3</w:t>
            </w:r>
            <w:r>
              <w:rPr>
                <w:rFonts w:hAnsi="宋体"/>
                <w:color w:val="auto"/>
                <w:kern w:val="0"/>
                <w:sz w:val="24"/>
              </w:rPr>
              <w:t>，颗粒状活性炭密度约为</w:t>
            </w:r>
            <w:r>
              <w:rPr>
                <w:color w:val="auto"/>
                <w:kern w:val="0"/>
                <w:sz w:val="24"/>
              </w:rPr>
              <w:t>0.45</w:t>
            </w:r>
            <w:r>
              <w:rPr>
                <w:rFonts w:hint="eastAsia"/>
                <w:color w:val="auto"/>
                <w:kern w:val="0"/>
                <w:sz w:val="24"/>
              </w:rPr>
              <w:t>~</w:t>
            </w:r>
            <w:r>
              <w:rPr>
                <w:color w:val="auto"/>
                <w:kern w:val="0"/>
                <w:sz w:val="24"/>
              </w:rPr>
              <w:t>0.65g/cm</w:t>
            </w:r>
            <w:r>
              <w:rPr>
                <w:color w:val="auto"/>
                <w:kern w:val="0"/>
                <w:sz w:val="24"/>
                <w:vertAlign w:val="superscript"/>
              </w:rPr>
              <w:t>3</w:t>
            </w:r>
            <w:r>
              <w:rPr>
                <w:rFonts w:hAnsi="宋体"/>
                <w:color w:val="auto"/>
                <w:kern w:val="0"/>
                <w:sz w:val="24"/>
              </w:rPr>
              <w:t>，密度取</w:t>
            </w:r>
            <w:r>
              <w:rPr>
                <w:color w:val="auto"/>
                <w:kern w:val="0"/>
                <w:sz w:val="24"/>
              </w:rPr>
              <w:t>0.55g/cm</w:t>
            </w:r>
            <w:r>
              <w:rPr>
                <w:color w:val="auto"/>
                <w:kern w:val="0"/>
                <w:sz w:val="24"/>
                <w:vertAlign w:val="superscript"/>
              </w:rPr>
              <w:t>3</w:t>
            </w:r>
            <w:r>
              <w:rPr>
                <w:rFonts w:hAnsi="宋体"/>
                <w:color w:val="auto"/>
                <w:kern w:val="0"/>
                <w:sz w:val="24"/>
              </w:rPr>
              <w:t>，则</w:t>
            </w:r>
            <w:r>
              <w:rPr>
                <w:rFonts w:hint="eastAsia" w:hAnsi="宋体"/>
                <w:color w:val="auto"/>
                <w:kern w:val="0"/>
                <w:sz w:val="24"/>
              </w:rPr>
              <w:t>1</w:t>
            </w:r>
            <w:r>
              <w:rPr>
                <w:rFonts w:hAnsi="宋体"/>
                <w:color w:val="auto"/>
                <w:kern w:val="0"/>
                <w:sz w:val="24"/>
              </w:rPr>
              <w:t>个箱体填充的活性炭量约为</w:t>
            </w:r>
            <w:r>
              <w:rPr>
                <w:color w:val="auto"/>
                <w:kern w:val="0"/>
                <w:sz w:val="24"/>
              </w:rPr>
              <w:t>0.</w:t>
            </w:r>
            <w:r>
              <w:rPr>
                <w:rFonts w:hint="eastAsia"/>
                <w:color w:val="auto"/>
                <w:kern w:val="0"/>
                <w:sz w:val="24"/>
              </w:rPr>
              <w:t>154</w:t>
            </w:r>
            <w:r>
              <w:rPr>
                <w:rFonts w:hAnsi="宋体"/>
                <w:color w:val="auto"/>
                <w:kern w:val="0"/>
                <w:sz w:val="24"/>
              </w:rPr>
              <w:t>吨。</w:t>
            </w:r>
          </w:p>
          <w:p w14:paraId="2D70C226">
            <w:pPr>
              <w:widowControl/>
              <w:spacing w:line="360" w:lineRule="auto"/>
              <w:ind w:firstLine="480" w:firstLineChars="200"/>
              <w:rPr>
                <w:color w:val="auto"/>
                <w:kern w:val="0"/>
                <w:sz w:val="24"/>
              </w:rPr>
            </w:pPr>
            <w:r>
              <w:rPr>
                <w:rFonts w:hAnsi="宋体"/>
                <w:color w:val="auto"/>
                <w:kern w:val="0"/>
                <w:sz w:val="24"/>
              </w:rPr>
              <w:t>本项目单个活性炭箱体一次填充量为</w:t>
            </w:r>
            <w:r>
              <w:rPr>
                <w:rFonts w:hint="eastAsia"/>
                <w:color w:val="auto"/>
                <w:kern w:val="0"/>
                <w:sz w:val="24"/>
              </w:rPr>
              <w:t>0.154</w:t>
            </w:r>
            <w:r>
              <w:rPr>
                <w:rFonts w:hAnsi="宋体"/>
                <w:color w:val="auto"/>
                <w:kern w:val="0"/>
                <w:sz w:val="24"/>
              </w:rPr>
              <w:t>吨，活性炭使用一段时间后会吸附饱和，需要定期更换，本项目一车间、三车间喷涂废气各采用</w:t>
            </w:r>
            <w:r>
              <w:rPr>
                <w:rFonts w:hint="eastAsia" w:hAnsi="宋体"/>
                <w:color w:val="auto"/>
                <w:kern w:val="0"/>
                <w:sz w:val="24"/>
              </w:rPr>
              <w:t>1套废气处理装置，每套废气处理装置各自配套2个箱体，</w:t>
            </w:r>
            <w:r>
              <w:rPr>
                <w:rFonts w:hAnsi="宋体"/>
                <w:color w:val="auto"/>
                <w:kern w:val="0"/>
                <w:sz w:val="24"/>
              </w:rPr>
              <w:t>活性炭每月更换一次，即一年更换</w:t>
            </w:r>
            <w:r>
              <w:rPr>
                <w:rFonts w:hint="eastAsia"/>
                <w:color w:val="auto"/>
                <w:kern w:val="0"/>
                <w:sz w:val="24"/>
              </w:rPr>
              <w:t>12</w:t>
            </w:r>
            <w:r>
              <w:rPr>
                <w:rFonts w:hAnsi="宋体"/>
                <w:color w:val="auto"/>
                <w:kern w:val="0"/>
                <w:sz w:val="24"/>
              </w:rPr>
              <w:t>次，则年更换量约</w:t>
            </w:r>
            <w:r>
              <w:rPr>
                <w:rFonts w:hint="eastAsia"/>
                <w:color w:val="auto"/>
                <w:kern w:val="0"/>
                <w:sz w:val="24"/>
              </w:rPr>
              <w:t>7.392</w:t>
            </w:r>
            <w:r>
              <w:rPr>
                <w:color w:val="auto"/>
                <w:kern w:val="0"/>
                <w:sz w:val="24"/>
              </w:rPr>
              <w:t>t/a</w:t>
            </w:r>
            <w:r>
              <w:rPr>
                <w:rFonts w:hAnsi="宋体"/>
                <w:color w:val="auto"/>
                <w:kern w:val="0"/>
                <w:sz w:val="24"/>
              </w:rPr>
              <w:t>。</w:t>
            </w:r>
          </w:p>
          <w:p w14:paraId="69F1CEB5">
            <w:pPr>
              <w:pStyle w:val="108"/>
              <w:adjustRightInd/>
              <w:spacing w:line="360" w:lineRule="auto"/>
              <w:ind w:firstLine="480" w:firstLineChars="200"/>
              <w:rPr>
                <w:rFonts w:hAnsi="宋体"/>
                <w:color w:val="auto"/>
                <w:kern w:val="2"/>
                <w:szCs w:val="22"/>
              </w:rPr>
            </w:pPr>
            <w:r>
              <w:rPr>
                <w:rFonts w:hAnsi="宋体"/>
                <w:color w:val="auto"/>
                <w:kern w:val="2"/>
                <w:szCs w:val="22"/>
              </w:rPr>
              <w:t>根据本项目工程分析，活性炭吸附的废气量约为</w:t>
            </w:r>
            <w:r>
              <w:rPr>
                <w:rFonts w:hint="eastAsia" w:hAnsi="宋体"/>
                <w:color w:val="auto"/>
                <w:kern w:val="2"/>
                <w:szCs w:val="22"/>
              </w:rPr>
              <w:t>7.655t/a。根据同类工程调查，废活性炭为被吸附的污染物量和活性炭本身的用量之和。故本项目废活性炭的产生量约为15.047t/a。</w:t>
            </w:r>
          </w:p>
          <w:p w14:paraId="496B3FB4">
            <w:pPr>
              <w:spacing w:line="360" w:lineRule="auto"/>
              <w:ind w:firstLine="480" w:firstLineChars="200"/>
              <w:rPr>
                <w:color w:val="auto"/>
                <w:sz w:val="24"/>
                <w:szCs w:val="24"/>
              </w:rPr>
            </w:pPr>
            <w:r>
              <w:rPr>
                <w:rFonts w:hint="eastAsia"/>
                <w:color w:val="auto"/>
                <w:sz w:val="24"/>
              </w:rPr>
              <w:t>根据</w:t>
            </w:r>
            <w:r>
              <w:rPr>
                <w:rFonts w:hint="eastAsia"/>
                <w:color w:val="auto"/>
                <w:sz w:val="24"/>
                <w:szCs w:val="24"/>
              </w:rPr>
              <w:t>《国家危险废物名录》</w:t>
            </w:r>
            <w:r>
              <w:rPr>
                <w:color w:val="auto"/>
                <w:sz w:val="24"/>
                <w:szCs w:val="24"/>
              </w:rPr>
              <w:t>(2021</w:t>
            </w:r>
            <w:r>
              <w:rPr>
                <w:rFonts w:hint="eastAsia"/>
                <w:color w:val="auto"/>
                <w:sz w:val="24"/>
                <w:szCs w:val="24"/>
              </w:rPr>
              <w:t>年版），废活性炭</w:t>
            </w:r>
            <w:r>
              <w:rPr>
                <w:rFonts w:hint="eastAsia"/>
                <w:bCs/>
                <w:color w:val="auto"/>
                <w:sz w:val="24"/>
              </w:rPr>
              <w:t>属于</w:t>
            </w:r>
            <w:r>
              <w:rPr>
                <w:color w:val="auto"/>
                <w:sz w:val="24"/>
                <w:szCs w:val="24"/>
              </w:rPr>
              <w:t>HW49</w:t>
            </w:r>
            <w:r>
              <w:rPr>
                <w:rFonts w:hint="eastAsia"/>
                <w:color w:val="auto"/>
                <w:sz w:val="24"/>
                <w:szCs w:val="24"/>
              </w:rPr>
              <w:t>其他废物，危废代码</w:t>
            </w:r>
            <w:r>
              <w:rPr>
                <w:color w:val="auto"/>
                <w:sz w:val="24"/>
                <w:szCs w:val="24"/>
              </w:rPr>
              <w:t>900-039-49</w:t>
            </w:r>
            <w:r>
              <w:rPr>
                <w:rFonts w:hint="eastAsia"/>
                <w:color w:val="auto"/>
                <w:sz w:val="24"/>
                <w:szCs w:val="24"/>
              </w:rPr>
              <w:t>。废活性炭收集暂存于危废暂存间，后委托有资质的单位处理处置。</w:t>
            </w:r>
          </w:p>
          <w:p w14:paraId="3165CD42">
            <w:pPr>
              <w:pStyle w:val="108"/>
              <w:adjustRightInd/>
              <w:spacing w:line="360" w:lineRule="auto"/>
              <w:jc w:val="center"/>
              <w:rPr>
                <w:rFonts w:eastAsia="黑体"/>
                <w:bCs/>
                <w:color w:val="auto"/>
                <w:sz w:val="21"/>
                <w:szCs w:val="21"/>
              </w:rPr>
            </w:pPr>
            <w:r>
              <w:rPr>
                <w:rFonts w:hint="eastAsia" w:hAnsi="黑体" w:eastAsia="黑体"/>
                <w:color w:val="auto"/>
              </w:rPr>
              <w:t>表49  本项目固体废物源强及处理处置情况</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83"/>
              <w:gridCol w:w="593"/>
              <w:gridCol w:w="1038"/>
              <w:gridCol w:w="1150"/>
              <w:gridCol w:w="704"/>
              <w:gridCol w:w="483"/>
              <w:gridCol w:w="1190"/>
              <w:gridCol w:w="593"/>
              <w:gridCol w:w="1911"/>
            </w:tblGrid>
            <w:tr w14:paraId="63D185B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14:paraId="5CAB6E35">
                  <w:pPr>
                    <w:pStyle w:val="105"/>
                    <w:spacing w:line="276" w:lineRule="auto"/>
                    <w:rPr>
                      <w:b/>
                      <w:color w:val="auto"/>
                      <w:kern w:val="0"/>
                      <w:szCs w:val="21"/>
                    </w:rPr>
                  </w:pPr>
                  <w:r>
                    <w:rPr>
                      <w:rFonts w:hint="eastAsia" w:hAnsi="宋体"/>
                      <w:b/>
                      <w:color w:val="auto"/>
                      <w:kern w:val="0"/>
                      <w:szCs w:val="21"/>
                    </w:rPr>
                    <w:t>序号</w:t>
                  </w:r>
                </w:p>
              </w:tc>
              <w:tc>
                <w:tcPr>
                  <w:tcW w:w="0" w:type="auto"/>
                  <w:vAlign w:val="center"/>
                </w:tcPr>
                <w:p w14:paraId="214737BC">
                  <w:pPr>
                    <w:pStyle w:val="105"/>
                    <w:spacing w:line="276" w:lineRule="auto"/>
                    <w:rPr>
                      <w:b/>
                      <w:color w:val="auto"/>
                      <w:kern w:val="0"/>
                      <w:szCs w:val="21"/>
                    </w:rPr>
                  </w:pPr>
                  <w:r>
                    <w:rPr>
                      <w:rFonts w:hint="eastAsia" w:hAnsi="宋体"/>
                      <w:b/>
                      <w:color w:val="auto"/>
                      <w:kern w:val="0"/>
                      <w:szCs w:val="21"/>
                    </w:rPr>
                    <w:t>类别</w:t>
                  </w:r>
                </w:p>
              </w:tc>
              <w:tc>
                <w:tcPr>
                  <w:tcW w:w="0" w:type="auto"/>
                  <w:vAlign w:val="center"/>
                </w:tcPr>
                <w:p w14:paraId="2585D8BC">
                  <w:pPr>
                    <w:pStyle w:val="105"/>
                    <w:spacing w:line="276" w:lineRule="auto"/>
                    <w:rPr>
                      <w:b/>
                      <w:color w:val="auto"/>
                      <w:kern w:val="0"/>
                      <w:szCs w:val="21"/>
                    </w:rPr>
                  </w:pPr>
                  <w:r>
                    <w:rPr>
                      <w:rFonts w:hint="eastAsia" w:hAnsi="宋体"/>
                      <w:b/>
                      <w:color w:val="auto"/>
                      <w:kern w:val="0"/>
                      <w:szCs w:val="21"/>
                    </w:rPr>
                    <w:t>产生量（</w:t>
                  </w:r>
                  <w:r>
                    <w:rPr>
                      <w:b/>
                      <w:color w:val="auto"/>
                      <w:kern w:val="0"/>
                      <w:szCs w:val="21"/>
                    </w:rPr>
                    <w:t>t/a</w:t>
                  </w:r>
                  <w:r>
                    <w:rPr>
                      <w:rFonts w:hint="eastAsia" w:hAnsi="宋体"/>
                      <w:b/>
                      <w:color w:val="auto"/>
                      <w:kern w:val="0"/>
                      <w:szCs w:val="21"/>
                    </w:rPr>
                    <w:t>）</w:t>
                  </w:r>
                </w:p>
              </w:tc>
              <w:tc>
                <w:tcPr>
                  <w:tcW w:w="0" w:type="auto"/>
                  <w:vAlign w:val="center"/>
                </w:tcPr>
                <w:p w14:paraId="0F7CFE23">
                  <w:pPr>
                    <w:pStyle w:val="105"/>
                    <w:spacing w:line="276" w:lineRule="auto"/>
                    <w:rPr>
                      <w:rFonts w:hAnsi="宋体"/>
                      <w:b/>
                      <w:color w:val="auto"/>
                      <w:kern w:val="0"/>
                      <w:szCs w:val="21"/>
                    </w:rPr>
                  </w:pPr>
                  <w:r>
                    <w:rPr>
                      <w:rFonts w:hint="eastAsia" w:hAnsi="宋体"/>
                      <w:b/>
                      <w:color w:val="auto"/>
                      <w:kern w:val="0"/>
                      <w:szCs w:val="21"/>
                    </w:rPr>
                    <w:t>最大储存量（t/a）</w:t>
                  </w:r>
                </w:p>
              </w:tc>
              <w:tc>
                <w:tcPr>
                  <w:tcW w:w="0" w:type="auto"/>
                  <w:vAlign w:val="center"/>
                </w:tcPr>
                <w:p w14:paraId="6C3EFCDC">
                  <w:pPr>
                    <w:pStyle w:val="105"/>
                    <w:spacing w:line="276" w:lineRule="auto"/>
                    <w:rPr>
                      <w:b/>
                      <w:color w:val="auto"/>
                      <w:kern w:val="0"/>
                      <w:szCs w:val="21"/>
                    </w:rPr>
                  </w:pPr>
                  <w:r>
                    <w:rPr>
                      <w:rFonts w:hint="eastAsia" w:hAnsi="宋体"/>
                      <w:b/>
                      <w:color w:val="auto"/>
                      <w:kern w:val="0"/>
                      <w:szCs w:val="21"/>
                    </w:rPr>
                    <w:t>产生工序</w:t>
                  </w:r>
                </w:p>
              </w:tc>
              <w:tc>
                <w:tcPr>
                  <w:tcW w:w="0" w:type="auto"/>
                  <w:vAlign w:val="center"/>
                </w:tcPr>
                <w:p w14:paraId="45C50228">
                  <w:pPr>
                    <w:pStyle w:val="105"/>
                    <w:spacing w:line="276" w:lineRule="auto"/>
                    <w:rPr>
                      <w:b/>
                      <w:color w:val="auto"/>
                      <w:kern w:val="0"/>
                      <w:szCs w:val="21"/>
                    </w:rPr>
                  </w:pPr>
                  <w:r>
                    <w:rPr>
                      <w:rFonts w:hint="eastAsia" w:hAnsi="宋体"/>
                      <w:b/>
                      <w:color w:val="auto"/>
                      <w:kern w:val="0"/>
                      <w:szCs w:val="21"/>
                    </w:rPr>
                    <w:t>形态</w:t>
                  </w:r>
                </w:p>
              </w:tc>
              <w:tc>
                <w:tcPr>
                  <w:tcW w:w="0" w:type="auto"/>
                  <w:vAlign w:val="center"/>
                </w:tcPr>
                <w:p w14:paraId="4A52E838">
                  <w:pPr>
                    <w:pStyle w:val="105"/>
                    <w:spacing w:line="276" w:lineRule="auto"/>
                    <w:rPr>
                      <w:b/>
                      <w:color w:val="auto"/>
                      <w:kern w:val="0"/>
                      <w:szCs w:val="21"/>
                    </w:rPr>
                  </w:pPr>
                  <w:r>
                    <w:rPr>
                      <w:rFonts w:hint="eastAsia" w:hAnsi="宋体"/>
                      <w:b/>
                      <w:color w:val="auto"/>
                      <w:kern w:val="0"/>
                      <w:szCs w:val="21"/>
                    </w:rPr>
                    <w:t>主要成分</w:t>
                  </w:r>
                </w:p>
              </w:tc>
              <w:tc>
                <w:tcPr>
                  <w:tcW w:w="0" w:type="auto"/>
                  <w:vAlign w:val="center"/>
                </w:tcPr>
                <w:p w14:paraId="3F8A77EB">
                  <w:pPr>
                    <w:pStyle w:val="105"/>
                    <w:spacing w:line="276" w:lineRule="auto"/>
                    <w:rPr>
                      <w:b/>
                      <w:color w:val="auto"/>
                      <w:kern w:val="0"/>
                      <w:szCs w:val="21"/>
                    </w:rPr>
                  </w:pPr>
                  <w:r>
                    <w:rPr>
                      <w:rFonts w:hint="eastAsia" w:hAnsi="宋体"/>
                      <w:b/>
                      <w:color w:val="auto"/>
                      <w:kern w:val="0"/>
                      <w:szCs w:val="21"/>
                    </w:rPr>
                    <w:t>性质</w:t>
                  </w:r>
                </w:p>
              </w:tc>
              <w:tc>
                <w:tcPr>
                  <w:tcW w:w="0" w:type="auto"/>
                  <w:vAlign w:val="center"/>
                </w:tcPr>
                <w:p w14:paraId="04E4B379">
                  <w:pPr>
                    <w:pStyle w:val="105"/>
                    <w:spacing w:line="276" w:lineRule="auto"/>
                    <w:rPr>
                      <w:b/>
                      <w:color w:val="auto"/>
                      <w:kern w:val="0"/>
                      <w:szCs w:val="21"/>
                    </w:rPr>
                  </w:pPr>
                  <w:r>
                    <w:rPr>
                      <w:rFonts w:hint="eastAsia" w:hAnsi="宋体"/>
                      <w:b/>
                      <w:color w:val="auto"/>
                      <w:kern w:val="0"/>
                      <w:szCs w:val="21"/>
                    </w:rPr>
                    <w:t>处理方式</w:t>
                  </w:r>
                </w:p>
              </w:tc>
            </w:tr>
            <w:tr w14:paraId="39E94AE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14:paraId="3E049836">
                  <w:pPr>
                    <w:pStyle w:val="105"/>
                    <w:spacing w:line="276" w:lineRule="auto"/>
                    <w:rPr>
                      <w:rFonts w:hAnsi="宋体"/>
                      <w:color w:val="auto"/>
                      <w:kern w:val="0"/>
                      <w:szCs w:val="21"/>
                    </w:rPr>
                  </w:pPr>
                  <w:r>
                    <w:rPr>
                      <w:rFonts w:hint="eastAsia" w:hAnsi="宋体"/>
                      <w:color w:val="auto"/>
                      <w:kern w:val="0"/>
                      <w:szCs w:val="21"/>
                    </w:rPr>
                    <w:t>1</w:t>
                  </w:r>
                </w:p>
              </w:tc>
              <w:tc>
                <w:tcPr>
                  <w:tcW w:w="0" w:type="auto"/>
                  <w:vAlign w:val="center"/>
                </w:tcPr>
                <w:p w14:paraId="6C1D71F1">
                  <w:pPr>
                    <w:pStyle w:val="105"/>
                    <w:spacing w:line="276" w:lineRule="auto"/>
                    <w:rPr>
                      <w:rFonts w:hAnsi="宋体"/>
                      <w:color w:val="auto"/>
                      <w:kern w:val="0"/>
                      <w:szCs w:val="21"/>
                    </w:rPr>
                  </w:pPr>
                  <w:r>
                    <w:rPr>
                      <w:rFonts w:hint="eastAsia" w:hAnsi="宋体"/>
                      <w:color w:val="auto"/>
                      <w:kern w:val="0"/>
                      <w:szCs w:val="21"/>
                    </w:rPr>
                    <w:t>不合格品</w:t>
                  </w:r>
                </w:p>
              </w:tc>
              <w:tc>
                <w:tcPr>
                  <w:tcW w:w="0" w:type="auto"/>
                  <w:vAlign w:val="center"/>
                </w:tcPr>
                <w:p w14:paraId="66E86799">
                  <w:pPr>
                    <w:pStyle w:val="105"/>
                    <w:spacing w:line="276" w:lineRule="auto"/>
                    <w:rPr>
                      <w:rFonts w:hAnsi="宋体"/>
                      <w:color w:val="auto"/>
                      <w:kern w:val="0"/>
                      <w:szCs w:val="21"/>
                    </w:rPr>
                  </w:pPr>
                  <w:r>
                    <w:rPr>
                      <w:rFonts w:hint="eastAsia" w:hAnsi="宋体"/>
                      <w:color w:val="auto"/>
                      <w:kern w:val="0"/>
                      <w:szCs w:val="21"/>
                    </w:rPr>
                    <w:t>3.004</w:t>
                  </w:r>
                </w:p>
              </w:tc>
              <w:tc>
                <w:tcPr>
                  <w:tcW w:w="0" w:type="auto"/>
                  <w:vAlign w:val="center"/>
                </w:tcPr>
                <w:p w14:paraId="07C69534">
                  <w:pPr>
                    <w:pStyle w:val="105"/>
                    <w:spacing w:line="276" w:lineRule="auto"/>
                    <w:rPr>
                      <w:rFonts w:hAnsi="宋体"/>
                      <w:color w:val="auto"/>
                      <w:kern w:val="0"/>
                      <w:szCs w:val="21"/>
                    </w:rPr>
                  </w:pPr>
                  <w:r>
                    <w:rPr>
                      <w:rFonts w:hint="eastAsia" w:hAnsi="宋体"/>
                      <w:color w:val="auto"/>
                      <w:kern w:val="0"/>
                      <w:szCs w:val="21"/>
                    </w:rPr>
                    <w:t>1.0</w:t>
                  </w:r>
                </w:p>
              </w:tc>
              <w:tc>
                <w:tcPr>
                  <w:tcW w:w="0" w:type="auto"/>
                  <w:vAlign w:val="center"/>
                </w:tcPr>
                <w:p w14:paraId="31A1A8C8">
                  <w:pPr>
                    <w:pStyle w:val="105"/>
                    <w:spacing w:line="276" w:lineRule="auto"/>
                    <w:rPr>
                      <w:rFonts w:hAnsi="宋体"/>
                      <w:color w:val="auto"/>
                      <w:kern w:val="0"/>
                      <w:szCs w:val="21"/>
                    </w:rPr>
                  </w:pPr>
                  <w:r>
                    <w:rPr>
                      <w:rFonts w:hint="eastAsia" w:hAnsi="宋体"/>
                      <w:color w:val="auto"/>
                      <w:kern w:val="0"/>
                      <w:szCs w:val="21"/>
                    </w:rPr>
                    <w:t>检验包装</w:t>
                  </w:r>
                </w:p>
              </w:tc>
              <w:tc>
                <w:tcPr>
                  <w:tcW w:w="0" w:type="auto"/>
                  <w:vAlign w:val="center"/>
                </w:tcPr>
                <w:p w14:paraId="15D535C4">
                  <w:pPr>
                    <w:pStyle w:val="105"/>
                    <w:spacing w:line="276" w:lineRule="auto"/>
                    <w:rPr>
                      <w:rFonts w:hAnsi="宋体"/>
                      <w:color w:val="auto"/>
                      <w:kern w:val="0"/>
                      <w:szCs w:val="21"/>
                    </w:rPr>
                  </w:pPr>
                  <w:r>
                    <w:rPr>
                      <w:rFonts w:hint="eastAsia" w:hAnsi="宋体"/>
                      <w:color w:val="auto"/>
                      <w:kern w:val="0"/>
                      <w:szCs w:val="21"/>
                    </w:rPr>
                    <w:t>固态</w:t>
                  </w:r>
                </w:p>
              </w:tc>
              <w:tc>
                <w:tcPr>
                  <w:tcW w:w="0" w:type="auto"/>
                  <w:vAlign w:val="center"/>
                </w:tcPr>
                <w:p w14:paraId="12050F6E">
                  <w:pPr>
                    <w:pStyle w:val="105"/>
                    <w:spacing w:line="276" w:lineRule="auto"/>
                    <w:rPr>
                      <w:rFonts w:hAnsi="宋体"/>
                      <w:color w:val="auto"/>
                      <w:kern w:val="0"/>
                      <w:szCs w:val="21"/>
                    </w:rPr>
                  </w:pPr>
                  <w:r>
                    <w:rPr>
                      <w:rFonts w:hint="eastAsia" w:hAnsi="宋体"/>
                      <w:color w:val="auto"/>
                      <w:kern w:val="0"/>
                      <w:szCs w:val="21"/>
                    </w:rPr>
                    <w:t>废玻璃</w:t>
                  </w:r>
                </w:p>
              </w:tc>
              <w:tc>
                <w:tcPr>
                  <w:tcW w:w="0" w:type="auto"/>
                  <w:vAlign w:val="center"/>
                </w:tcPr>
                <w:p w14:paraId="0BF386A3">
                  <w:pPr>
                    <w:pStyle w:val="105"/>
                    <w:spacing w:line="276" w:lineRule="auto"/>
                    <w:rPr>
                      <w:rFonts w:hAnsi="宋体"/>
                      <w:color w:val="auto"/>
                      <w:kern w:val="0"/>
                      <w:szCs w:val="21"/>
                    </w:rPr>
                  </w:pPr>
                  <w:r>
                    <w:rPr>
                      <w:rFonts w:hint="eastAsia" w:hAnsi="宋体"/>
                      <w:color w:val="auto"/>
                      <w:kern w:val="0"/>
                      <w:szCs w:val="21"/>
                    </w:rPr>
                    <w:t>一般固废</w:t>
                  </w:r>
                </w:p>
              </w:tc>
              <w:tc>
                <w:tcPr>
                  <w:tcW w:w="0" w:type="auto"/>
                  <w:vAlign w:val="center"/>
                </w:tcPr>
                <w:p w14:paraId="4DD19A9C">
                  <w:pPr>
                    <w:pStyle w:val="105"/>
                    <w:spacing w:line="276" w:lineRule="auto"/>
                    <w:rPr>
                      <w:rFonts w:hAnsi="宋体"/>
                      <w:color w:val="auto"/>
                      <w:szCs w:val="21"/>
                    </w:rPr>
                  </w:pPr>
                  <w:r>
                    <w:rPr>
                      <w:rFonts w:hint="eastAsia" w:hAnsi="宋体"/>
                      <w:color w:val="auto"/>
                      <w:szCs w:val="22"/>
                    </w:rPr>
                    <w:t>统一收集暂存于厂区内，后回用于玻璃生产线</w:t>
                  </w:r>
                </w:p>
              </w:tc>
            </w:tr>
            <w:tr w14:paraId="64A4C08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0" w:type="auto"/>
                  <w:vAlign w:val="center"/>
                </w:tcPr>
                <w:p w14:paraId="153C37F7">
                  <w:pPr>
                    <w:pStyle w:val="105"/>
                    <w:spacing w:line="276" w:lineRule="auto"/>
                    <w:rPr>
                      <w:rFonts w:hAnsi="宋体"/>
                      <w:color w:val="auto"/>
                      <w:kern w:val="0"/>
                      <w:szCs w:val="21"/>
                    </w:rPr>
                  </w:pPr>
                  <w:r>
                    <w:rPr>
                      <w:rFonts w:hint="eastAsia" w:hAnsi="宋体"/>
                      <w:color w:val="auto"/>
                      <w:kern w:val="0"/>
                      <w:szCs w:val="21"/>
                    </w:rPr>
                    <w:t>2</w:t>
                  </w:r>
                </w:p>
              </w:tc>
              <w:tc>
                <w:tcPr>
                  <w:tcW w:w="0" w:type="auto"/>
                  <w:vAlign w:val="center"/>
                </w:tcPr>
                <w:p w14:paraId="09CB2789">
                  <w:pPr>
                    <w:pStyle w:val="105"/>
                    <w:spacing w:line="276" w:lineRule="auto"/>
                    <w:rPr>
                      <w:rFonts w:hAnsi="宋体"/>
                      <w:color w:val="auto"/>
                      <w:kern w:val="0"/>
                      <w:szCs w:val="21"/>
                    </w:rPr>
                  </w:pPr>
                  <w:r>
                    <w:rPr>
                      <w:rFonts w:hint="eastAsia" w:hAnsi="宋体"/>
                      <w:color w:val="auto"/>
                      <w:kern w:val="0"/>
                      <w:szCs w:val="21"/>
                    </w:rPr>
                    <w:t>废包装桶</w:t>
                  </w:r>
                </w:p>
              </w:tc>
              <w:tc>
                <w:tcPr>
                  <w:tcW w:w="0" w:type="auto"/>
                  <w:vAlign w:val="center"/>
                </w:tcPr>
                <w:p w14:paraId="38278479">
                  <w:pPr>
                    <w:pStyle w:val="105"/>
                    <w:spacing w:line="276" w:lineRule="auto"/>
                    <w:rPr>
                      <w:rFonts w:hAnsi="宋体"/>
                      <w:color w:val="auto"/>
                      <w:kern w:val="0"/>
                      <w:szCs w:val="21"/>
                    </w:rPr>
                  </w:pPr>
                  <w:r>
                    <w:rPr>
                      <w:rFonts w:hint="eastAsia" w:hAnsi="宋体"/>
                      <w:color w:val="auto"/>
                      <w:kern w:val="0"/>
                      <w:szCs w:val="21"/>
                    </w:rPr>
                    <w:t>1.125</w:t>
                  </w:r>
                </w:p>
              </w:tc>
              <w:tc>
                <w:tcPr>
                  <w:tcW w:w="0" w:type="auto"/>
                  <w:vAlign w:val="center"/>
                </w:tcPr>
                <w:p w14:paraId="433AD22E">
                  <w:pPr>
                    <w:pStyle w:val="105"/>
                    <w:spacing w:line="276" w:lineRule="auto"/>
                    <w:rPr>
                      <w:rFonts w:hAnsi="宋体"/>
                      <w:color w:val="auto"/>
                      <w:kern w:val="0"/>
                      <w:szCs w:val="21"/>
                    </w:rPr>
                  </w:pPr>
                  <w:r>
                    <w:rPr>
                      <w:rFonts w:hint="eastAsia" w:hAnsi="宋体"/>
                      <w:color w:val="auto"/>
                      <w:kern w:val="0"/>
                      <w:szCs w:val="21"/>
                    </w:rPr>
                    <w:t>0.01</w:t>
                  </w:r>
                </w:p>
              </w:tc>
              <w:tc>
                <w:tcPr>
                  <w:tcW w:w="0" w:type="auto"/>
                  <w:vAlign w:val="center"/>
                </w:tcPr>
                <w:p w14:paraId="6A5CC7D9">
                  <w:pPr>
                    <w:pStyle w:val="105"/>
                    <w:spacing w:line="276" w:lineRule="auto"/>
                    <w:rPr>
                      <w:rFonts w:hAnsi="宋体"/>
                      <w:color w:val="auto"/>
                      <w:kern w:val="0"/>
                      <w:szCs w:val="21"/>
                    </w:rPr>
                  </w:pPr>
                  <w:r>
                    <w:rPr>
                      <w:rFonts w:hint="eastAsia" w:hAnsi="宋体"/>
                      <w:color w:val="auto"/>
                      <w:kern w:val="0"/>
                      <w:szCs w:val="21"/>
                    </w:rPr>
                    <w:t>原辅材料拆包</w:t>
                  </w:r>
                </w:p>
              </w:tc>
              <w:tc>
                <w:tcPr>
                  <w:tcW w:w="0" w:type="auto"/>
                  <w:vAlign w:val="center"/>
                </w:tcPr>
                <w:p w14:paraId="002BE097">
                  <w:pPr>
                    <w:pStyle w:val="105"/>
                    <w:spacing w:line="276" w:lineRule="auto"/>
                    <w:rPr>
                      <w:rFonts w:hAnsi="宋体"/>
                      <w:color w:val="auto"/>
                      <w:kern w:val="0"/>
                      <w:szCs w:val="21"/>
                    </w:rPr>
                  </w:pPr>
                  <w:r>
                    <w:rPr>
                      <w:rFonts w:hint="eastAsia" w:hAnsi="宋体"/>
                      <w:color w:val="auto"/>
                      <w:kern w:val="0"/>
                      <w:szCs w:val="21"/>
                    </w:rPr>
                    <w:t>固态</w:t>
                  </w:r>
                </w:p>
              </w:tc>
              <w:tc>
                <w:tcPr>
                  <w:tcW w:w="0" w:type="auto"/>
                  <w:vAlign w:val="center"/>
                </w:tcPr>
                <w:p w14:paraId="0C3ADE5A">
                  <w:pPr>
                    <w:pStyle w:val="105"/>
                    <w:spacing w:line="276" w:lineRule="auto"/>
                    <w:rPr>
                      <w:rFonts w:hAnsi="宋体"/>
                      <w:color w:val="auto"/>
                      <w:kern w:val="0"/>
                      <w:szCs w:val="21"/>
                    </w:rPr>
                  </w:pPr>
                  <w:r>
                    <w:rPr>
                      <w:rFonts w:hint="eastAsia" w:hAnsi="宋体"/>
                      <w:color w:val="auto"/>
                      <w:kern w:val="0"/>
                      <w:szCs w:val="21"/>
                    </w:rPr>
                    <w:t>酯类及其他有机物</w:t>
                  </w:r>
                </w:p>
              </w:tc>
              <w:tc>
                <w:tcPr>
                  <w:tcW w:w="0" w:type="auto"/>
                  <w:vMerge w:val="restart"/>
                  <w:vAlign w:val="center"/>
                </w:tcPr>
                <w:p w14:paraId="3B2B0D80">
                  <w:pPr>
                    <w:pStyle w:val="105"/>
                    <w:spacing w:line="276" w:lineRule="auto"/>
                    <w:rPr>
                      <w:rFonts w:hAnsi="宋体"/>
                      <w:color w:val="auto"/>
                      <w:kern w:val="0"/>
                      <w:szCs w:val="21"/>
                    </w:rPr>
                  </w:pPr>
                  <w:r>
                    <w:rPr>
                      <w:rFonts w:hint="eastAsia" w:hAnsi="宋体"/>
                      <w:color w:val="auto"/>
                      <w:kern w:val="0"/>
                      <w:szCs w:val="21"/>
                    </w:rPr>
                    <w:t>危险废物</w:t>
                  </w:r>
                </w:p>
              </w:tc>
              <w:tc>
                <w:tcPr>
                  <w:tcW w:w="0" w:type="auto"/>
                  <w:vMerge w:val="restart"/>
                  <w:vAlign w:val="center"/>
                </w:tcPr>
                <w:p w14:paraId="33FBE8DE">
                  <w:pPr>
                    <w:pStyle w:val="105"/>
                    <w:spacing w:line="276" w:lineRule="auto"/>
                    <w:rPr>
                      <w:rFonts w:hAnsi="宋体"/>
                      <w:color w:val="auto"/>
                      <w:kern w:val="0"/>
                      <w:szCs w:val="21"/>
                    </w:rPr>
                  </w:pPr>
                  <w:r>
                    <w:rPr>
                      <w:rFonts w:hint="eastAsia" w:hAnsi="宋体"/>
                      <w:color w:val="auto"/>
                      <w:szCs w:val="21"/>
                    </w:rPr>
                    <w:t>收集存放于危废暂存间，委托有资质的单位定期处理处置</w:t>
                  </w:r>
                </w:p>
              </w:tc>
            </w:tr>
            <w:tr w14:paraId="34D32FD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14:paraId="626821BC">
                  <w:pPr>
                    <w:pStyle w:val="105"/>
                    <w:spacing w:line="276" w:lineRule="auto"/>
                    <w:rPr>
                      <w:rFonts w:hAnsi="宋体"/>
                      <w:color w:val="auto"/>
                      <w:kern w:val="0"/>
                      <w:szCs w:val="21"/>
                    </w:rPr>
                  </w:pPr>
                  <w:r>
                    <w:rPr>
                      <w:rFonts w:hint="eastAsia" w:hAnsi="宋体"/>
                      <w:color w:val="auto"/>
                      <w:kern w:val="0"/>
                      <w:szCs w:val="21"/>
                    </w:rPr>
                    <w:t>3</w:t>
                  </w:r>
                </w:p>
              </w:tc>
              <w:tc>
                <w:tcPr>
                  <w:tcW w:w="0" w:type="auto"/>
                  <w:vAlign w:val="center"/>
                </w:tcPr>
                <w:p w14:paraId="5EA89B33">
                  <w:pPr>
                    <w:pStyle w:val="105"/>
                    <w:spacing w:line="276" w:lineRule="auto"/>
                    <w:rPr>
                      <w:rFonts w:hAnsi="宋体"/>
                      <w:color w:val="auto"/>
                      <w:kern w:val="0"/>
                      <w:szCs w:val="21"/>
                    </w:rPr>
                  </w:pPr>
                  <w:r>
                    <w:rPr>
                      <w:rFonts w:hint="eastAsia" w:hAnsi="宋体"/>
                      <w:color w:val="auto"/>
                      <w:kern w:val="0"/>
                      <w:szCs w:val="21"/>
                    </w:rPr>
                    <w:t>废漆料</w:t>
                  </w:r>
                </w:p>
              </w:tc>
              <w:tc>
                <w:tcPr>
                  <w:tcW w:w="0" w:type="auto"/>
                  <w:vAlign w:val="center"/>
                </w:tcPr>
                <w:p w14:paraId="4EBCB6B8">
                  <w:pPr>
                    <w:pStyle w:val="105"/>
                    <w:spacing w:line="276" w:lineRule="auto"/>
                    <w:rPr>
                      <w:rFonts w:hAnsi="宋体"/>
                      <w:color w:val="auto"/>
                      <w:kern w:val="0"/>
                      <w:szCs w:val="21"/>
                    </w:rPr>
                  </w:pPr>
                  <w:r>
                    <w:rPr>
                      <w:rFonts w:hint="eastAsia" w:hAnsi="宋体"/>
                      <w:color w:val="auto"/>
                      <w:kern w:val="0"/>
                      <w:szCs w:val="21"/>
                    </w:rPr>
                    <w:t>4.275</w:t>
                  </w:r>
                </w:p>
              </w:tc>
              <w:tc>
                <w:tcPr>
                  <w:tcW w:w="0" w:type="auto"/>
                  <w:vAlign w:val="center"/>
                </w:tcPr>
                <w:p w14:paraId="39615854">
                  <w:pPr>
                    <w:pStyle w:val="105"/>
                    <w:spacing w:line="276" w:lineRule="auto"/>
                    <w:rPr>
                      <w:rFonts w:hAnsi="宋体"/>
                      <w:color w:val="auto"/>
                      <w:kern w:val="0"/>
                      <w:szCs w:val="21"/>
                    </w:rPr>
                  </w:pPr>
                  <w:r>
                    <w:rPr>
                      <w:rFonts w:hint="eastAsia" w:hAnsi="宋体"/>
                      <w:color w:val="auto"/>
                      <w:kern w:val="0"/>
                      <w:szCs w:val="21"/>
                    </w:rPr>
                    <w:t>0.50</w:t>
                  </w:r>
                </w:p>
              </w:tc>
              <w:tc>
                <w:tcPr>
                  <w:tcW w:w="0" w:type="auto"/>
                  <w:vAlign w:val="center"/>
                </w:tcPr>
                <w:p w14:paraId="104EA2EB">
                  <w:pPr>
                    <w:pStyle w:val="105"/>
                    <w:spacing w:line="276" w:lineRule="auto"/>
                    <w:rPr>
                      <w:rFonts w:hAnsi="宋体"/>
                      <w:color w:val="auto"/>
                      <w:kern w:val="0"/>
                      <w:szCs w:val="21"/>
                    </w:rPr>
                  </w:pPr>
                  <w:r>
                    <w:rPr>
                      <w:rFonts w:hint="eastAsia" w:hAnsi="宋体"/>
                      <w:color w:val="auto"/>
                      <w:kern w:val="0"/>
                      <w:szCs w:val="21"/>
                    </w:rPr>
                    <w:t>喷涂工序</w:t>
                  </w:r>
                </w:p>
              </w:tc>
              <w:tc>
                <w:tcPr>
                  <w:tcW w:w="0" w:type="auto"/>
                  <w:vAlign w:val="center"/>
                </w:tcPr>
                <w:p w14:paraId="018FB1E2">
                  <w:pPr>
                    <w:pStyle w:val="105"/>
                    <w:spacing w:line="276" w:lineRule="auto"/>
                    <w:rPr>
                      <w:rFonts w:hAnsi="宋体"/>
                      <w:color w:val="auto"/>
                      <w:kern w:val="0"/>
                      <w:szCs w:val="21"/>
                    </w:rPr>
                  </w:pPr>
                  <w:r>
                    <w:rPr>
                      <w:rFonts w:hint="eastAsia" w:hAnsi="宋体"/>
                      <w:color w:val="auto"/>
                      <w:kern w:val="0"/>
                      <w:szCs w:val="21"/>
                    </w:rPr>
                    <w:t>固态</w:t>
                  </w:r>
                </w:p>
              </w:tc>
              <w:tc>
                <w:tcPr>
                  <w:tcW w:w="0" w:type="auto"/>
                  <w:vAlign w:val="center"/>
                </w:tcPr>
                <w:p w14:paraId="5F2C977D">
                  <w:pPr>
                    <w:pStyle w:val="105"/>
                    <w:spacing w:line="276" w:lineRule="auto"/>
                    <w:rPr>
                      <w:color w:val="auto"/>
                      <w:kern w:val="0"/>
                      <w:szCs w:val="21"/>
                    </w:rPr>
                  </w:pPr>
                  <w:r>
                    <w:rPr>
                      <w:rFonts w:hint="eastAsia" w:hAnsi="宋体"/>
                      <w:color w:val="auto"/>
                      <w:kern w:val="0"/>
                      <w:szCs w:val="21"/>
                    </w:rPr>
                    <w:t>酯类及金属氧化物</w:t>
                  </w:r>
                </w:p>
              </w:tc>
              <w:tc>
                <w:tcPr>
                  <w:tcW w:w="0" w:type="auto"/>
                  <w:vMerge w:val="continue"/>
                  <w:vAlign w:val="center"/>
                </w:tcPr>
                <w:p w14:paraId="3FD397B5">
                  <w:pPr>
                    <w:pStyle w:val="105"/>
                    <w:spacing w:line="276" w:lineRule="auto"/>
                    <w:rPr>
                      <w:rFonts w:hAnsi="宋体"/>
                      <w:color w:val="auto"/>
                      <w:kern w:val="0"/>
                      <w:szCs w:val="21"/>
                    </w:rPr>
                  </w:pPr>
                </w:p>
              </w:tc>
              <w:tc>
                <w:tcPr>
                  <w:tcW w:w="0" w:type="auto"/>
                  <w:vMerge w:val="continue"/>
                  <w:vAlign w:val="center"/>
                </w:tcPr>
                <w:p w14:paraId="64CE5E76">
                  <w:pPr>
                    <w:pStyle w:val="105"/>
                    <w:spacing w:line="276" w:lineRule="auto"/>
                    <w:rPr>
                      <w:rFonts w:hAnsi="宋体"/>
                      <w:color w:val="auto"/>
                      <w:kern w:val="0"/>
                      <w:szCs w:val="21"/>
                    </w:rPr>
                  </w:pPr>
                </w:p>
              </w:tc>
            </w:tr>
            <w:tr w14:paraId="50524F7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14:paraId="68EB3F1A">
                  <w:pPr>
                    <w:pStyle w:val="105"/>
                    <w:spacing w:line="276" w:lineRule="auto"/>
                    <w:rPr>
                      <w:rFonts w:hAnsi="宋体"/>
                      <w:color w:val="auto"/>
                      <w:kern w:val="0"/>
                      <w:szCs w:val="21"/>
                    </w:rPr>
                  </w:pPr>
                  <w:r>
                    <w:rPr>
                      <w:rFonts w:hint="eastAsia" w:hAnsi="宋体"/>
                      <w:color w:val="auto"/>
                      <w:kern w:val="0"/>
                      <w:szCs w:val="21"/>
                    </w:rPr>
                    <w:t>4</w:t>
                  </w:r>
                </w:p>
              </w:tc>
              <w:tc>
                <w:tcPr>
                  <w:tcW w:w="0" w:type="auto"/>
                  <w:vAlign w:val="center"/>
                </w:tcPr>
                <w:p w14:paraId="3B1E5AE4">
                  <w:pPr>
                    <w:pStyle w:val="105"/>
                    <w:spacing w:line="276" w:lineRule="auto"/>
                    <w:rPr>
                      <w:rFonts w:hAnsi="宋体"/>
                      <w:color w:val="auto"/>
                      <w:kern w:val="0"/>
                      <w:szCs w:val="21"/>
                    </w:rPr>
                  </w:pPr>
                  <w:r>
                    <w:rPr>
                      <w:rFonts w:hint="eastAsia" w:hAnsi="宋体"/>
                      <w:color w:val="auto"/>
                      <w:kern w:val="0"/>
                      <w:szCs w:val="21"/>
                    </w:rPr>
                    <w:t>废活性炭</w:t>
                  </w:r>
                </w:p>
              </w:tc>
              <w:tc>
                <w:tcPr>
                  <w:tcW w:w="0" w:type="auto"/>
                  <w:vAlign w:val="center"/>
                </w:tcPr>
                <w:p w14:paraId="22CDD344">
                  <w:pPr>
                    <w:pStyle w:val="105"/>
                    <w:spacing w:line="276" w:lineRule="auto"/>
                    <w:rPr>
                      <w:rFonts w:hAnsi="宋体"/>
                      <w:color w:val="auto"/>
                      <w:kern w:val="0"/>
                      <w:szCs w:val="21"/>
                    </w:rPr>
                  </w:pPr>
                  <w:r>
                    <w:rPr>
                      <w:rFonts w:hint="eastAsia" w:hAnsi="宋体"/>
                      <w:color w:val="auto"/>
                      <w:kern w:val="0"/>
                      <w:szCs w:val="21"/>
                    </w:rPr>
                    <w:t>15.047</w:t>
                  </w:r>
                </w:p>
              </w:tc>
              <w:tc>
                <w:tcPr>
                  <w:tcW w:w="0" w:type="auto"/>
                  <w:vAlign w:val="center"/>
                </w:tcPr>
                <w:p w14:paraId="59E2C06E">
                  <w:pPr>
                    <w:pStyle w:val="105"/>
                    <w:spacing w:line="276" w:lineRule="auto"/>
                    <w:rPr>
                      <w:rFonts w:hAnsi="宋体"/>
                      <w:color w:val="auto"/>
                      <w:kern w:val="0"/>
                      <w:szCs w:val="21"/>
                    </w:rPr>
                  </w:pPr>
                  <w:r>
                    <w:rPr>
                      <w:rFonts w:hint="eastAsia" w:hAnsi="宋体"/>
                      <w:color w:val="auto"/>
                      <w:kern w:val="0"/>
                      <w:szCs w:val="21"/>
                    </w:rPr>
                    <w:t>1.50</w:t>
                  </w:r>
                </w:p>
              </w:tc>
              <w:tc>
                <w:tcPr>
                  <w:tcW w:w="0" w:type="auto"/>
                  <w:vAlign w:val="center"/>
                </w:tcPr>
                <w:p w14:paraId="2270258A">
                  <w:pPr>
                    <w:pStyle w:val="105"/>
                    <w:spacing w:line="276" w:lineRule="auto"/>
                    <w:rPr>
                      <w:rFonts w:hAnsi="宋体"/>
                      <w:color w:val="auto"/>
                      <w:kern w:val="0"/>
                      <w:szCs w:val="21"/>
                    </w:rPr>
                  </w:pPr>
                  <w:r>
                    <w:rPr>
                      <w:rFonts w:hint="eastAsia" w:hAnsi="宋体"/>
                      <w:color w:val="auto"/>
                      <w:kern w:val="0"/>
                      <w:szCs w:val="21"/>
                    </w:rPr>
                    <w:t>废气处理工序</w:t>
                  </w:r>
                </w:p>
              </w:tc>
              <w:tc>
                <w:tcPr>
                  <w:tcW w:w="0" w:type="auto"/>
                  <w:vAlign w:val="center"/>
                </w:tcPr>
                <w:p w14:paraId="109791C7">
                  <w:pPr>
                    <w:pStyle w:val="105"/>
                    <w:spacing w:line="276" w:lineRule="auto"/>
                    <w:rPr>
                      <w:rFonts w:hAnsi="宋体"/>
                      <w:color w:val="auto"/>
                      <w:kern w:val="0"/>
                      <w:szCs w:val="21"/>
                    </w:rPr>
                  </w:pPr>
                  <w:r>
                    <w:rPr>
                      <w:rFonts w:hint="eastAsia" w:hAnsi="宋体"/>
                      <w:color w:val="auto"/>
                      <w:kern w:val="0"/>
                      <w:szCs w:val="21"/>
                    </w:rPr>
                    <w:t>固态</w:t>
                  </w:r>
                </w:p>
              </w:tc>
              <w:tc>
                <w:tcPr>
                  <w:tcW w:w="0" w:type="auto"/>
                  <w:vAlign w:val="center"/>
                </w:tcPr>
                <w:p w14:paraId="62F6ADA7">
                  <w:pPr>
                    <w:pStyle w:val="105"/>
                    <w:spacing w:line="276" w:lineRule="auto"/>
                    <w:rPr>
                      <w:rFonts w:hAnsi="宋体"/>
                      <w:color w:val="auto"/>
                      <w:kern w:val="0"/>
                      <w:szCs w:val="21"/>
                    </w:rPr>
                  </w:pPr>
                  <w:r>
                    <w:rPr>
                      <w:color w:val="auto"/>
                      <w:kern w:val="0"/>
                      <w:szCs w:val="21"/>
                    </w:rPr>
                    <w:t>失活活性炭</w:t>
                  </w:r>
                  <w:r>
                    <w:rPr>
                      <w:rFonts w:hint="eastAsia"/>
                      <w:color w:val="auto"/>
                      <w:kern w:val="0"/>
                      <w:szCs w:val="21"/>
                    </w:rPr>
                    <w:t>、</w:t>
                  </w:r>
                  <w:r>
                    <w:rPr>
                      <w:color w:val="auto"/>
                      <w:kern w:val="0"/>
                      <w:szCs w:val="21"/>
                    </w:rPr>
                    <w:t>挥发性有机物</w:t>
                  </w:r>
                </w:p>
              </w:tc>
              <w:tc>
                <w:tcPr>
                  <w:tcW w:w="0" w:type="auto"/>
                  <w:vMerge w:val="continue"/>
                  <w:vAlign w:val="center"/>
                </w:tcPr>
                <w:p w14:paraId="404FBDD7">
                  <w:pPr>
                    <w:pStyle w:val="105"/>
                    <w:spacing w:line="276" w:lineRule="auto"/>
                    <w:rPr>
                      <w:rFonts w:hAnsi="宋体"/>
                      <w:color w:val="auto"/>
                      <w:kern w:val="0"/>
                      <w:szCs w:val="21"/>
                    </w:rPr>
                  </w:pPr>
                </w:p>
              </w:tc>
              <w:tc>
                <w:tcPr>
                  <w:tcW w:w="0" w:type="auto"/>
                  <w:vMerge w:val="continue"/>
                  <w:vAlign w:val="center"/>
                </w:tcPr>
                <w:p w14:paraId="66D857AA">
                  <w:pPr>
                    <w:pStyle w:val="105"/>
                    <w:spacing w:line="276" w:lineRule="auto"/>
                    <w:rPr>
                      <w:rFonts w:hAnsi="宋体"/>
                      <w:color w:val="auto"/>
                      <w:kern w:val="0"/>
                      <w:szCs w:val="21"/>
                    </w:rPr>
                  </w:pPr>
                </w:p>
              </w:tc>
            </w:tr>
          </w:tbl>
          <w:p w14:paraId="1C4ED322">
            <w:pPr>
              <w:pStyle w:val="108"/>
              <w:adjustRightInd/>
              <w:spacing w:line="360" w:lineRule="auto"/>
              <w:jc w:val="center"/>
              <w:rPr>
                <w:rFonts w:eastAsia="黑体"/>
                <w:bCs/>
                <w:color w:val="auto"/>
                <w:sz w:val="21"/>
                <w:szCs w:val="21"/>
              </w:rPr>
            </w:pPr>
            <w:r>
              <w:rPr>
                <w:rFonts w:hint="eastAsia" w:hAnsi="黑体" w:eastAsia="黑体"/>
                <w:color w:val="auto"/>
              </w:rPr>
              <w:t>表50</w:t>
            </w:r>
            <w:r>
              <w:rPr>
                <w:rFonts w:hAnsi="黑体" w:eastAsia="黑体"/>
                <w:color w:val="auto"/>
              </w:rPr>
              <w:t xml:space="preserve">  危险废物汇总表</w:t>
            </w:r>
          </w:p>
          <w:tbl>
            <w:tblPr>
              <w:tblStyle w:val="34"/>
              <w:tblW w:w="8151"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27"/>
              <w:gridCol w:w="613"/>
              <w:gridCol w:w="797"/>
              <w:gridCol w:w="1196"/>
              <w:gridCol w:w="794"/>
              <w:gridCol w:w="729"/>
              <w:gridCol w:w="527"/>
              <w:gridCol w:w="688"/>
              <w:gridCol w:w="627"/>
              <w:gridCol w:w="624"/>
              <w:gridCol w:w="1129"/>
            </w:tblGrid>
            <w:tr w14:paraId="3650FF5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7" w:type="dxa"/>
                  <w:vAlign w:val="center"/>
                </w:tcPr>
                <w:p w14:paraId="6F37F645">
                  <w:pPr>
                    <w:topLinePunct/>
                    <w:spacing w:line="276" w:lineRule="auto"/>
                    <w:jc w:val="center"/>
                    <w:rPr>
                      <w:b/>
                      <w:color w:val="auto"/>
                      <w:kern w:val="0"/>
                      <w:szCs w:val="21"/>
                    </w:rPr>
                  </w:pPr>
                  <w:r>
                    <w:rPr>
                      <w:rFonts w:hint="eastAsia"/>
                      <w:b/>
                      <w:color w:val="auto"/>
                      <w:kern w:val="0"/>
                      <w:szCs w:val="21"/>
                    </w:rPr>
                    <w:t>序号</w:t>
                  </w:r>
                </w:p>
              </w:tc>
              <w:tc>
                <w:tcPr>
                  <w:tcW w:w="613" w:type="dxa"/>
                  <w:vAlign w:val="center"/>
                </w:tcPr>
                <w:p w14:paraId="50655AAE">
                  <w:pPr>
                    <w:topLinePunct/>
                    <w:spacing w:line="276" w:lineRule="auto"/>
                    <w:jc w:val="center"/>
                    <w:rPr>
                      <w:b/>
                      <w:color w:val="auto"/>
                      <w:kern w:val="0"/>
                      <w:szCs w:val="21"/>
                    </w:rPr>
                  </w:pPr>
                  <w:r>
                    <w:rPr>
                      <w:rFonts w:hint="eastAsia"/>
                      <w:b/>
                      <w:color w:val="auto"/>
                      <w:kern w:val="0"/>
                      <w:szCs w:val="21"/>
                    </w:rPr>
                    <w:t>危险废物名称</w:t>
                  </w:r>
                </w:p>
              </w:tc>
              <w:tc>
                <w:tcPr>
                  <w:tcW w:w="797" w:type="dxa"/>
                  <w:vAlign w:val="center"/>
                </w:tcPr>
                <w:p w14:paraId="484F049D">
                  <w:pPr>
                    <w:topLinePunct/>
                    <w:spacing w:line="276" w:lineRule="auto"/>
                    <w:jc w:val="center"/>
                    <w:rPr>
                      <w:b/>
                      <w:color w:val="auto"/>
                      <w:kern w:val="0"/>
                      <w:szCs w:val="21"/>
                    </w:rPr>
                  </w:pPr>
                  <w:r>
                    <w:rPr>
                      <w:rFonts w:hint="eastAsia"/>
                      <w:b/>
                      <w:color w:val="auto"/>
                      <w:kern w:val="0"/>
                      <w:szCs w:val="21"/>
                    </w:rPr>
                    <w:t>危险废物类别</w:t>
                  </w:r>
                </w:p>
              </w:tc>
              <w:tc>
                <w:tcPr>
                  <w:tcW w:w="1196" w:type="dxa"/>
                  <w:vAlign w:val="center"/>
                </w:tcPr>
                <w:p w14:paraId="6323E491">
                  <w:pPr>
                    <w:topLinePunct/>
                    <w:spacing w:line="276" w:lineRule="auto"/>
                    <w:jc w:val="center"/>
                    <w:rPr>
                      <w:b/>
                      <w:color w:val="auto"/>
                      <w:kern w:val="0"/>
                      <w:szCs w:val="21"/>
                    </w:rPr>
                  </w:pPr>
                  <w:r>
                    <w:rPr>
                      <w:rFonts w:hint="eastAsia"/>
                      <w:b/>
                      <w:color w:val="auto"/>
                      <w:kern w:val="0"/>
                      <w:szCs w:val="21"/>
                    </w:rPr>
                    <w:t>危险废物代码</w:t>
                  </w:r>
                </w:p>
              </w:tc>
              <w:tc>
                <w:tcPr>
                  <w:tcW w:w="794" w:type="dxa"/>
                  <w:vAlign w:val="center"/>
                </w:tcPr>
                <w:p w14:paraId="3BBD95D4">
                  <w:pPr>
                    <w:topLinePunct/>
                    <w:spacing w:line="276" w:lineRule="auto"/>
                    <w:jc w:val="center"/>
                    <w:rPr>
                      <w:b/>
                      <w:color w:val="auto"/>
                      <w:kern w:val="0"/>
                      <w:szCs w:val="21"/>
                    </w:rPr>
                  </w:pPr>
                  <w:r>
                    <w:rPr>
                      <w:rFonts w:hint="eastAsia"/>
                      <w:b/>
                      <w:color w:val="auto"/>
                      <w:kern w:val="0"/>
                      <w:szCs w:val="21"/>
                    </w:rPr>
                    <w:t>产生量（</w:t>
                  </w:r>
                  <w:r>
                    <w:rPr>
                      <w:b/>
                      <w:color w:val="auto"/>
                      <w:kern w:val="0"/>
                      <w:szCs w:val="21"/>
                    </w:rPr>
                    <w:t>t/a</w:t>
                  </w:r>
                  <w:r>
                    <w:rPr>
                      <w:rFonts w:hint="eastAsia"/>
                      <w:b/>
                      <w:color w:val="auto"/>
                      <w:kern w:val="0"/>
                      <w:szCs w:val="21"/>
                    </w:rPr>
                    <w:t>）</w:t>
                  </w:r>
                </w:p>
              </w:tc>
              <w:tc>
                <w:tcPr>
                  <w:tcW w:w="729" w:type="dxa"/>
                  <w:vAlign w:val="center"/>
                </w:tcPr>
                <w:p w14:paraId="0730F6FA">
                  <w:pPr>
                    <w:topLinePunct/>
                    <w:spacing w:line="276" w:lineRule="auto"/>
                    <w:jc w:val="center"/>
                    <w:rPr>
                      <w:b/>
                      <w:color w:val="auto"/>
                      <w:kern w:val="0"/>
                      <w:szCs w:val="21"/>
                    </w:rPr>
                  </w:pPr>
                  <w:r>
                    <w:rPr>
                      <w:rFonts w:hint="eastAsia"/>
                      <w:b/>
                      <w:color w:val="auto"/>
                      <w:kern w:val="0"/>
                      <w:szCs w:val="21"/>
                    </w:rPr>
                    <w:t>产生工序</w:t>
                  </w:r>
                </w:p>
              </w:tc>
              <w:tc>
                <w:tcPr>
                  <w:tcW w:w="527" w:type="dxa"/>
                  <w:vAlign w:val="center"/>
                </w:tcPr>
                <w:p w14:paraId="3C1EB0AE">
                  <w:pPr>
                    <w:topLinePunct/>
                    <w:spacing w:line="276" w:lineRule="auto"/>
                    <w:jc w:val="center"/>
                    <w:rPr>
                      <w:b/>
                      <w:color w:val="auto"/>
                      <w:kern w:val="0"/>
                      <w:szCs w:val="21"/>
                    </w:rPr>
                  </w:pPr>
                  <w:r>
                    <w:rPr>
                      <w:rFonts w:hint="eastAsia"/>
                      <w:b/>
                      <w:color w:val="auto"/>
                      <w:kern w:val="0"/>
                      <w:szCs w:val="21"/>
                    </w:rPr>
                    <w:t>形态</w:t>
                  </w:r>
                </w:p>
              </w:tc>
              <w:tc>
                <w:tcPr>
                  <w:tcW w:w="688" w:type="dxa"/>
                  <w:vAlign w:val="center"/>
                </w:tcPr>
                <w:p w14:paraId="1E162865">
                  <w:pPr>
                    <w:topLinePunct/>
                    <w:spacing w:line="276" w:lineRule="auto"/>
                    <w:jc w:val="center"/>
                    <w:rPr>
                      <w:b/>
                      <w:color w:val="auto"/>
                      <w:kern w:val="0"/>
                      <w:szCs w:val="21"/>
                    </w:rPr>
                  </w:pPr>
                  <w:r>
                    <w:rPr>
                      <w:rFonts w:hint="eastAsia"/>
                      <w:b/>
                      <w:color w:val="auto"/>
                      <w:kern w:val="0"/>
                      <w:szCs w:val="21"/>
                    </w:rPr>
                    <w:t>主要成分</w:t>
                  </w:r>
                </w:p>
              </w:tc>
              <w:tc>
                <w:tcPr>
                  <w:tcW w:w="627" w:type="dxa"/>
                  <w:vAlign w:val="center"/>
                </w:tcPr>
                <w:p w14:paraId="5C3C5609">
                  <w:pPr>
                    <w:topLinePunct/>
                    <w:spacing w:line="276" w:lineRule="auto"/>
                    <w:jc w:val="center"/>
                    <w:rPr>
                      <w:b/>
                      <w:color w:val="auto"/>
                      <w:kern w:val="0"/>
                      <w:szCs w:val="21"/>
                    </w:rPr>
                  </w:pPr>
                  <w:r>
                    <w:rPr>
                      <w:rFonts w:hint="eastAsia"/>
                      <w:b/>
                      <w:color w:val="auto"/>
                      <w:kern w:val="0"/>
                      <w:szCs w:val="21"/>
                    </w:rPr>
                    <w:t>有害成分</w:t>
                  </w:r>
                </w:p>
              </w:tc>
              <w:tc>
                <w:tcPr>
                  <w:tcW w:w="624" w:type="dxa"/>
                  <w:vAlign w:val="center"/>
                </w:tcPr>
                <w:p w14:paraId="488927DE">
                  <w:pPr>
                    <w:topLinePunct/>
                    <w:spacing w:line="276" w:lineRule="auto"/>
                    <w:jc w:val="center"/>
                    <w:rPr>
                      <w:b/>
                      <w:color w:val="auto"/>
                      <w:kern w:val="0"/>
                      <w:szCs w:val="21"/>
                    </w:rPr>
                  </w:pPr>
                  <w:r>
                    <w:rPr>
                      <w:rFonts w:hint="eastAsia"/>
                      <w:b/>
                      <w:color w:val="auto"/>
                      <w:kern w:val="0"/>
                      <w:szCs w:val="21"/>
                    </w:rPr>
                    <w:t>危险</w:t>
                  </w:r>
                </w:p>
                <w:p w14:paraId="612F63E6">
                  <w:pPr>
                    <w:topLinePunct/>
                    <w:spacing w:line="276" w:lineRule="auto"/>
                    <w:jc w:val="center"/>
                    <w:rPr>
                      <w:b/>
                      <w:color w:val="auto"/>
                      <w:kern w:val="0"/>
                      <w:szCs w:val="21"/>
                    </w:rPr>
                  </w:pPr>
                  <w:r>
                    <w:rPr>
                      <w:rFonts w:hint="eastAsia"/>
                      <w:b/>
                      <w:color w:val="auto"/>
                      <w:kern w:val="0"/>
                      <w:szCs w:val="21"/>
                    </w:rPr>
                    <w:t>特性</w:t>
                  </w:r>
                </w:p>
              </w:tc>
              <w:tc>
                <w:tcPr>
                  <w:tcW w:w="1129" w:type="dxa"/>
                  <w:vAlign w:val="center"/>
                </w:tcPr>
                <w:p w14:paraId="4EE08B8A">
                  <w:pPr>
                    <w:topLinePunct/>
                    <w:spacing w:line="276" w:lineRule="auto"/>
                    <w:jc w:val="center"/>
                    <w:rPr>
                      <w:b/>
                      <w:color w:val="auto"/>
                      <w:kern w:val="0"/>
                      <w:szCs w:val="21"/>
                    </w:rPr>
                  </w:pPr>
                  <w:r>
                    <w:rPr>
                      <w:rFonts w:hint="eastAsia"/>
                      <w:b/>
                      <w:color w:val="auto"/>
                      <w:kern w:val="0"/>
                      <w:szCs w:val="21"/>
                    </w:rPr>
                    <w:t>污染防治措施</w:t>
                  </w:r>
                </w:p>
              </w:tc>
            </w:tr>
            <w:tr w14:paraId="4A6A1C3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7" w:type="dxa"/>
                  <w:vAlign w:val="center"/>
                </w:tcPr>
                <w:p w14:paraId="2566AFF7">
                  <w:pPr>
                    <w:spacing w:line="276" w:lineRule="auto"/>
                    <w:jc w:val="center"/>
                    <w:rPr>
                      <w:color w:val="auto"/>
                      <w:szCs w:val="21"/>
                    </w:rPr>
                  </w:pPr>
                  <w:r>
                    <w:rPr>
                      <w:color w:val="auto"/>
                      <w:szCs w:val="21"/>
                    </w:rPr>
                    <w:t>1</w:t>
                  </w:r>
                </w:p>
              </w:tc>
              <w:tc>
                <w:tcPr>
                  <w:tcW w:w="613" w:type="dxa"/>
                  <w:vAlign w:val="center"/>
                </w:tcPr>
                <w:p w14:paraId="3A148B2D">
                  <w:pPr>
                    <w:spacing w:line="276" w:lineRule="auto"/>
                    <w:jc w:val="center"/>
                    <w:rPr>
                      <w:color w:val="auto"/>
                      <w:szCs w:val="21"/>
                    </w:rPr>
                  </w:pPr>
                  <w:r>
                    <w:rPr>
                      <w:rFonts w:hint="eastAsia" w:hAnsi="宋体"/>
                      <w:color w:val="auto"/>
                    </w:rPr>
                    <w:t>废包装桶</w:t>
                  </w:r>
                </w:p>
              </w:tc>
              <w:tc>
                <w:tcPr>
                  <w:tcW w:w="797" w:type="dxa"/>
                  <w:vAlign w:val="center"/>
                </w:tcPr>
                <w:p w14:paraId="108F9FD9">
                  <w:pPr>
                    <w:topLinePunct/>
                    <w:spacing w:line="276" w:lineRule="auto"/>
                    <w:jc w:val="center"/>
                    <w:rPr>
                      <w:color w:val="auto"/>
                      <w:szCs w:val="21"/>
                    </w:rPr>
                  </w:pPr>
                  <w:r>
                    <w:rPr>
                      <w:rFonts w:hint="eastAsia"/>
                      <w:color w:val="auto"/>
                      <w:szCs w:val="21"/>
                    </w:rPr>
                    <w:t>HW49其他废物</w:t>
                  </w:r>
                </w:p>
              </w:tc>
              <w:tc>
                <w:tcPr>
                  <w:tcW w:w="1196" w:type="dxa"/>
                  <w:vAlign w:val="center"/>
                </w:tcPr>
                <w:p w14:paraId="2330E929">
                  <w:pPr>
                    <w:topLinePunct/>
                    <w:spacing w:line="276" w:lineRule="auto"/>
                    <w:jc w:val="center"/>
                    <w:rPr>
                      <w:color w:val="auto"/>
                      <w:szCs w:val="21"/>
                    </w:rPr>
                  </w:pPr>
                  <w:r>
                    <w:rPr>
                      <w:rFonts w:hint="eastAsia" w:hAnsi="宋体"/>
                      <w:color w:val="auto"/>
                    </w:rPr>
                    <w:t>900-041-49</w:t>
                  </w:r>
                </w:p>
              </w:tc>
              <w:tc>
                <w:tcPr>
                  <w:tcW w:w="794" w:type="dxa"/>
                  <w:vAlign w:val="center"/>
                </w:tcPr>
                <w:p w14:paraId="203BEE6A">
                  <w:pPr>
                    <w:pStyle w:val="105"/>
                    <w:spacing w:line="276" w:lineRule="auto"/>
                    <w:rPr>
                      <w:rFonts w:hAnsi="宋体"/>
                      <w:color w:val="auto"/>
                      <w:kern w:val="0"/>
                      <w:szCs w:val="21"/>
                    </w:rPr>
                  </w:pPr>
                  <w:r>
                    <w:rPr>
                      <w:rFonts w:hint="eastAsia" w:hAnsi="宋体"/>
                      <w:color w:val="auto"/>
                      <w:kern w:val="0"/>
                      <w:szCs w:val="21"/>
                    </w:rPr>
                    <w:t>1.125</w:t>
                  </w:r>
                </w:p>
              </w:tc>
              <w:tc>
                <w:tcPr>
                  <w:tcW w:w="729" w:type="dxa"/>
                  <w:vAlign w:val="center"/>
                </w:tcPr>
                <w:p w14:paraId="2C72D113">
                  <w:pPr>
                    <w:pStyle w:val="105"/>
                    <w:spacing w:line="276" w:lineRule="auto"/>
                    <w:rPr>
                      <w:rFonts w:hAnsi="宋体"/>
                      <w:color w:val="auto"/>
                      <w:kern w:val="0"/>
                      <w:szCs w:val="21"/>
                    </w:rPr>
                  </w:pPr>
                  <w:r>
                    <w:rPr>
                      <w:rFonts w:hint="eastAsia" w:hAnsi="宋体"/>
                      <w:color w:val="auto"/>
                      <w:kern w:val="0"/>
                      <w:szCs w:val="21"/>
                    </w:rPr>
                    <w:t>原辅材料拆包</w:t>
                  </w:r>
                </w:p>
              </w:tc>
              <w:tc>
                <w:tcPr>
                  <w:tcW w:w="527" w:type="dxa"/>
                  <w:vAlign w:val="center"/>
                </w:tcPr>
                <w:p w14:paraId="417DC5C9">
                  <w:pPr>
                    <w:pStyle w:val="105"/>
                    <w:spacing w:line="276" w:lineRule="auto"/>
                    <w:rPr>
                      <w:rFonts w:hAnsi="宋体"/>
                      <w:color w:val="auto"/>
                      <w:kern w:val="0"/>
                      <w:szCs w:val="21"/>
                    </w:rPr>
                  </w:pPr>
                  <w:r>
                    <w:rPr>
                      <w:rFonts w:hint="eastAsia" w:hAnsi="宋体"/>
                      <w:color w:val="auto"/>
                      <w:kern w:val="0"/>
                      <w:szCs w:val="21"/>
                    </w:rPr>
                    <w:t>固态</w:t>
                  </w:r>
                </w:p>
              </w:tc>
              <w:tc>
                <w:tcPr>
                  <w:tcW w:w="688" w:type="dxa"/>
                  <w:vAlign w:val="center"/>
                </w:tcPr>
                <w:p w14:paraId="261F4628">
                  <w:pPr>
                    <w:pStyle w:val="105"/>
                    <w:spacing w:line="276" w:lineRule="auto"/>
                    <w:rPr>
                      <w:rFonts w:hAnsi="宋体"/>
                      <w:color w:val="auto"/>
                      <w:kern w:val="0"/>
                      <w:szCs w:val="21"/>
                    </w:rPr>
                  </w:pPr>
                  <w:r>
                    <w:rPr>
                      <w:rFonts w:hint="eastAsia" w:hAnsi="宋体"/>
                      <w:color w:val="auto"/>
                      <w:kern w:val="0"/>
                      <w:szCs w:val="21"/>
                    </w:rPr>
                    <w:t>酯类及其他有机物</w:t>
                  </w:r>
                </w:p>
              </w:tc>
              <w:tc>
                <w:tcPr>
                  <w:tcW w:w="627" w:type="dxa"/>
                  <w:vAlign w:val="center"/>
                </w:tcPr>
                <w:p w14:paraId="515C7670">
                  <w:pPr>
                    <w:topLinePunct/>
                    <w:adjustRightInd w:val="0"/>
                    <w:snapToGrid w:val="0"/>
                    <w:spacing w:line="276" w:lineRule="auto"/>
                    <w:jc w:val="center"/>
                    <w:rPr>
                      <w:color w:val="auto"/>
                      <w:szCs w:val="21"/>
                    </w:rPr>
                  </w:pPr>
                  <w:r>
                    <w:rPr>
                      <w:rFonts w:hint="eastAsia" w:hAnsi="宋体"/>
                      <w:color w:val="auto"/>
                      <w:kern w:val="0"/>
                      <w:szCs w:val="21"/>
                    </w:rPr>
                    <w:t>酯类</w:t>
                  </w:r>
                </w:p>
              </w:tc>
              <w:tc>
                <w:tcPr>
                  <w:tcW w:w="624" w:type="dxa"/>
                  <w:vAlign w:val="center"/>
                </w:tcPr>
                <w:p w14:paraId="1E871BE5">
                  <w:pPr>
                    <w:topLinePunct/>
                    <w:adjustRightInd w:val="0"/>
                    <w:snapToGrid w:val="0"/>
                    <w:spacing w:line="276" w:lineRule="auto"/>
                    <w:jc w:val="center"/>
                    <w:rPr>
                      <w:color w:val="auto"/>
                      <w:kern w:val="0"/>
                      <w:szCs w:val="21"/>
                    </w:rPr>
                  </w:pPr>
                  <w:r>
                    <w:rPr>
                      <w:color w:val="auto"/>
                      <w:kern w:val="0"/>
                      <w:szCs w:val="21"/>
                    </w:rPr>
                    <w:t>In/T</w:t>
                  </w:r>
                </w:p>
              </w:tc>
              <w:tc>
                <w:tcPr>
                  <w:tcW w:w="1129" w:type="dxa"/>
                  <w:vMerge w:val="restart"/>
                  <w:vAlign w:val="center"/>
                </w:tcPr>
                <w:p w14:paraId="5CE8ECDF">
                  <w:pPr>
                    <w:spacing w:line="276" w:lineRule="auto"/>
                    <w:jc w:val="center"/>
                    <w:rPr>
                      <w:color w:val="auto"/>
                      <w:szCs w:val="21"/>
                    </w:rPr>
                  </w:pPr>
                  <w:r>
                    <w:rPr>
                      <w:color w:val="auto"/>
                      <w:szCs w:val="21"/>
                    </w:rPr>
                    <w:t>收集暂存于危险废物暂存间</w:t>
                  </w:r>
                  <w:r>
                    <w:rPr>
                      <w:rFonts w:hint="eastAsia"/>
                      <w:color w:val="auto"/>
                      <w:szCs w:val="21"/>
                    </w:rPr>
                    <w:t>（占地面积30m</w:t>
                  </w:r>
                  <w:r>
                    <w:rPr>
                      <w:rFonts w:hint="eastAsia"/>
                      <w:color w:val="auto"/>
                      <w:szCs w:val="21"/>
                      <w:vertAlign w:val="superscript"/>
                    </w:rPr>
                    <w:t>2</w:t>
                  </w:r>
                  <w:r>
                    <w:rPr>
                      <w:rFonts w:hint="eastAsia"/>
                      <w:color w:val="auto"/>
                      <w:szCs w:val="21"/>
                    </w:rPr>
                    <w:t>）</w:t>
                  </w:r>
                  <w:r>
                    <w:rPr>
                      <w:color w:val="auto"/>
                      <w:szCs w:val="21"/>
                    </w:rPr>
                    <w:t>，委托有资质单位定期处理处置</w:t>
                  </w:r>
                </w:p>
              </w:tc>
            </w:tr>
            <w:tr w14:paraId="6A38B3C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7" w:type="dxa"/>
                  <w:vAlign w:val="center"/>
                </w:tcPr>
                <w:p w14:paraId="260ED188">
                  <w:pPr>
                    <w:spacing w:line="276" w:lineRule="auto"/>
                    <w:jc w:val="center"/>
                    <w:rPr>
                      <w:color w:val="auto"/>
                      <w:szCs w:val="21"/>
                    </w:rPr>
                  </w:pPr>
                  <w:r>
                    <w:rPr>
                      <w:rFonts w:hint="eastAsia"/>
                      <w:color w:val="auto"/>
                      <w:szCs w:val="21"/>
                    </w:rPr>
                    <w:t>2</w:t>
                  </w:r>
                </w:p>
              </w:tc>
              <w:tc>
                <w:tcPr>
                  <w:tcW w:w="613" w:type="dxa"/>
                  <w:vAlign w:val="center"/>
                </w:tcPr>
                <w:p w14:paraId="59250033">
                  <w:pPr>
                    <w:spacing w:line="276" w:lineRule="auto"/>
                    <w:jc w:val="center"/>
                    <w:rPr>
                      <w:rFonts w:hAnsi="宋体"/>
                      <w:color w:val="auto"/>
                    </w:rPr>
                  </w:pPr>
                  <w:r>
                    <w:rPr>
                      <w:rFonts w:hint="eastAsia" w:hAnsi="宋体"/>
                      <w:color w:val="auto"/>
                      <w:kern w:val="0"/>
                      <w:szCs w:val="21"/>
                    </w:rPr>
                    <w:t>废漆料</w:t>
                  </w:r>
                </w:p>
              </w:tc>
              <w:tc>
                <w:tcPr>
                  <w:tcW w:w="797" w:type="dxa"/>
                  <w:vAlign w:val="center"/>
                </w:tcPr>
                <w:p w14:paraId="2A96EB84">
                  <w:pPr>
                    <w:topLinePunct/>
                    <w:spacing w:line="276" w:lineRule="auto"/>
                    <w:jc w:val="center"/>
                    <w:rPr>
                      <w:color w:val="auto"/>
                      <w:szCs w:val="21"/>
                    </w:rPr>
                  </w:pPr>
                  <w:r>
                    <w:rPr>
                      <w:rFonts w:hint="eastAsia"/>
                      <w:color w:val="auto"/>
                      <w:szCs w:val="21"/>
                    </w:rPr>
                    <w:t>HW12染料、涂料废物</w:t>
                  </w:r>
                </w:p>
              </w:tc>
              <w:tc>
                <w:tcPr>
                  <w:tcW w:w="1196" w:type="dxa"/>
                  <w:vAlign w:val="center"/>
                </w:tcPr>
                <w:p w14:paraId="461016CA">
                  <w:pPr>
                    <w:topLinePunct/>
                    <w:spacing w:line="276" w:lineRule="auto"/>
                    <w:jc w:val="center"/>
                    <w:rPr>
                      <w:color w:val="auto"/>
                      <w:szCs w:val="21"/>
                    </w:rPr>
                  </w:pPr>
                  <w:r>
                    <w:rPr>
                      <w:rFonts w:hint="eastAsia"/>
                      <w:color w:val="auto"/>
                      <w:szCs w:val="21"/>
                    </w:rPr>
                    <w:t>900-255-12</w:t>
                  </w:r>
                </w:p>
              </w:tc>
              <w:tc>
                <w:tcPr>
                  <w:tcW w:w="794" w:type="dxa"/>
                  <w:vAlign w:val="center"/>
                </w:tcPr>
                <w:p w14:paraId="1B890ACE">
                  <w:pPr>
                    <w:pStyle w:val="105"/>
                    <w:spacing w:line="276" w:lineRule="auto"/>
                    <w:rPr>
                      <w:rFonts w:hAnsi="宋体"/>
                      <w:color w:val="auto"/>
                      <w:kern w:val="0"/>
                      <w:szCs w:val="21"/>
                    </w:rPr>
                  </w:pPr>
                  <w:r>
                    <w:rPr>
                      <w:rFonts w:hint="eastAsia" w:hAnsi="宋体"/>
                      <w:color w:val="auto"/>
                      <w:kern w:val="0"/>
                      <w:szCs w:val="21"/>
                    </w:rPr>
                    <w:t>4.275</w:t>
                  </w:r>
                </w:p>
              </w:tc>
              <w:tc>
                <w:tcPr>
                  <w:tcW w:w="729" w:type="dxa"/>
                  <w:vAlign w:val="center"/>
                </w:tcPr>
                <w:p w14:paraId="37C41FA8">
                  <w:pPr>
                    <w:pStyle w:val="105"/>
                    <w:spacing w:line="276" w:lineRule="auto"/>
                    <w:rPr>
                      <w:rFonts w:hAnsi="宋体"/>
                      <w:color w:val="auto"/>
                      <w:kern w:val="0"/>
                      <w:szCs w:val="21"/>
                    </w:rPr>
                  </w:pPr>
                  <w:r>
                    <w:rPr>
                      <w:rFonts w:hint="eastAsia" w:hAnsi="宋体"/>
                      <w:color w:val="auto"/>
                      <w:kern w:val="0"/>
                      <w:szCs w:val="21"/>
                    </w:rPr>
                    <w:t>喷涂工序</w:t>
                  </w:r>
                </w:p>
              </w:tc>
              <w:tc>
                <w:tcPr>
                  <w:tcW w:w="527" w:type="dxa"/>
                  <w:vAlign w:val="center"/>
                </w:tcPr>
                <w:p w14:paraId="0DDA04D6">
                  <w:pPr>
                    <w:pStyle w:val="105"/>
                    <w:spacing w:line="276" w:lineRule="auto"/>
                    <w:rPr>
                      <w:rFonts w:hAnsi="宋体"/>
                      <w:color w:val="auto"/>
                      <w:kern w:val="0"/>
                      <w:szCs w:val="21"/>
                    </w:rPr>
                  </w:pPr>
                  <w:r>
                    <w:rPr>
                      <w:rFonts w:hint="eastAsia" w:hAnsi="宋体"/>
                      <w:color w:val="auto"/>
                      <w:kern w:val="0"/>
                      <w:szCs w:val="21"/>
                    </w:rPr>
                    <w:t>固态</w:t>
                  </w:r>
                </w:p>
              </w:tc>
              <w:tc>
                <w:tcPr>
                  <w:tcW w:w="688" w:type="dxa"/>
                  <w:vAlign w:val="center"/>
                </w:tcPr>
                <w:p w14:paraId="144DA6C9">
                  <w:pPr>
                    <w:pStyle w:val="105"/>
                    <w:spacing w:line="276" w:lineRule="auto"/>
                    <w:rPr>
                      <w:color w:val="auto"/>
                      <w:kern w:val="0"/>
                      <w:szCs w:val="21"/>
                    </w:rPr>
                  </w:pPr>
                  <w:r>
                    <w:rPr>
                      <w:rFonts w:hint="eastAsia" w:hAnsi="宋体"/>
                      <w:color w:val="auto"/>
                      <w:kern w:val="0"/>
                      <w:szCs w:val="21"/>
                    </w:rPr>
                    <w:t>酯类及金属氧化物</w:t>
                  </w:r>
                </w:p>
              </w:tc>
              <w:tc>
                <w:tcPr>
                  <w:tcW w:w="627" w:type="dxa"/>
                  <w:vAlign w:val="center"/>
                </w:tcPr>
                <w:p w14:paraId="73C3FA4F">
                  <w:pPr>
                    <w:topLinePunct/>
                    <w:adjustRightInd w:val="0"/>
                    <w:snapToGrid w:val="0"/>
                    <w:spacing w:line="276" w:lineRule="auto"/>
                    <w:jc w:val="center"/>
                    <w:rPr>
                      <w:color w:val="auto"/>
                      <w:szCs w:val="21"/>
                    </w:rPr>
                  </w:pPr>
                  <w:r>
                    <w:rPr>
                      <w:rFonts w:hint="eastAsia" w:hAnsi="宋体"/>
                      <w:color w:val="auto"/>
                      <w:kern w:val="0"/>
                      <w:szCs w:val="21"/>
                    </w:rPr>
                    <w:t>酯类</w:t>
                  </w:r>
                </w:p>
              </w:tc>
              <w:tc>
                <w:tcPr>
                  <w:tcW w:w="624" w:type="dxa"/>
                  <w:vAlign w:val="center"/>
                </w:tcPr>
                <w:p w14:paraId="54F54900">
                  <w:pPr>
                    <w:topLinePunct/>
                    <w:adjustRightInd w:val="0"/>
                    <w:snapToGrid w:val="0"/>
                    <w:spacing w:line="276" w:lineRule="auto"/>
                    <w:jc w:val="center"/>
                    <w:rPr>
                      <w:color w:val="auto"/>
                      <w:kern w:val="0"/>
                      <w:szCs w:val="21"/>
                    </w:rPr>
                  </w:pPr>
                  <w:r>
                    <w:rPr>
                      <w:color w:val="auto"/>
                      <w:kern w:val="0"/>
                      <w:szCs w:val="21"/>
                    </w:rPr>
                    <w:t>T</w:t>
                  </w:r>
                </w:p>
              </w:tc>
              <w:tc>
                <w:tcPr>
                  <w:tcW w:w="1129" w:type="dxa"/>
                  <w:vMerge w:val="continue"/>
                  <w:vAlign w:val="center"/>
                </w:tcPr>
                <w:p w14:paraId="5D7116FD">
                  <w:pPr>
                    <w:widowControl/>
                    <w:spacing w:line="276" w:lineRule="auto"/>
                    <w:jc w:val="center"/>
                    <w:rPr>
                      <w:color w:val="auto"/>
                      <w:szCs w:val="21"/>
                    </w:rPr>
                  </w:pPr>
                </w:p>
              </w:tc>
            </w:tr>
            <w:tr w14:paraId="4C53ED8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7" w:type="dxa"/>
                  <w:vAlign w:val="center"/>
                </w:tcPr>
                <w:p w14:paraId="6B68BA1A">
                  <w:pPr>
                    <w:spacing w:line="276" w:lineRule="auto"/>
                    <w:jc w:val="center"/>
                    <w:rPr>
                      <w:color w:val="auto"/>
                      <w:szCs w:val="21"/>
                    </w:rPr>
                  </w:pPr>
                  <w:r>
                    <w:rPr>
                      <w:rFonts w:hint="eastAsia"/>
                      <w:color w:val="auto"/>
                      <w:szCs w:val="21"/>
                    </w:rPr>
                    <w:t>3</w:t>
                  </w:r>
                </w:p>
              </w:tc>
              <w:tc>
                <w:tcPr>
                  <w:tcW w:w="613" w:type="dxa"/>
                  <w:vAlign w:val="center"/>
                </w:tcPr>
                <w:p w14:paraId="4F7C1FD2">
                  <w:pPr>
                    <w:spacing w:line="276" w:lineRule="auto"/>
                    <w:jc w:val="center"/>
                    <w:rPr>
                      <w:color w:val="auto"/>
                    </w:rPr>
                  </w:pPr>
                  <w:r>
                    <w:rPr>
                      <w:rFonts w:hint="eastAsia" w:hAnsi="宋体"/>
                      <w:color w:val="auto"/>
                    </w:rPr>
                    <w:t>废活性炭</w:t>
                  </w:r>
                </w:p>
              </w:tc>
              <w:tc>
                <w:tcPr>
                  <w:tcW w:w="797" w:type="dxa"/>
                  <w:vAlign w:val="center"/>
                </w:tcPr>
                <w:p w14:paraId="78239FE5">
                  <w:pPr>
                    <w:topLinePunct/>
                    <w:spacing w:line="276" w:lineRule="auto"/>
                    <w:jc w:val="center"/>
                    <w:rPr>
                      <w:color w:val="auto"/>
                      <w:szCs w:val="21"/>
                    </w:rPr>
                  </w:pPr>
                  <w:r>
                    <w:rPr>
                      <w:rFonts w:hint="eastAsia"/>
                      <w:color w:val="auto"/>
                      <w:szCs w:val="21"/>
                    </w:rPr>
                    <w:t>HW49其他废物</w:t>
                  </w:r>
                </w:p>
              </w:tc>
              <w:tc>
                <w:tcPr>
                  <w:tcW w:w="1196" w:type="dxa"/>
                  <w:vAlign w:val="center"/>
                </w:tcPr>
                <w:p w14:paraId="65B97E35">
                  <w:pPr>
                    <w:topLinePunct/>
                    <w:spacing w:line="276" w:lineRule="auto"/>
                    <w:jc w:val="center"/>
                    <w:rPr>
                      <w:color w:val="auto"/>
                      <w:szCs w:val="21"/>
                    </w:rPr>
                  </w:pPr>
                  <w:r>
                    <w:rPr>
                      <w:color w:val="auto"/>
                      <w:szCs w:val="21"/>
                    </w:rPr>
                    <w:t>900-039-49</w:t>
                  </w:r>
                </w:p>
              </w:tc>
              <w:tc>
                <w:tcPr>
                  <w:tcW w:w="794" w:type="dxa"/>
                  <w:vAlign w:val="center"/>
                </w:tcPr>
                <w:p w14:paraId="49C56377">
                  <w:pPr>
                    <w:pStyle w:val="105"/>
                    <w:spacing w:line="276" w:lineRule="auto"/>
                    <w:rPr>
                      <w:rFonts w:hAnsi="宋体"/>
                      <w:color w:val="auto"/>
                      <w:kern w:val="0"/>
                      <w:szCs w:val="21"/>
                    </w:rPr>
                  </w:pPr>
                  <w:r>
                    <w:rPr>
                      <w:rFonts w:hint="eastAsia" w:hAnsi="宋体"/>
                      <w:color w:val="auto"/>
                      <w:kern w:val="0"/>
                      <w:szCs w:val="21"/>
                    </w:rPr>
                    <w:t>15.047</w:t>
                  </w:r>
                </w:p>
              </w:tc>
              <w:tc>
                <w:tcPr>
                  <w:tcW w:w="729" w:type="dxa"/>
                  <w:vAlign w:val="center"/>
                </w:tcPr>
                <w:p w14:paraId="64D7C6DE">
                  <w:pPr>
                    <w:pStyle w:val="105"/>
                    <w:spacing w:line="276" w:lineRule="auto"/>
                    <w:rPr>
                      <w:rFonts w:hAnsi="宋体"/>
                      <w:color w:val="auto"/>
                      <w:kern w:val="0"/>
                      <w:szCs w:val="21"/>
                    </w:rPr>
                  </w:pPr>
                  <w:r>
                    <w:rPr>
                      <w:rFonts w:hint="eastAsia" w:hAnsi="宋体"/>
                      <w:color w:val="auto"/>
                      <w:kern w:val="0"/>
                      <w:szCs w:val="21"/>
                    </w:rPr>
                    <w:t>废气处理工序</w:t>
                  </w:r>
                </w:p>
              </w:tc>
              <w:tc>
                <w:tcPr>
                  <w:tcW w:w="527" w:type="dxa"/>
                  <w:vAlign w:val="center"/>
                </w:tcPr>
                <w:p w14:paraId="1BE1D2EA">
                  <w:pPr>
                    <w:pStyle w:val="105"/>
                    <w:spacing w:line="276" w:lineRule="auto"/>
                    <w:rPr>
                      <w:color w:val="auto"/>
                      <w:szCs w:val="21"/>
                    </w:rPr>
                  </w:pPr>
                  <w:r>
                    <w:rPr>
                      <w:rFonts w:hint="eastAsia" w:hAnsi="宋体"/>
                      <w:color w:val="auto"/>
                      <w:kern w:val="0"/>
                      <w:szCs w:val="21"/>
                    </w:rPr>
                    <w:t>固态</w:t>
                  </w:r>
                </w:p>
              </w:tc>
              <w:tc>
                <w:tcPr>
                  <w:tcW w:w="688" w:type="dxa"/>
                  <w:vAlign w:val="center"/>
                </w:tcPr>
                <w:p w14:paraId="38395735">
                  <w:pPr>
                    <w:pStyle w:val="105"/>
                    <w:spacing w:line="276" w:lineRule="auto"/>
                    <w:rPr>
                      <w:color w:val="auto"/>
                      <w:kern w:val="0"/>
                      <w:szCs w:val="21"/>
                    </w:rPr>
                  </w:pPr>
                  <w:r>
                    <w:rPr>
                      <w:color w:val="auto"/>
                      <w:kern w:val="0"/>
                      <w:szCs w:val="21"/>
                    </w:rPr>
                    <w:t>失活活性炭</w:t>
                  </w:r>
                  <w:r>
                    <w:rPr>
                      <w:rFonts w:hint="eastAsia"/>
                      <w:color w:val="auto"/>
                      <w:kern w:val="0"/>
                      <w:szCs w:val="21"/>
                    </w:rPr>
                    <w:t>、</w:t>
                  </w:r>
                  <w:r>
                    <w:rPr>
                      <w:color w:val="auto"/>
                      <w:kern w:val="0"/>
                      <w:szCs w:val="21"/>
                    </w:rPr>
                    <w:t>挥发性有机物</w:t>
                  </w:r>
                </w:p>
              </w:tc>
              <w:tc>
                <w:tcPr>
                  <w:tcW w:w="627" w:type="dxa"/>
                  <w:vAlign w:val="center"/>
                </w:tcPr>
                <w:p w14:paraId="2E6595B0">
                  <w:pPr>
                    <w:topLinePunct/>
                    <w:adjustRightInd w:val="0"/>
                    <w:snapToGrid w:val="0"/>
                    <w:spacing w:line="276" w:lineRule="auto"/>
                    <w:jc w:val="center"/>
                    <w:rPr>
                      <w:color w:val="auto"/>
                      <w:szCs w:val="21"/>
                    </w:rPr>
                  </w:pPr>
                  <w:r>
                    <w:rPr>
                      <w:rFonts w:hint="eastAsia"/>
                      <w:color w:val="auto"/>
                      <w:szCs w:val="21"/>
                    </w:rPr>
                    <w:t>挥发性有机物</w:t>
                  </w:r>
                </w:p>
              </w:tc>
              <w:tc>
                <w:tcPr>
                  <w:tcW w:w="624" w:type="dxa"/>
                  <w:vAlign w:val="center"/>
                </w:tcPr>
                <w:p w14:paraId="7E176B8F">
                  <w:pPr>
                    <w:topLinePunct/>
                    <w:adjustRightInd w:val="0"/>
                    <w:snapToGrid w:val="0"/>
                    <w:spacing w:line="276" w:lineRule="auto"/>
                    <w:jc w:val="center"/>
                    <w:rPr>
                      <w:color w:val="auto"/>
                      <w:kern w:val="0"/>
                      <w:szCs w:val="21"/>
                    </w:rPr>
                  </w:pPr>
                  <w:r>
                    <w:rPr>
                      <w:color w:val="auto"/>
                      <w:kern w:val="0"/>
                      <w:szCs w:val="21"/>
                    </w:rPr>
                    <w:t>T</w:t>
                  </w:r>
                </w:p>
              </w:tc>
              <w:tc>
                <w:tcPr>
                  <w:tcW w:w="1129" w:type="dxa"/>
                  <w:vMerge w:val="continue"/>
                  <w:vAlign w:val="center"/>
                </w:tcPr>
                <w:p w14:paraId="2EB31980">
                  <w:pPr>
                    <w:widowControl/>
                    <w:spacing w:line="276" w:lineRule="auto"/>
                    <w:jc w:val="center"/>
                    <w:rPr>
                      <w:color w:val="auto"/>
                      <w:szCs w:val="21"/>
                    </w:rPr>
                  </w:pPr>
                </w:p>
              </w:tc>
            </w:tr>
          </w:tbl>
          <w:p w14:paraId="2CC96289">
            <w:pPr>
              <w:spacing w:line="360" w:lineRule="auto"/>
              <w:ind w:firstLine="482" w:firstLineChars="200"/>
              <w:rPr>
                <w:b/>
                <w:color w:val="auto"/>
                <w:sz w:val="24"/>
              </w:rPr>
            </w:pPr>
            <w:r>
              <w:rPr>
                <w:b/>
                <w:color w:val="auto"/>
                <w:sz w:val="24"/>
              </w:rPr>
              <w:t>4</w:t>
            </w:r>
            <w:r>
              <w:rPr>
                <w:rFonts w:hint="eastAsia"/>
                <w:b/>
                <w:color w:val="auto"/>
                <w:sz w:val="24"/>
              </w:rPr>
              <w:t>、运营期固体废物污染防治措施</w:t>
            </w:r>
          </w:p>
          <w:p w14:paraId="56A79F9C">
            <w:pPr>
              <w:spacing w:line="360" w:lineRule="auto"/>
              <w:ind w:firstLine="480" w:firstLineChars="200"/>
              <w:rPr>
                <w:color w:val="auto"/>
                <w:sz w:val="24"/>
                <w:szCs w:val="24"/>
              </w:rPr>
            </w:pPr>
            <w:r>
              <w:rPr>
                <w:rFonts w:hint="eastAsia" w:hAnsi="宋体"/>
                <w:color w:val="auto"/>
                <w:sz w:val="24"/>
                <w:szCs w:val="24"/>
              </w:rPr>
              <w:t>（</w:t>
            </w:r>
            <w:r>
              <w:rPr>
                <w:color w:val="auto"/>
                <w:sz w:val="24"/>
                <w:szCs w:val="24"/>
              </w:rPr>
              <w:t>1</w:t>
            </w:r>
            <w:r>
              <w:rPr>
                <w:rFonts w:hint="eastAsia" w:hAnsi="宋体"/>
                <w:color w:val="auto"/>
                <w:sz w:val="24"/>
                <w:szCs w:val="24"/>
              </w:rPr>
              <w:t>）贮存场所（设施）污染防治设施</w:t>
            </w:r>
          </w:p>
          <w:p w14:paraId="014382D4">
            <w:pPr>
              <w:spacing w:line="360" w:lineRule="auto"/>
              <w:ind w:firstLine="480" w:firstLineChars="200"/>
              <w:rPr>
                <w:color w:val="auto"/>
                <w:sz w:val="24"/>
              </w:rPr>
            </w:pPr>
            <w:r>
              <w:rPr>
                <w:color w:val="auto"/>
                <w:sz w:val="24"/>
              </w:rPr>
              <w:t>1</w:t>
            </w:r>
            <w:r>
              <w:rPr>
                <w:rFonts w:hint="eastAsia" w:hAnsi="宋体"/>
                <w:color w:val="auto"/>
                <w:sz w:val="24"/>
              </w:rPr>
              <w:t>）一般工业固废暂存场所</w:t>
            </w:r>
          </w:p>
          <w:p w14:paraId="5A420DF2">
            <w:pPr>
              <w:adjustRightIn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项目一般工业固废均属于</w:t>
            </w:r>
            <w:r>
              <w:rPr>
                <w:rFonts w:hAnsi="宋体"/>
                <w:color w:val="auto"/>
                <w:sz w:val="24"/>
                <w:szCs w:val="24"/>
              </w:rPr>
              <w:t>第</w:t>
            </w:r>
            <w:r>
              <w:rPr>
                <w:color w:val="auto"/>
                <w:sz w:val="24"/>
                <w:szCs w:val="24"/>
              </w:rPr>
              <w:t>Ⅰ</w:t>
            </w:r>
            <w:r>
              <w:rPr>
                <w:rFonts w:hAnsi="宋体"/>
                <w:color w:val="auto"/>
                <w:sz w:val="24"/>
                <w:szCs w:val="24"/>
              </w:rPr>
              <w:t>类</w:t>
            </w:r>
            <w:r>
              <w:rPr>
                <w:rFonts w:hint="eastAsia" w:ascii="宋体" w:hAnsi="宋体"/>
                <w:color w:val="auto"/>
                <w:sz w:val="24"/>
                <w:szCs w:val="24"/>
              </w:rPr>
              <w:t>一般工业固体废弃物。</w:t>
            </w:r>
          </w:p>
          <w:p w14:paraId="3FA956DD">
            <w:pPr>
              <w:adjustRightInd w:val="0"/>
              <w:spacing w:line="360" w:lineRule="auto"/>
              <w:ind w:firstLine="480" w:firstLineChars="200"/>
              <w:jc w:val="left"/>
              <w:rPr>
                <w:rFonts w:ascii="宋体" w:hAnsi="宋体"/>
                <w:color w:val="auto"/>
                <w:sz w:val="24"/>
              </w:rPr>
            </w:pPr>
            <w:r>
              <w:rPr>
                <w:rFonts w:hint="eastAsia" w:ascii="宋体" w:hAnsi="宋体"/>
                <w:color w:val="auto"/>
                <w:sz w:val="24"/>
                <w:szCs w:val="24"/>
              </w:rPr>
              <w:t>本项目新增的不合格品依托现有厂区现有原料</w:t>
            </w:r>
            <w:r>
              <w:rPr>
                <w:rFonts w:hAnsi="宋体"/>
                <w:color w:val="auto"/>
                <w:sz w:val="24"/>
                <w:szCs w:val="24"/>
              </w:rPr>
              <w:t>库</w:t>
            </w:r>
            <w:r>
              <w:rPr>
                <w:rFonts w:hint="eastAsia" w:hAnsi="宋体"/>
                <w:color w:val="auto"/>
                <w:sz w:val="24"/>
                <w:szCs w:val="24"/>
              </w:rPr>
              <w:t>1</w:t>
            </w:r>
            <w:r>
              <w:rPr>
                <w:rFonts w:hint="eastAsia" w:ascii="宋体" w:hAnsi="宋体"/>
                <w:color w:val="auto"/>
                <w:sz w:val="24"/>
                <w:szCs w:val="24"/>
              </w:rPr>
              <w:t>进行存放，后回用于生产。地面已设置一般防渗。</w:t>
            </w:r>
          </w:p>
          <w:p w14:paraId="1AE0F84C">
            <w:pPr>
              <w:spacing w:line="360" w:lineRule="auto"/>
              <w:ind w:firstLine="480" w:firstLineChars="200"/>
              <w:rPr>
                <w:color w:val="auto"/>
                <w:sz w:val="24"/>
              </w:rPr>
            </w:pPr>
            <w:r>
              <w:rPr>
                <w:color w:val="auto"/>
                <w:sz w:val="24"/>
              </w:rPr>
              <w:t>2</w:t>
            </w:r>
            <w:r>
              <w:rPr>
                <w:rFonts w:hint="eastAsia" w:hAnsi="宋体"/>
                <w:color w:val="auto"/>
                <w:sz w:val="24"/>
              </w:rPr>
              <w:t>）危险废物暂存场所</w:t>
            </w:r>
          </w:p>
          <w:p w14:paraId="304A511D">
            <w:pPr>
              <w:spacing w:line="360" w:lineRule="auto"/>
              <w:ind w:firstLine="480" w:firstLineChars="200"/>
              <w:rPr>
                <w:color w:val="auto"/>
                <w:sz w:val="24"/>
              </w:rPr>
            </w:pPr>
            <w:r>
              <w:rPr>
                <w:rFonts w:hint="eastAsia" w:ascii="宋体" w:hAnsi="宋体"/>
                <w:color w:val="auto"/>
                <w:sz w:val="24"/>
                <w:szCs w:val="24"/>
              </w:rPr>
              <w:t>本项目依托现有厂区现有为危废暂存间进行危废暂存</w:t>
            </w:r>
            <w:r>
              <w:rPr>
                <w:rFonts w:hint="eastAsia"/>
                <w:color w:val="auto"/>
                <w:sz w:val="24"/>
                <w:szCs w:val="24"/>
              </w:rPr>
              <w:t>，危废暂存间位于东厂区，总占地面积30</w:t>
            </w:r>
            <w:r>
              <w:rPr>
                <w:color w:val="auto"/>
                <w:sz w:val="24"/>
                <w:szCs w:val="24"/>
              </w:rPr>
              <w:t>m</w:t>
            </w:r>
            <w:r>
              <w:rPr>
                <w:color w:val="auto"/>
                <w:sz w:val="24"/>
                <w:szCs w:val="24"/>
                <w:vertAlign w:val="superscript"/>
              </w:rPr>
              <w:t>2</w:t>
            </w:r>
            <w:r>
              <w:rPr>
                <w:rFonts w:hint="eastAsia"/>
                <w:color w:val="auto"/>
                <w:sz w:val="24"/>
                <w:szCs w:val="24"/>
              </w:rPr>
              <w:t>。危废暂存间已按照</w:t>
            </w:r>
            <w:r>
              <w:rPr>
                <w:rFonts w:hint="eastAsia" w:hAnsi="宋体"/>
                <w:color w:val="auto"/>
                <w:sz w:val="24"/>
              </w:rPr>
              <w:t>《危险废物贮存污染控制标准》（</w:t>
            </w:r>
            <w:r>
              <w:rPr>
                <w:color w:val="auto"/>
                <w:sz w:val="24"/>
              </w:rPr>
              <w:t>G18597-20</w:t>
            </w:r>
            <w:r>
              <w:rPr>
                <w:rFonts w:hint="eastAsia"/>
                <w:color w:val="auto"/>
                <w:sz w:val="24"/>
              </w:rPr>
              <w:t>23</w:t>
            </w:r>
            <w:r>
              <w:rPr>
                <w:rFonts w:hint="eastAsia" w:hAnsi="宋体"/>
                <w:color w:val="auto"/>
                <w:sz w:val="24"/>
              </w:rPr>
              <w:t>）要求落实，危险废物暂存间相关要求如下：</w:t>
            </w:r>
          </w:p>
          <w:p w14:paraId="2553A82E">
            <w:pPr>
              <w:adjustRightInd w:val="0"/>
              <w:spacing w:line="360" w:lineRule="auto"/>
              <w:ind w:firstLine="480" w:firstLineChars="200"/>
              <w:jc w:val="left"/>
              <w:rPr>
                <w:color w:val="auto"/>
                <w:sz w:val="24"/>
              </w:rPr>
            </w:pPr>
            <w:r>
              <w:rPr>
                <w:rFonts w:hint="eastAsia" w:hAnsi="宋体"/>
                <w:color w:val="auto"/>
                <w:sz w:val="24"/>
              </w:rPr>
              <w:t>①应根据危险废物的类别、数量、形态、物理化学性质和污染防治等要求设置必要的贮存分区，避免不相容的危险废物接触、混合；</w:t>
            </w:r>
          </w:p>
          <w:p w14:paraId="63202002">
            <w:pPr>
              <w:adjustRightInd w:val="0"/>
              <w:spacing w:line="360" w:lineRule="auto"/>
              <w:ind w:firstLine="480" w:firstLineChars="200"/>
              <w:jc w:val="left"/>
              <w:rPr>
                <w:color w:val="auto"/>
                <w:sz w:val="24"/>
              </w:rPr>
            </w:pPr>
            <w:r>
              <w:rPr>
                <w:rFonts w:hint="eastAsia" w:hAnsi="宋体"/>
                <w:color w:val="auto"/>
                <w:sz w:val="24"/>
              </w:rPr>
              <w:t>②地面、墙面裙脚、堵截泄漏的围堰、接触危险废物的隔板和墙体等应采用坚固的材料建造，表面无裂缝；</w:t>
            </w:r>
          </w:p>
          <w:p w14:paraId="4475D7F5">
            <w:pPr>
              <w:adjustRightInd w:val="0"/>
              <w:spacing w:line="360" w:lineRule="auto"/>
              <w:ind w:firstLine="480" w:firstLineChars="200"/>
              <w:jc w:val="left"/>
              <w:rPr>
                <w:color w:val="auto"/>
                <w:sz w:val="24"/>
              </w:rPr>
            </w:pPr>
            <w:r>
              <w:rPr>
                <w:rFonts w:hint="eastAsia" w:hAnsi="宋体"/>
                <w:color w:val="auto"/>
                <w:sz w:val="24"/>
              </w:rPr>
              <w:t>③地面与裙脚应采取表面防渗措施；表面防渗材料应与所接触的物料或污染物相容，可采用抗渗混凝土、高密度聚乙烯膜、钠基膨润土防水毯或其他防渗性能等效的材料。危险废物直接接触地面的，还应进行基础防渗，防渗层为至少1m厚黏土层（渗透系数不大于10</w:t>
            </w:r>
            <w:r>
              <w:rPr>
                <w:rFonts w:hint="eastAsia" w:hAnsi="宋体"/>
                <w:color w:val="auto"/>
                <w:sz w:val="24"/>
                <w:vertAlign w:val="superscript"/>
              </w:rPr>
              <w:t>-7</w:t>
            </w:r>
            <w:r>
              <w:rPr>
                <w:rFonts w:hint="eastAsia" w:hAnsi="宋体"/>
                <w:color w:val="auto"/>
                <w:sz w:val="24"/>
              </w:rPr>
              <w:t>cm/s），或至少2mm厚高密度聚乙烯膜等人工防渗材料（渗透系数不大于10</w:t>
            </w:r>
            <w:r>
              <w:rPr>
                <w:rFonts w:hint="eastAsia" w:hAnsi="宋体"/>
                <w:color w:val="auto"/>
                <w:sz w:val="24"/>
                <w:vertAlign w:val="superscript"/>
              </w:rPr>
              <w:t>-10</w:t>
            </w:r>
            <w:r>
              <w:rPr>
                <w:rFonts w:hint="eastAsia" w:hAnsi="宋体"/>
                <w:color w:val="auto"/>
                <w:sz w:val="24"/>
              </w:rPr>
              <w:t>cm/s），或其他防渗性能等效的材料。</w:t>
            </w:r>
          </w:p>
          <w:p w14:paraId="656F5C1D">
            <w:pPr>
              <w:adjustRightInd w:val="0"/>
              <w:spacing w:line="360" w:lineRule="auto"/>
              <w:ind w:firstLine="480" w:firstLineChars="200"/>
              <w:jc w:val="left"/>
              <w:rPr>
                <w:color w:val="auto"/>
                <w:sz w:val="24"/>
              </w:rPr>
            </w:pPr>
            <w:r>
              <w:rPr>
                <w:rFonts w:hint="eastAsia" w:hAnsi="宋体"/>
                <w:color w:val="auto"/>
                <w:sz w:val="24"/>
              </w:rPr>
              <w:t>④危废暂存间应采取技术和管理措施防止无关人员进入；</w:t>
            </w:r>
          </w:p>
          <w:p w14:paraId="1C591AE8">
            <w:pPr>
              <w:adjustRightInd w:val="0"/>
              <w:spacing w:line="360" w:lineRule="auto"/>
              <w:ind w:firstLine="480" w:firstLineChars="200"/>
              <w:jc w:val="left"/>
              <w:rPr>
                <w:color w:val="auto"/>
                <w:sz w:val="24"/>
              </w:rPr>
            </w:pPr>
            <w:r>
              <w:rPr>
                <w:rFonts w:hint="eastAsia" w:hAnsi="宋体"/>
                <w:color w:val="auto"/>
                <w:sz w:val="24"/>
              </w:rPr>
              <w:t>⑤</w:t>
            </w:r>
            <w:r>
              <w:rPr>
                <w:rFonts w:hint="eastAsia" w:hAnsi="宋体"/>
                <w:bCs/>
                <w:color w:val="auto"/>
                <w:sz w:val="24"/>
              </w:rPr>
              <w:t>危险废物贮存过程产生的液态废物和固态废物应分类收集，按其环境管理要求妥善处理</w:t>
            </w:r>
            <w:r>
              <w:rPr>
                <w:rFonts w:hint="eastAsia" w:hAnsi="宋体"/>
                <w:color w:val="auto"/>
                <w:sz w:val="24"/>
              </w:rPr>
              <w:t>；</w:t>
            </w:r>
          </w:p>
          <w:p w14:paraId="13E43E2B">
            <w:pPr>
              <w:adjustRightInd w:val="0"/>
              <w:spacing w:line="360" w:lineRule="auto"/>
              <w:ind w:firstLine="480" w:firstLineChars="200"/>
              <w:jc w:val="left"/>
              <w:rPr>
                <w:color w:val="auto"/>
                <w:sz w:val="24"/>
              </w:rPr>
            </w:pPr>
            <w:r>
              <w:rPr>
                <w:rFonts w:hint="eastAsia" w:hAnsi="宋体"/>
                <w:color w:val="auto"/>
                <w:sz w:val="24"/>
              </w:rPr>
              <w:t>⑥危废暂存间应按HJ1276要求设置危险废物贮存设施或场所标志、危险废物贮存分区标志和危险废物标签等危险废物识别标志。</w:t>
            </w:r>
          </w:p>
          <w:p w14:paraId="72EA464D">
            <w:pPr>
              <w:spacing w:line="360" w:lineRule="auto"/>
              <w:ind w:firstLine="480" w:firstLineChars="200"/>
              <w:rPr>
                <w:color w:val="auto"/>
                <w:sz w:val="24"/>
              </w:rPr>
            </w:pPr>
            <w:r>
              <w:rPr>
                <w:rFonts w:hint="eastAsia" w:hAnsi="宋体"/>
                <w:color w:val="auto"/>
                <w:sz w:val="24"/>
              </w:rPr>
              <w:t>（</w:t>
            </w:r>
            <w:r>
              <w:rPr>
                <w:color w:val="auto"/>
                <w:sz w:val="24"/>
              </w:rPr>
              <w:t>2</w:t>
            </w:r>
            <w:r>
              <w:rPr>
                <w:rFonts w:hint="eastAsia" w:hAnsi="宋体"/>
                <w:color w:val="auto"/>
                <w:sz w:val="24"/>
              </w:rPr>
              <w:t>）运输过程污染防治措施</w:t>
            </w:r>
          </w:p>
          <w:p w14:paraId="3CCE8675">
            <w:pPr>
              <w:spacing w:line="360" w:lineRule="auto"/>
              <w:ind w:firstLine="480" w:firstLineChars="200"/>
              <w:rPr>
                <w:rFonts w:hAnsi="宋体"/>
                <w:color w:val="auto"/>
                <w:sz w:val="24"/>
              </w:rPr>
            </w:pPr>
            <w:r>
              <w:rPr>
                <w:rFonts w:hint="eastAsia" w:hAnsi="宋体"/>
                <w:color w:val="auto"/>
                <w:sz w:val="24"/>
              </w:rPr>
              <w:t>项目危废从产生场所转移运输到暂存场所过程中采用防渗漏的袋装、桶装，通过规范管理，可以保证转移过程桶、袋不破裂，不撒漏，避免危废泄漏或撒漏对周边环境造成影响。</w:t>
            </w:r>
          </w:p>
          <w:p w14:paraId="0932A119">
            <w:pPr>
              <w:spacing w:line="360" w:lineRule="auto"/>
              <w:ind w:firstLine="480" w:firstLineChars="200"/>
              <w:rPr>
                <w:rStyle w:val="242"/>
                <w:rFonts w:hint="default" w:ascii="Times New Roman"/>
                <w:color w:val="auto"/>
              </w:rPr>
            </w:pPr>
            <w:r>
              <w:rPr>
                <w:rFonts w:hint="eastAsia" w:hAnsi="宋体"/>
                <w:color w:val="auto"/>
                <w:sz w:val="24"/>
              </w:rPr>
              <w:t>危险废物外运时</w:t>
            </w:r>
            <w:r>
              <w:rPr>
                <w:rStyle w:val="242"/>
                <w:rFonts w:hint="default" w:ascii="Times New Roman"/>
                <w:color w:val="auto"/>
              </w:rPr>
              <w:t>严格按照国家环境保护总局令第5号文件《危险废物转移联单管理办法》的相关规定报批危险废物转移计划</w:t>
            </w:r>
            <w:r>
              <w:rPr>
                <w:rFonts w:hint="eastAsia" w:hAnsi="宋体"/>
                <w:color w:val="auto"/>
                <w:sz w:val="24"/>
              </w:rPr>
              <w:t>。</w:t>
            </w:r>
            <w:r>
              <w:rPr>
                <w:rStyle w:val="242"/>
                <w:rFonts w:hint="default" w:ascii="Times New Roman"/>
                <w:color w:val="auto"/>
              </w:rPr>
              <w:t>转移危险废物时按照规定填报危险废物转移联单，并向危险废物移出地和接受地的县级以上地方人民政府环境保护行政主管部门报告。</w:t>
            </w:r>
          </w:p>
          <w:p w14:paraId="47CF0B15">
            <w:pPr>
              <w:spacing w:line="360" w:lineRule="auto"/>
              <w:ind w:firstLine="480" w:firstLineChars="200"/>
              <w:rPr>
                <w:rFonts w:hAnsi="宋体"/>
                <w:color w:val="auto"/>
                <w:sz w:val="24"/>
                <w:szCs w:val="24"/>
              </w:rPr>
            </w:pPr>
            <w:r>
              <w:rPr>
                <w:rFonts w:hAnsi="宋体"/>
                <w:color w:val="auto"/>
                <w:sz w:val="24"/>
                <w:szCs w:val="24"/>
              </w:rPr>
              <w:t>按照《危险货物道路安全管理办法》的相关规定，托运人在托运危险货物时，应当向承运人提交电子或者纸质形式的危险货物托运清单。危险货物托运清单应当载明危险货物的托运人、承运人、收货人、装货人、始发地、目的地、危险货物的类别、项别、品名、编号、包装及规格、数量、应急联系电话等信息，以及危险货物危险特性、运输注意事项、急救措施、消防措施、泄漏应急处置、次生环境污染处置措施等信息。</w:t>
            </w:r>
          </w:p>
          <w:p w14:paraId="2060CE09">
            <w:pPr>
              <w:spacing w:line="360" w:lineRule="auto"/>
              <w:ind w:firstLine="480" w:firstLineChars="200"/>
              <w:rPr>
                <w:color w:val="auto"/>
                <w:sz w:val="24"/>
              </w:rPr>
            </w:pPr>
            <w:r>
              <w:rPr>
                <w:rStyle w:val="242"/>
                <w:rFonts w:hint="default" w:ascii="Times New Roman"/>
                <w:color w:val="auto"/>
              </w:rPr>
              <w:t>运输危险废物的人员接受专业培训经考核合格后从事运</w:t>
            </w:r>
            <w:r>
              <w:rPr>
                <w:color w:val="auto"/>
                <w:sz w:val="24"/>
                <w:szCs w:val="24"/>
              </w:rPr>
              <w:t>输危险废物的工作；运输危险废物的资质单位应当制定在发生意外事故时采取的应急措施和防范措施方可运输；运输时，发生突发性事故必须立即采取措施消除或者减轻对环境的污染危害，及时通报给附近的单位和居民，并向事故发生地县级以上人民政府环境保护行政主管部门和有关部门报告，接受调查处理。运输过程中做到密闭，沿途不抛洒，应有明显的标志，并有防风、防雨、防晒等设施。运输路线按照主管部门制定路线进行运输，同时应配备全球卫星定位和事故报警装置。</w:t>
            </w:r>
          </w:p>
          <w:p w14:paraId="004F8942">
            <w:pPr>
              <w:spacing w:line="360" w:lineRule="auto"/>
              <w:ind w:firstLine="480" w:firstLineChars="200"/>
              <w:rPr>
                <w:color w:val="auto"/>
                <w:sz w:val="24"/>
              </w:rPr>
            </w:pPr>
            <w:r>
              <w:rPr>
                <w:rFonts w:hint="eastAsia" w:hAnsi="宋体"/>
                <w:color w:val="auto"/>
                <w:sz w:val="24"/>
              </w:rPr>
              <w:t>（</w:t>
            </w:r>
            <w:r>
              <w:rPr>
                <w:color w:val="auto"/>
                <w:sz w:val="24"/>
              </w:rPr>
              <w:t>3</w:t>
            </w:r>
            <w:r>
              <w:rPr>
                <w:rFonts w:hint="eastAsia" w:hAnsi="宋体"/>
                <w:color w:val="auto"/>
                <w:sz w:val="24"/>
              </w:rPr>
              <w:t>）日常管理要求</w:t>
            </w:r>
          </w:p>
          <w:p w14:paraId="629B8E98">
            <w:pPr>
              <w:spacing w:line="360" w:lineRule="auto"/>
              <w:ind w:firstLine="480" w:firstLineChars="200"/>
              <w:rPr>
                <w:color w:val="auto"/>
                <w:sz w:val="24"/>
              </w:rPr>
            </w:pPr>
            <w:r>
              <w:rPr>
                <w:rFonts w:hint="eastAsia" w:hAnsi="宋体"/>
                <w:color w:val="auto"/>
                <w:sz w:val="24"/>
              </w:rPr>
              <w:t>项目固废处置时，尽可能采用减量化、资源化利用措施。委托处置的应与处置单位签订委托处理合同，报生态环境部门备案。危险废物转移需执行报批和转移联单等制度。各固废在外运处置前，须在厂内安全暂存，确保固废不产生二次污染。</w:t>
            </w:r>
          </w:p>
          <w:p w14:paraId="7C35E6E3">
            <w:pPr>
              <w:spacing w:line="360" w:lineRule="auto"/>
              <w:ind w:firstLine="480" w:firstLineChars="200"/>
              <w:jc w:val="left"/>
              <w:rPr>
                <w:snapToGrid w:val="0"/>
                <w:color w:val="auto"/>
                <w:kern w:val="0"/>
                <w:sz w:val="24"/>
              </w:rPr>
            </w:pPr>
            <w:r>
              <w:rPr>
                <w:rFonts w:hint="eastAsia"/>
                <w:snapToGrid w:val="0"/>
                <w:color w:val="auto"/>
                <w:kern w:val="0"/>
                <w:sz w:val="24"/>
              </w:rPr>
              <w:t>综上所述，项目采取的各项固体废弃物处置措施可行，从一定程度上实现了固体废物资源化利用的原则，只要在运营过程中落实各项处理措施，认真执行，可将固体废弃物对环境的影响程度降到最小程度。因此，本项目固废处置措施可行。</w:t>
            </w:r>
          </w:p>
          <w:p w14:paraId="7EDB4428">
            <w:pPr>
              <w:spacing w:line="360" w:lineRule="auto"/>
              <w:ind w:firstLine="482" w:firstLineChars="200"/>
              <w:jc w:val="left"/>
              <w:rPr>
                <w:b/>
                <w:snapToGrid w:val="0"/>
                <w:color w:val="auto"/>
                <w:kern w:val="0"/>
                <w:sz w:val="24"/>
              </w:rPr>
            </w:pPr>
            <w:r>
              <w:rPr>
                <w:rFonts w:hint="eastAsia"/>
                <w:b/>
                <w:snapToGrid w:val="0"/>
                <w:color w:val="auto"/>
                <w:kern w:val="0"/>
                <w:sz w:val="24"/>
              </w:rPr>
              <w:t>五、土壤、地下水环境影响分析</w:t>
            </w:r>
          </w:p>
          <w:p w14:paraId="03118BAE">
            <w:pPr>
              <w:spacing w:line="360" w:lineRule="auto"/>
              <w:ind w:firstLine="480" w:firstLineChars="200"/>
              <w:jc w:val="left"/>
              <w:rPr>
                <w:color w:val="auto"/>
                <w:sz w:val="24"/>
                <w:szCs w:val="24"/>
              </w:rPr>
            </w:pPr>
            <w:r>
              <w:rPr>
                <w:rFonts w:hint="eastAsia"/>
                <w:color w:val="auto"/>
                <w:sz w:val="24"/>
                <w:szCs w:val="24"/>
              </w:rPr>
              <w:t>为更好的保护地下水环境、土壤环境，将本项目对地下水、土壤的影响降至最低，建议采取以下的污染防治措施：</w:t>
            </w:r>
          </w:p>
          <w:p w14:paraId="14AA2788">
            <w:pPr>
              <w:pStyle w:val="108"/>
              <w:adjustRightInd/>
              <w:spacing w:line="360" w:lineRule="auto"/>
              <w:ind w:firstLine="480" w:firstLineChars="200"/>
              <w:rPr>
                <w:color w:val="auto"/>
              </w:rPr>
            </w:pPr>
            <w:r>
              <w:rPr>
                <w:rFonts w:hint="eastAsia"/>
                <w:color w:val="auto"/>
              </w:rPr>
              <w:t>（1）源头控制</w:t>
            </w:r>
          </w:p>
          <w:p w14:paraId="173DA0AE">
            <w:pPr>
              <w:pStyle w:val="108"/>
              <w:adjustRightInd/>
              <w:spacing w:line="360" w:lineRule="auto"/>
              <w:ind w:firstLine="480" w:firstLineChars="200"/>
              <w:rPr>
                <w:color w:val="auto"/>
              </w:rPr>
            </w:pPr>
            <w:r>
              <w:rPr>
                <w:rFonts w:hint="eastAsia"/>
                <w:color w:val="auto"/>
              </w:rPr>
              <w:t>严格按照国家相关规范要求，坚持预防为主，防治结合，综合治理的原则，从源头上减少地下水、土壤污染源的产生，是符合污染防治的基本措施。</w:t>
            </w:r>
          </w:p>
          <w:p w14:paraId="483ABB2B">
            <w:pPr>
              <w:pStyle w:val="108"/>
              <w:adjustRightInd/>
              <w:spacing w:line="360" w:lineRule="auto"/>
              <w:ind w:firstLine="480" w:firstLineChars="200"/>
              <w:rPr>
                <w:color w:val="auto"/>
              </w:rPr>
            </w:pPr>
            <w:r>
              <w:rPr>
                <w:rFonts w:hint="eastAsia"/>
                <w:color w:val="auto"/>
              </w:rPr>
              <w:t>（2）分区防渗</w:t>
            </w:r>
          </w:p>
          <w:p w14:paraId="6C9C619D">
            <w:pPr>
              <w:pStyle w:val="142"/>
              <w:spacing w:line="360" w:lineRule="auto"/>
              <w:ind w:firstLine="480"/>
              <w:rPr>
                <w:rFonts w:hAnsi="宋体"/>
                <w:color w:val="auto"/>
                <w:sz w:val="24"/>
              </w:rPr>
            </w:pPr>
            <w:r>
              <w:rPr>
                <w:rFonts w:hint="eastAsia"/>
                <w:color w:val="auto"/>
                <w:sz w:val="24"/>
              </w:rPr>
              <w:t>①重点防渗区：危废暂存间、原料库2等。</w:t>
            </w:r>
            <w:r>
              <w:rPr>
                <w:rFonts w:hAnsi="宋体"/>
                <w:color w:val="auto"/>
                <w:sz w:val="24"/>
              </w:rPr>
              <w:t>根据《危险废物贮存污染控制标准》（</w:t>
            </w:r>
            <w:r>
              <w:rPr>
                <w:color w:val="auto"/>
                <w:sz w:val="24"/>
              </w:rPr>
              <w:t>GB18597-20</w:t>
            </w:r>
            <w:r>
              <w:rPr>
                <w:rFonts w:hint="eastAsia"/>
                <w:color w:val="auto"/>
                <w:sz w:val="24"/>
              </w:rPr>
              <w:t>23</w:t>
            </w:r>
            <w:r>
              <w:rPr>
                <w:rFonts w:hAnsi="宋体"/>
                <w:color w:val="auto"/>
                <w:sz w:val="24"/>
              </w:rPr>
              <w:t>），危险废物直接接触地面的基础</w:t>
            </w:r>
            <w:r>
              <w:rPr>
                <w:rFonts w:hint="eastAsia" w:hAnsi="宋体"/>
                <w:color w:val="auto"/>
                <w:sz w:val="24"/>
              </w:rPr>
              <w:t>防渗层为至少1m厚黏土层（渗透系数不大于10</w:t>
            </w:r>
            <w:r>
              <w:rPr>
                <w:rFonts w:hint="eastAsia" w:hAnsi="宋体"/>
                <w:color w:val="auto"/>
                <w:sz w:val="24"/>
                <w:vertAlign w:val="superscript"/>
              </w:rPr>
              <w:t>-7</w:t>
            </w:r>
            <w:r>
              <w:rPr>
                <w:rFonts w:hint="eastAsia" w:hAnsi="宋体"/>
                <w:color w:val="auto"/>
                <w:sz w:val="24"/>
              </w:rPr>
              <w:t>cm/s），或至少2mm厚高密度聚乙烯膜等人工防渗材料（渗透系数不大于10</w:t>
            </w:r>
            <w:r>
              <w:rPr>
                <w:rFonts w:hint="eastAsia" w:hAnsi="宋体"/>
                <w:color w:val="auto"/>
                <w:sz w:val="24"/>
                <w:vertAlign w:val="superscript"/>
              </w:rPr>
              <w:t>-10</w:t>
            </w:r>
            <w:r>
              <w:rPr>
                <w:rFonts w:hint="eastAsia" w:hAnsi="宋体"/>
                <w:color w:val="auto"/>
                <w:sz w:val="24"/>
              </w:rPr>
              <w:t>cm/s），或其他防渗性能等效的材料。本项目依托厂区内现有危废暂存间暂存危险废物，危废暂存间、原料库2均已采用抗渗混凝土防渗并涂抹2mm厚的环氧树脂。</w:t>
            </w:r>
          </w:p>
          <w:p w14:paraId="6F617FF1">
            <w:pPr>
              <w:pStyle w:val="142"/>
              <w:spacing w:line="360" w:lineRule="auto"/>
              <w:ind w:firstLine="480"/>
              <w:rPr>
                <w:rFonts w:hAnsi="宋体"/>
                <w:color w:val="auto"/>
                <w:sz w:val="24"/>
              </w:rPr>
            </w:pPr>
            <w:r>
              <w:rPr>
                <w:rFonts w:hint="eastAsia" w:hAnsi="宋体"/>
                <w:color w:val="auto"/>
                <w:sz w:val="24"/>
              </w:rPr>
              <w:t>②一般防渗区：除重点防渗区域之外的生产厂房其他区域。</w:t>
            </w:r>
          </w:p>
          <w:p w14:paraId="40554561">
            <w:pPr>
              <w:pStyle w:val="142"/>
              <w:spacing w:line="360" w:lineRule="auto"/>
              <w:ind w:firstLine="480"/>
              <w:rPr>
                <w:rFonts w:hAnsi="宋体"/>
                <w:color w:val="auto"/>
                <w:sz w:val="24"/>
              </w:rPr>
            </w:pPr>
            <w:r>
              <w:rPr>
                <w:rFonts w:hint="eastAsia" w:hAnsi="宋体"/>
                <w:color w:val="auto"/>
                <w:sz w:val="24"/>
              </w:rPr>
              <w:t>本项目依托厂区内现有一车间、三车间建设，车间地面已采用抗渗混凝土一般防渗。</w:t>
            </w:r>
          </w:p>
          <w:p w14:paraId="1E310EA7">
            <w:pPr>
              <w:pStyle w:val="108"/>
              <w:adjustRightInd/>
              <w:spacing w:line="360" w:lineRule="auto"/>
              <w:jc w:val="center"/>
              <w:rPr>
                <w:rFonts w:eastAsia="黑体"/>
                <w:bCs/>
                <w:color w:val="auto"/>
                <w:sz w:val="21"/>
                <w:szCs w:val="21"/>
              </w:rPr>
            </w:pPr>
            <w:r>
              <w:rPr>
                <w:rFonts w:hint="eastAsia" w:hAnsi="黑体" w:eastAsia="黑体"/>
                <w:color w:val="auto"/>
              </w:rPr>
              <w:t>表51  本项目分区防渗</w:t>
            </w:r>
            <w:r>
              <w:rPr>
                <w:rFonts w:hAnsi="黑体" w:eastAsia="黑体"/>
                <w:color w:val="auto"/>
              </w:rPr>
              <w:t>措施要求</w:t>
            </w:r>
          </w:p>
          <w:tbl>
            <w:tblPr>
              <w:tblStyle w:val="3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344"/>
              <w:gridCol w:w="2812"/>
              <w:gridCol w:w="2474"/>
            </w:tblGrid>
            <w:tr w14:paraId="6E7E78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0" w:type="pct"/>
                  <w:vAlign w:val="center"/>
                </w:tcPr>
                <w:p w14:paraId="4A96624F">
                  <w:pPr>
                    <w:widowControl/>
                    <w:autoSpaceDN w:val="0"/>
                    <w:spacing w:line="276" w:lineRule="auto"/>
                    <w:jc w:val="center"/>
                    <w:rPr>
                      <w:b/>
                      <w:color w:val="auto"/>
                      <w:szCs w:val="21"/>
                    </w:rPr>
                  </w:pPr>
                  <w:r>
                    <w:rPr>
                      <w:rFonts w:hint="eastAsia"/>
                      <w:b/>
                      <w:color w:val="auto"/>
                      <w:szCs w:val="21"/>
                    </w:rPr>
                    <w:t>构筑物</w:t>
                  </w:r>
                  <w:r>
                    <w:rPr>
                      <w:b/>
                      <w:color w:val="auto"/>
                      <w:szCs w:val="21"/>
                    </w:rPr>
                    <w:t>单元名称</w:t>
                  </w:r>
                </w:p>
              </w:tc>
              <w:tc>
                <w:tcPr>
                  <w:tcW w:w="825" w:type="pct"/>
                  <w:vAlign w:val="center"/>
                </w:tcPr>
                <w:p w14:paraId="4E363EEC">
                  <w:pPr>
                    <w:widowControl/>
                    <w:autoSpaceDN w:val="0"/>
                    <w:spacing w:line="276" w:lineRule="auto"/>
                    <w:jc w:val="center"/>
                    <w:rPr>
                      <w:b/>
                      <w:color w:val="auto"/>
                      <w:szCs w:val="21"/>
                    </w:rPr>
                  </w:pPr>
                  <w:r>
                    <w:rPr>
                      <w:b/>
                      <w:color w:val="auto"/>
                      <w:szCs w:val="21"/>
                    </w:rPr>
                    <w:t>污染防治区类别</w:t>
                  </w:r>
                </w:p>
              </w:tc>
              <w:tc>
                <w:tcPr>
                  <w:tcW w:w="1726" w:type="pct"/>
                  <w:vAlign w:val="center"/>
                </w:tcPr>
                <w:p w14:paraId="1E004229">
                  <w:pPr>
                    <w:widowControl/>
                    <w:autoSpaceDN w:val="0"/>
                    <w:spacing w:line="276" w:lineRule="auto"/>
                    <w:jc w:val="center"/>
                    <w:rPr>
                      <w:b/>
                      <w:color w:val="auto"/>
                      <w:szCs w:val="21"/>
                    </w:rPr>
                  </w:pPr>
                  <w:r>
                    <w:rPr>
                      <w:b/>
                      <w:color w:val="auto"/>
                      <w:szCs w:val="21"/>
                    </w:rPr>
                    <w:t>防渗设计要求</w:t>
                  </w:r>
                </w:p>
              </w:tc>
              <w:tc>
                <w:tcPr>
                  <w:tcW w:w="1519" w:type="pct"/>
                  <w:vAlign w:val="center"/>
                </w:tcPr>
                <w:p w14:paraId="42A73EEB">
                  <w:pPr>
                    <w:widowControl/>
                    <w:autoSpaceDN w:val="0"/>
                    <w:spacing w:line="276" w:lineRule="auto"/>
                    <w:jc w:val="center"/>
                    <w:rPr>
                      <w:b/>
                      <w:color w:val="auto"/>
                      <w:szCs w:val="21"/>
                    </w:rPr>
                  </w:pPr>
                  <w:r>
                    <w:rPr>
                      <w:b/>
                      <w:color w:val="auto"/>
                      <w:szCs w:val="21"/>
                    </w:rPr>
                    <w:t>本项目防渗设计</w:t>
                  </w:r>
                </w:p>
              </w:tc>
            </w:tr>
            <w:tr w14:paraId="54493C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30" w:type="pct"/>
                  <w:vAlign w:val="center"/>
                </w:tcPr>
                <w:p w14:paraId="3009D6FD">
                  <w:pPr>
                    <w:widowControl/>
                    <w:autoSpaceDN w:val="0"/>
                    <w:spacing w:line="276" w:lineRule="auto"/>
                    <w:jc w:val="center"/>
                    <w:rPr>
                      <w:color w:val="auto"/>
                      <w:szCs w:val="21"/>
                    </w:rPr>
                  </w:pPr>
                  <w:r>
                    <w:rPr>
                      <w:rFonts w:hint="eastAsia"/>
                      <w:color w:val="auto"/>
                      <w:szCs w:val="21"/>
                    </w:rPr>
                    <w:t>危废暂存间、原料库2</w:t>
                  </w:r>
                </w:p>
              </w:tc>
              <w:tc>
                <w:tcPr>
                  <w:tcW w:w="825" w:type="pct"/>
                  <w:vAlign w:val="center"/>
                </w:tcPr>
                <w:p w14:paraId="14033843">
                  <w:pPr>
                    <w:widowControl/>
                    <w:autoSpaceDN w:val="0"/>
                    <w:spacing w:line="276" w:lineRule="auto"/>
                    <w:jc w:val="center"/>
                    <w:rPr>
                      <w:color w:val="auto"/>
                      <w:szCs w:val="21"/>
                    </w:rPr>
                  </w:pPr>
                  <w:r>
                    <w:rPr>
                      <w:color w:val="auto"/>
                      <w:szCs w:val="21"/>
                    </w:rPr>
                    <w:t>重点防渗区</w:t>
                  </w:r>
                </w:p>
              </w:tc>
              <w:tc>
                <w:tcPr>
                  <w:tcW w:w="1726" w:type="pct"/>
                  <w:vAlign w:val="center"/>
                </w:tcPr>
                <w:p w14:paraId="51F0F2E0">
                  <w:pPr>
                    <w:spacing w:line="276" w:lineRule="auto"/>
                    <w:jc w:val="center"/>
                    <w:rPr>
                      <w:color w:val="auto"/>
                      <w:szCs w:val="21"/>
                    </w:rPr>
                  </w:pPr>
                  <w:r>
                    <w:rPr>
                      <w:color w:val="auto"/>
                    </w:rPr>
                    <w:t>等效黏土防渗层Mb≥6.0m，K≤1×10</w:t>
                  </w:r>
                  <w:r>
                    <w:rPr>
                      <w:color w:val="auto"/>
                      <w:vertAlign w:val="superscript"/>
                    </w:rPr>
                    <w:t>-</w:t>
                  </w:r>
                  <w:r>
                    <w:rPr>
                      <w:rFonts w:hint="eastAsia"/>
                      <w:color w:val="auto"/>
                      <w:vertAlign w:val="superscript"/>
                    </w:rPr>
                    <w:t>7</w:t>
                  </w:r>
                  <w:r>
                    <w:rPr>
                      <w:color w:val="auto"/>
                    </w:rPr>
                    <w:t>cm/s；或参照GB18598</w:t>
                  </w:r>
                  <w:r>
                    <w:rPr>
                      <w:color w:val="auto"/>
                      <w:szCs w:val="21"/>
                    </w:rPr>
                    <w:t xml:space="preserve"> </w:t>
                  </w:r>
                </w:p>
              </w:tc>
              <w:tc>
                <w:tcPr>
                  <w:tcW w:w="1519" w:type="pct"/>
                  <w:vAlign w:val="center"/>
                </w:tcPr>
                <w:p w14:paraId="24102741">
                  <w:pPr>
                    <w:spacing w:line="276" w:lineRule="auto"/>
                    <w:jc w:val="center"/>
                    <w:rPr>
                      <w:color w:val="auto"/>
                    </w:rPr>
                  </w:pPr>
                  <w:r>
                    <w:rPr>
                      <w:rFonts w:hint="eastAsia"/>
                      <w:color w:val="auto"/>
                    </w:rPr>
                    <w:t>采用抗渗混凝土防渗+ 2mm厚的环氧树脂</w:t>
                  </w:r>
                </w:p>
              </w:tc>
            </w:tr>
            <w:tr w14:paraId="025C32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0" w:type="pct"/>
                  <w:vAlign w:val="center"/>
                </w:tcPr>
                <w:p w14:paraId="55053B41">
                  <w:pPr>
                    <w:autoSpaceDN w:val="0"/>
                    <w:spacing w:line="276" w:lineRule="auto"/>
                    <w:jc w:val="center"/>
                    <w:rPr>
                      <w:color w:val="auto"/>
                      <w:szCs w:val="21"/>
                      <w:lang w:val="zh-CN"/>
                    </w:rPr>
                  </w:pPr>
                  <w:r>
                    <w:rPr>
                      <w:color w:val="auto"/>
                      <w:szCs w:val="21"/>
                      <w:lang w:val="zh-CN"/>
                    </w:rPr>
                    <w:t>除重点防渗区以外生产厂房的其他区域</w:t>
                  </w:r>
                </w:p>
              </w:tc>
              <w:tc>
                <w:tcPr>
                  <w:tcW w:w="825" w:type="pct"/>
                  <w:vAlign w:val="center"/>
                </w:tcPr>
                <w:p w14:paraId="28F22DD2">
                  <w:pPr>
                    <w:widowControl/>
                    <w:autoSpaceDN w:val="0"/>
                    <w:spacing w:line="276" w:lineRule="auto"/>
                    <w:jc w:val="center"/>
                    <w:rPr>
                      <w:color w:val="auto"/>
                      <w:szCs w:val="21"/>
                    </w:rPr>
                  </w:pPr>
                  <w:r>
                    <w:rPr>
                      <w:rFonts w:hint="eastAsia"/>
                      <w:color w:val="auto"/>
                      <w:szCs w:val="21"/>
                    </w:rPr>
                    <w:t>一般</w:t>
                  </w:r>
                  <w:r>
                    <w:rPr>
                      <w:color w:val="auto"/>
                      <w:szCs w:val="21"/>
                    </w:rPr>
                    <w:t>防渗区</w:t>
                  </w:r>
                </w:p>
              </w:tc>
              <w:tc>
                <w:tcPr>
                  <w:tcW w:w="1726" w:type="pct"/>
                  <w:vAlign w:val="center"/>
                </w:tcPr>
                <w:p w14:paraId="4F618779">
                  <w:pPr>
                    <w:widowControl/>
                    <w:autoSpaceDN w:val="0"/>
                    <w:spacing w:line="276" w:lineRule="auto"/>
                    <w:jc w:val="center"/>
                    <w:rPr>
                      <w:color w:val="auto"/>
                      <w:szCs w:val="21"/>
                    </w:rPr>
                  </w:pPr>
                  <w:r>
                    <w:rPr>
                      <w:color w:val="auto"/>
                    </w:rPr>
                    <w:t>等效黏土防渗层Mb≥1.5m，或参照GB16889</w:t>
                  </w:r>
                  <w:r>
                    <w:rPr>
                      <w:color w:val="auto"/>
                      <w:szCs w:val="21"/>
                    </w:rPr>
                    <w:t xml:space="preserve"> </w:t>
                  </w:r>
                </w:p>
              </w:tc>
              <w:tc>
                <w:tcPr>
                  <w:tcW w:w="1519" w:type="pct"/>
                  <w:vAlign w:val="center"/>
                </w:tcPr>
                <w:p w14:paraId="4AC5363A">
                  <w:pPr>
                    <w:widowControl/>
                    <w:autoSpaceDN w:val="0"/>
                    <w:spacing w:line="276" w:lineRule="auto"/>
                    <w:jc w:val="center"/>
                    <w:rPr>
                      <w:color w:val="auto"/>
                    </w:rPr>
                  </w:pPr>
                  <w:r>
                    <w:rPr>
                      <w:rFonts w:hint="eastAsia"/>
                      <w:color w:val="auto"/>
                    </w:rPr>
                    <w:t>采用抗渗混凝土防渗</w:t>
                  </w:r>
                </w:p>
              </w:tc>
            </w:tr>
          </w:tbl>
          <w:p w14:paraId="1EB86F04">
            <w:pPr>
              <w:spacing w:line="440" w:lineRule="exact"/>
              <w:ind w:firstLine="470" w:firstLineChars="196"/>
              <w:rPr>
                <w:b/>
                <w:color w:val="auto"/>
                <w:sz w:val="24"/>
                <w:szCs w:val="24"/>
              </w:rPr>
            </w:pPr>
            <w:r>
              <w:rPr>
                <w:color w:val="auto"/>
                <w:kern w:val="0"/>
                <w:sz w:val="24"/>
                <w:szCs w:val="24"/>
              </w:rPr>
              <w:t>因此，正常工况下，本</w:t>
            </w:r>
            <w:r>
              <w:rPr>
                <w:rFonts w:hint="eastAsia"/>
                <w:color w:val="auto"/>
                <w:sz w:val="24"/>
                <w:szCs w:val="20"/>
              </w:rPr>
              <w:t>项目不会对区域地下水、土壤环境产生明显影响。可不开展跟踪监测。</w:t>
            </w:r>
          </w:p>
          <w:p w14:paraId="44934C36">
            <w:pPr>
              <w:spacing w:line="360" w:lineRule="auto"/>
              <w:ind w:firstLine="482" w:firstLineChars="200"/>
              <w:jc w:val="left"/>
              <w:rPr>
                <w:b/>
                <w:snapToGrid w:val="0"/>
                <w:color w:val="auto"/>
                <w:kern w:val="0"/>
                <w:sz w:val="24"/>
              </w:rPr>
            </w:pPr>
            <w:r>
              <w:rPr>
                <w:rFonts w:hint="eastAsia"/>
                <w:b/>
                <w:snapToGrid w:val="0"/>
                <w:color w:val="auto"/>
                <w:kern w:val="0"/>
                <w:sz w:val="24"/>
              </w:rPr>
              <w:t>六、</w:t>
            </w:r>
            <w:r>
              <w:rPr>
                <w:rFonts w:hint="eastAsia" w:hAnsi="宋体"/>
                <w:b/>
                <w:snapToGrid w:val="0"/>
                <w:color w:val="auto"/>
                <w:kern w:val="0"/>
                <w:sz w:val="24"/>
              </w:rPr>
              <w:t>环境</w:t>
            </w:r>
            <w:r>
              <w:rPr>
                <w:rFonts w:hAnsi="宋体"/>
                <w:b/>
                <w:snapToGrid w:val="0"/>
                <w:color w:val="auto"/>
                <w:kern w:val="0"/>
                <w:sz w:val="24"/>
              </w:rPr>
              <w:t>风险评价</w:t>
            </w:r>
          </w:p>
          <w:p w14:paraId="79D5055E">
            <w:pPr>
              <w:pStyle w:val="108"/>
              <w:adjustRightInd/>
              <w:spacing w:line="360" w:lineRule="auto"/>
              <w:ind w:firstLine="480" w:firstLineChars="200"/>
              <w:rPr>
                <w:color w:val="auto"/>
              </w:rPr>
            </w:pPr>
            <w:r>
              <w:rPr>
                <w:rFonts w:hint="eastAsia"/>
                <w:color w:val="auto"/>
              </w:rPr>
              <w:t>环境风险评价是分析和预测项目存在的潜在危险、有害因素，项目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14:paraId="74167EC2">
            <w:pPr>
              <w:spacing w:line="360" w:lineRule="auto"/>
              <w:ind w:firstLine="482" w:firstLineChars="200"/>
              <w:rPr>
                <w:b/>
                <w:color w:val="auto"/>
                <w:sz w:val="24"/>
              </w:rPr>
            </w:pPr>
            <w:r>
              <w:rPr>
                <w:rFonts w:hint="eastAsia"/>
                <w:b/>
                <w:color w:val="auto"/>
                <w:sz w:val="24"/>
              </w:rPr>
              <w:t>1、风险物质识别</w:t>
            </w:r>
          </w:p>
          <w:p w14:paraId="0D5E00B2">
            <w:pPr>
              <w:spacing w:line="360" w:lineRule="auto"/>
              <w:ind w:firstLine="480" w:firstLineChars="200"/>
              <w:rPr>
                <w:color w:val="auto"/>
                <w:sz w:val="24"/>
              </w:rPr>
            </w:pPr>
            <w:r>
              <w:rPr>
                <w:rFonts w:hint="eastAsia"/>
                <w:color w:val="auto"/>
                <w:sz w:val="24"/>
                <w:szCs w:val="24"/>
              </w:rPr>
              <w:t>项目使用的主要原辅材料为水性漆，新增喷涂工序产生的“三废”污染物，对</w:t>
            </w:r>
            <w:r>
              <w:rPr>
                <w:rFonts w:hint="eastAsia"/>
                <w:color w:val="auto"/>
                <w:sz w:val="24"/>
              </w:rPr>
              <w:t>照《建设项目环境风险评价技术导则》（</w:t>
            </w:r>
            <w:r>
              <w:rPr>
                <w:color w:val="auto"/>
                <w:sz w:val="24"/>
              </w:rPr>
              <w:t>HJ169-2018</w:t>
            </w:r>
            <w:r>
              <w:rPr>
                <w:rFonts w:hint="eastAsia"/>
                <w:color w:val="auto"/>
                <w:sz w:val="24"/>
              </w:rPr>
              <w:t>）中附录B中的风险物质，本项目涉及的环境风险物质主要为危险废物（废包装桶、废漆料、废活性炭）、</w:t>
            </w:r>
            <w:r>
              <w:rPr>
                <w:rFonts w:hint="eastAsia"/>
                <w:color w:val="auto"/>
                <w:sz w:val="24"/>
                <w:szCs w:val="24"/>
              </w:rPr>
              <w:t>水性漆（含10%水性丙烯酸树脂、20%乙醇）</w:t>
            </w:r>
            <w:r>
              <w:rPr>
                <w:rFonts w:hint="eastAsia"/>
                <w:color w:val="auto"/>
                <w:sz w:val="24"/>
              </w:rPr>
              <w:t>，对照各风险物质临界量，计算所涉及的每种危险物质在厂界内的最大存在量与其对应临界量的比值Q。</w:t>
            </w:r>
          </w:p>
          <w:p w14:paraId="164768C8">
            <w:pPr>
              <w:spacing w:line="360" w:lineRule="auto"/>
              <w:ind w:firstLine="480" w:firstLineChars="200"/>
              <w:rPr>
                <w:color w:val="auto"/>
                <w:sz w:val="24"/>
              </w:rPr>
            </w:pPr>
          </w:p>
          <w:p w14:paraId="7B42FE66">
            <w:pPr>
              <w:spacing w:line="360" w:lineRule="auto"/>
              <w:ind w:firstLine="480" w:firstLineChars="200"/>
              <w:jc w:val="center"/>
              <w:rPr>
                <w:color w:val="auto"/>
                <w:sz w:val="24"/>
              </w:rPr>
            </w:pPr>
            <w:r>
              <w:rPr>
                <w:rFonts w:hint="eastAsia"/>
                <w:color w:val="auto"/>
                <w:sz w:val="24"/>
              </w:rPr>
              <w:t>Q=q</w:t>
            </w:r>
            <w:r>
              <w:rPr>
                <w:rFonts w:hint="eastAsia"/>
                <w:color w:val="auto"/>
                <w:sz w:val="24"/>
                <w:vertAlign w:val="subscript"/>
              </w:rPr>
              <w:t>1</w:t>
            </w:r>
            <w:r>
              <w:rPr>
                <w:rFonts w:hint="eastAsia"/>
                <w:color w:val="auto"/>
                <w:sz w:val="24"/>
              </w:rPr>
              <w:t>/Q</w:t>
            </w:r>
            <w:r>
              <w:rPr>
                <w:rFonts w:hint="eastAsia"/>
                <w:color w:val="auto"/>
                <w:sz w:val="24"/>
                <w:vertAlign w:val="subscript"/>
              </w:rPr>
              <w:t>1</w:t>
            </w:r>
            <w:r>
              <w:rPr>
                <w:rFonts w:hint="eastAsia"/>
                <w:color w:val="auto"/>
                <w:sz w:val="24"/>
              </w:rPr>
              <w:t>+ q</w:t>
            </w:r>
            <w:r>
              <w:rPr>
                <w:rFonts w:hint="eastAsia"/>
                <w:color w:val="auto"/>
                <w:sz w:val="24"/>
                <w:vertAlign w:val="subscript"/>
              </w:rPr>
              <w:t>2</w:t>
            </w:r>
            <w:r>
              <w:rPr>
                <w:rFonts w:hint="eastAsia"/>
                <w:color w:val="auto"/>
                <w:sz w:val="24"/>
              </w:rPr>
              <w:t>/Q</w:t>
            </w:r>
            <w:r>
              <w:rPr>
                <w:rFonts w:hint="eastAsia"/>
                <w:color w:val="auto"/>
                <w:sz w:val="24"/>
                <w:vertAlign w:val="subscript"/>
              </w:rPr>
              <w:t>2+</w:t>
            </w:r>
            <w:r>
              <w:rPr>
                <w:color w:val="auto"/>
                <w:sz w:val="24"/>
              </w:rPr>
              <w:t>…</w:t>
            </w:r>
            <w:r>
              <w:rPr>
                <w:rFonts w:hint="eastAsia"/>
                <w:color w:val="auto"/>
                <w:sz w:val="24"/>
              </w:rPr>
              <w:t>q</w:t>
            </w:r>
            <w:r>
              <w:rPr>
                <w:rFonts w:hint="eastAsia"/>
                <w:color w:val="auto"/>
                <w:sz w:val="24"/>
                <w:vertAlign w:val="subscript"/>
              </w:rPr>
              <w:t>n</w:t>
            </w:r>
            <w:r>
              <w:rPr>
                <w:rFonts w:hint="eastAsia"/>
                <w:color w:val="auto"/>
                <w:sz w:val="24"/>
              </w:rPr>
              <w:t>/Q</w:t>
            </w:r>
            <w:r>
              <w:rPr>
                <w:rFonts w:hint="eastAsia"/>
                <w:color w:val="auto"/>
                <w:sz w:val="24"/>
                <w:vertAlign w:val="subscript"/>
              </w:rPr>
              <w:t>n</w:t>
            </w:r>
          </w:p>
          <w:p w14:paraId="2D33B517">
            <w:pPr>
              <w:spacing w:line="360" w:lineRule="auto"/>
              <w:ind w:firstLine="480" w:firstLineChars="200"/>
              <w:rPr>
                <w:color w:val="auto"/>
                <w:sz w:val="24"/>
              </w:rPr>
            </w:pPr>
            <w:r>
              <w:rPr>
                <w:rFonts w:hint="eastAsia"/>
                <w:color w:val="auto"/>
                <w:sz w:val="24"/>
              </w:rPr>
              <w:t>式中：q</w:t>
            </w:r>
            <w:r>
              <w:rPr>
                <w:rFonts w:hint="eastAsia"/>
                <w:color w:val="auto"/>
                <w:sz w:val="24"/>
                <w:vertAlign w:val="subscript"/>
              </w:rPr>
              <w:t>1</w:t>
            </w:r>
            <w:r>
              <w:rPr>
                <w:rFonts w:hint="eastAsia"/>
                <w:color w:val="auto"/>
                <w:sz w:val="24"/>
              </w:rPr>
              <w:t>，q</w:t>
            </w:r>
            <w:r>
              <w:rPr>
                <w:rFonts w:hint="eastAsia"/>
                <w:color w:val="auto"/>
                <w:sz w:val="24"/>
                <w:vertAlign w:val="subscript"/>
              </w:rPr>
              <w:t>2</w:t>
            </w:r>
            <w:r>
              <w:rPr>
                <w:rFonts w:hint="eastAsia"/>
                <w:color w:val="auto"/>
                <w:sz w:val="24"/>
              </w:rPr>
              <w:t>，</w:t>
            </w:r>
            <w:r>
              <w:rPr>
                <w:color w:val="auto"/>
                <w:sz w:val="24"/>
              </w:rPr>
              <w:t>…</w:t>
            </w:r>
            <w:r>
              <w:rPr>
                <w:rFonts w:hint="eastAsia"/>
                <w:color w:val="auto"/>
                <w:sz w:val="24"/>
              </w:rPr>
              <w:t>，q</w:t>
            </w:r>
            <w:r>
              <w:rPr>
                <w:rFonts w:hint="eastAsia"/>
                <w:color w:val="auto"/>
                <w:sz w:val="24"/>
                <w:vertAlign w:val="subscript"/>
              </w:rPr>
              <w:t>n</w:t>
            </w:r>
            <w:r>
              <w:rPr>
                <w:rFonts w:hint="eastAsia"/>
                <w:color w:val="auto"/>
                <w:sz w:val="24"/>
              </w:rPr>
              <w:t>——每种危险物质的最大存在总量，t；</w:t>
            </w:r>
          </w:p>
          <w:p w14:paraId="52516E3E">
            <w:pPr>
              <w:spacing w:line="360" w:lineRule="auto"/>
              <w:ind w:firstLine="480" w:firstLineChars="200"/>
              <w:rPr>
                <w:color w:val="auto"/>
                <w:sz w:val="24"/>
              </w:rPr>
            </w:pPr>
            <w:r>
              <w:rPr>
                <w:rFonts w:hint="eastAsia"/>
                <w:color w:val="auto"/>
                <w:sz w:val="24"/>
              </w:rPr>
              <w:t>Q</w:t>
            </w:r>
            <w:r>
              <w:rPr>
                <w:rFonts w:hint="eastAsia"/>
                <w:color w:val="auto"/>
                <w:sz w:val="24"/>
                <w:vertAlign w:val="subscript"/>
              </w:rPr>
              <w:t>1</w:t>
            </w:r>
            <w:r>
              <w:rPr>
                <w:rFonts w:hint="eastAsia"/>
                <w:color w:val="auto"/>
                <w:sz w:val="24"/>
              </w:rPr>
              <w:t>，Q</w:t>
            </w:r>
            <w:r>
              <w:rPr>
                <w:rFonts w:hint="eastAsia"/>
                <w:color w:val="auto"/>
                <w:sz w:val="24"/>
                <w:vertAlign w:val="subscript"/>
              </w:rPr>
              <w:t>2</w:t>
            </w:r>
            <w:r>
              <w:rPr>
                <w:rFonts w:hint="eastAsia"/>
                <w:color w:val="auto"/>
                <w:sz w:val="24"/>
              </w:rPr>
              <w:t>，</w:t>
            </w:r>
            <w:r>
              <w:rPr>
                <w:color w:val="auto"/>
                <w:sz w:val="24"/>
              </w:rPr>
              <w:t>…</w:t>
            </w:r>
            <w:r>
              <w:rPr>
                <w:rFonts w:hint="eastAsia"/>
                <w:color w:val="auto"/>
                <w:sz w:val="24"/>
              </w:rPr>
              <w:t>，Q</w:t>
            </w:r>
            <w:r>
              <w:rPr>
                <w:rFonts w:hint="eastAsia"/>
                <w:color w:val="auto"/>
                <w:sz w:val="24"/>
                <w:vertAlign w:val="subscript"/>
              </w:rPr>
              <w:t>n</w:t>
            </w:r>
            <w:r>
              <w:rPr>
                <w:rFonts w:hint="eastAsia"/>
                <w:color w:val="auto"/>
                <w:sz w:val="24"/>
              </w:rPr>
              <w:t>——每种危险物质的临界量，t。</w:t>
            </w:r>
          </w:p>
          <w:p w14:paraId="29B9987B">
            <w:pPr>
              <w:spacing w:line="360" w:lineRule="auto"/>
              <w:ind w:firstLine="480" w:firstLineChars="200"/>
              <w:rPr>
                <w:color w:val="auto"/>
                <w:sz w:val="24"/>
              </w:rPr>
            </w:pPr>
            <w:r>
              <w:rPr>
                <w:rFonts w:hint="eastAsia"/>
                <w:color w:val="auto"/>
                <w:sz w:val="24"/>
              </w:rPr>
              <w:t>当Q&lt;1时，该项目环境风险潜势为</w:t>
            </w:r>
            <w:r>
              <w:rPr>
                <w:color w:val="auto"/>
                <w:sz w:val="24"/>
              </w:rPr>
              <w:t>Ⅰ。</w:t>
            </w:r>
          </w:p>
          <w:p w14:paraId="3EF40A90">
            <w:pPr>
              <w:spacing w:line="360" w:lineRule="auto"/>
              <w:ind w:firstLine="480" w:firstLineChars="200"/>
              <w:rPr>
                <w:color w:val="auto"/>
                <w:sz w:val="24"/>
              </w:rPr>
            </w:pPr>
            <w:r>
              <w:rPr>
                <w:color w:val="auto"/>
                <w:sz w:val="24"/>
              </w:rPr>
              <w:t>当Q≥1时，将Q值划分为：（1）1≤Q&lt;10；（2）10≤Q&lt;100；（3）Q≥100</w:t>
            </w:r>
          </w:p>
          <w:p w14:paraId="52EF56B3">
            <w:pPr>
              <w:pStyle w:val="108"/>
              <w:adjustRightInd/>
              <w:spacing w:line="360" w:lineRule="auto"/>
              <w:jc w:val="center"/>
              <w:rPr>
                <w:rFonts w:eastAsia="黑体"/>
                <w:bCs/>
                <w:color w:val="auto"/>
                <w:sz w:val="21"/>
                <w:szCs w:val="21"/>
              </w:rPr>
            </w:pPr>
            <w:r>
              <w:rPr>
                <w:rFonts w:hint="eastAsia" w:hAnsi="黑体" w:eastAsia="黑体"/>
                <w:color w:val="auto"/>
              </w:rPr>
              <w:t>表52  项目风险物质最大储存量与临界量的比值（Q）</w:t>
            </w:r>
          </w:p>
          <w:tbl>
            <w:tblPr>
              <w:tblStyle w:val="34"/>
              <w:tblW w:w="809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097"/>
              <w:gridCol w:w="1559"/>
              <w:gridCol w:w="1843"/>
              <w:gridCol w:w="1559"/>
              <w:gridCol w:w="1206"/>
            </w:tblGrid>
            <w:tr w14:paraId="0F7C60C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833" w:type="dxa"/>
                  <w:vAlign w:val="center"/>
                </w:tcPr>
                <w:p w14:paraId="5F16BFC4">
                  <w:pPr>
                    <w:spacing w:line="276" w:lineRule="auto"/>
                    <w:jc w:val="center"/>
                    <w:rPr>
                      <w:b/>
                      <w:color w:val="auto"/>
                      <w:szCs w:val="21"/>
                    </w:rPr>
                  </w:pPr>
                  <w:r>
                    <w:rPr>
                      <w:rFonts w:hint="eastAsia"/>
                      <w:b/>
                      <w:color w:val="auto"/>
                      <w:szCs w:val="21"/>
                    </w:rPr>
                    <w:t>序号</w:t>
                  </w:r>
                </w:p>
              </w:tc>
              <w:tc>
                <w:tcPr>
                  <w:tcW w:w="2656" w:type="dxa"/>
                  <w:gridSpan w:val="2"/>
                  <w:vAlign w:val="center"/>
                </w:tcPr>
                <w:p w14:paraId="7D00C2F9">
                  <w:pPr>
                    <w:spacing w:line="276" w:lineRule="auto"/>
                    <w:jc w:val="center"/>
                    <w:rPr>
                      <w:b/>
                      <w:color w:val="auto"/>
                      <w:szCs w:val="21"/>
                    </w:rPr>
                  </w:pPr>
                  <w:r>
                    <w:rPr>
                      <w:rFonts w:hint="eastAsia"/>
                      <w:b/>
                      <w:color w:val="auto"/>
                      <w:szCs w:val="21"/>
                    </w:rPr>
                    <w:t>风险物质名称</w:t>
                  </w:r>
                </w:p>
              </w:tc>
              <w:tc>
                <w:tcPr>
                  <w:tcW w:w="1843" w:type="dxa"/>
                  <w:vAlign w:val="center"/>
                </w:tcPr>
                <w:p w14:paraId="68FBFF43">
                  <w:pPr>
                    <w:spacing w:line="276" w:lineRule="auto"/>
                    <w:jc w:val="center"/>
                    <w:rPr>
                      <w:b/>
                      <w:color w:val="auto"/>
                      <w:szCs w:val="21"/>
                    </w:rPr>
                  </w:pPr>
                  <w:r>
                    <w:rPr>
                      <w:rFonts w:hint="eastAsia"/>
                      <w:b/>
                      <w:color w:val="auto"/>
                      <w:szCs w:val="21"/>
                    </w:rPr>
                    <w:t>最大储存量（</w:t>
                  </w:r>
                  <w:r>
                    <w:rPr>
                      <w:b/>
                      <w:color w:val="auto"/>
                      <w:szCs w:val="21"/>
                    </w:rPr>
                    <w:t>t</w:t>
                  </w:r>
                  <w:r>
                    <w:rPr>
                      <w:rFonts w:hint="eastAsia"/>
                      <w:b/>
                      <w:color w:val="auto"/>
                      <w:szCs w:val="21"/>
                    </w:rPr>
                    <w:t>）</w:t>
                  </w:r>
                </w:p>
              </w:tc>
              <w:tc>
                <w:tcPr>
                  <w:tcW w:w="1559" w:type="dxa"/>
                  <w:vAlign w:val="center"/>
                </w:tcPr>
                <w:p w14:paraId="7EEB663D">
                  <w:pPr>
                    <w:spacing w:line="276" w:lineRule="auto"/>
                    <w:jc w:val="center"/>
                    <w:rPr>
                      <w:b/>
                      <w:color w:val="auto"/>
                      <w:szCs w:val="21"/>
                    </w:rPr>
                  </w:pPr>
                  <w:r>
                    <w:rPr>
                      <w:rFonts w:hint="eastAsia"/>
                      <w:b/>
                      <w:color w:val="auto"/>
                      <w:szCs w:val="21"/>
                    </w:rPr>
                    <w:t>临界量（</w:t>
                  </w:r>
                  <w:r>
                    <w:rPr>
                      <w:b/>
                      <w:color w:val="auto"/>
                      <w:szCs w:val="21"/>
                    </w:rPr>
                    <w:t>t</w:t>
                  </w:r>
                  <w:r>
                    <w:rPr>
                      <w:rFonts w:hint="eastAsia"/>
                      <w:b/>
                      <w:color w:val="auto"/>
                      <w:szCs w:val="21"/>
                    </w:rPr>
                    <w:t>）</w:t>
                  </w:r>
                </w:p>
              </w:tc>
              <w:tc>
                <w:tcPr>
                  <w:tcW w:w="1206" w:type="dxa"/>
                  <w:vAlign w:val="center"/>
                </w:tcPr>
                <w:p w14:paraId="01EC9725">
                  <w:pPr>
                    <w:spacing w:line="276" w:lineRule="auto"/>
                    <w:jc w:val="center"/>
                    <w:rPr>
                      <w:b/>
                      <w:color w:val="auto"/>
                      <w:szCs w:val="21"/>
                    </w:rPr>
                  </w:pPr>
                  <w:r>
                    <w:rPr>
                      <w:b/>
                      <w:color w:val="auto"/>
                      <w:szCs w:val="21"/>
                    </w:rPr>
                    <w:t>Q</w:t>
                  </w:r>
                  <w:r>
                    <w:rPr>
                      <w:rFonts w:hint="eastAsia"/>
                      <w:b/>
                      <w:color w:val="auto"/>
                      <w:szCs w:val="21"/>
                    </w:rPr>
                    <w:t>值</w:t>
                  </w:r>
                </w:p>
              </w:tc>
            </w:tr>
            <w:tr w14:paraId="18F17AE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vAlign w:val="center"/>
                </w:tcPr>
                <w:p w14:paraId="713A1685">
                  <w:pPr>
                    <w:spacing w:line="276" w:lineRule="auto"/>
                    <w:jc w:val="center"/>
                    <w:rPr>
                      <w:color w:val="auto"/>
                      <w:szCs w:val="21"/>
                    </w:rPr>
                  </w:pPr>
                  <w:r>
                    <w:rPr>
                      <w:color w:val="auto"/>
                      <w:szCs w:val="21"/>
                    </w:rPr>
                    <w:t>1</w:t>
                  </w:r>
                </w:p>
              </w:tc>
              <w:tc>
                <w:tcPr>
                  <w:tcW w:w="1097" w:type="dxa"/>
                  <w:vMerge w:val="restart"/>
                  <w:vAlign w:val="center"/>
                </w:tcPr>
                <w:p w14:paraId="2EE0EC5E">
                  <w:pPr>
                    <w:spacing w:line="276" w:lineRule="auto"/>
                    <w:jc w:val="center"/>
                    <w:rPr>
                      <w:color w:val="auto"/>
                      <w:szCs w:val="21"/>
                    </w:rPr>
                  </w:pPr>
                  <w:r>
                    <w:rPr>
                      <w:color w:val="auto"/>
                      <w:szCs w:val="21"/>
                    </w:rPr>
                    <w:t>危险废物</w:t>
                  </w:r>
                </w:p>
              </w:tc>
              <w:tc>
                <w:tcPr>
                  <w:tcW w:w="1559" w:type="dxa"/>
                  <w:vAlign w:val="center"/>
                </w:tcPr>
                <w:p w14:paraId="5C1904A0">
                  <w:pPr>
                    <w:spacing w:line="276" w:lineRule="auto"/>
                    <w:jc w:val="center"/>
                    <w:rPr>
                      <w:color w:val="auto"/>
                      <w:szCs w:val="21"/>
                    </w:rPr>
                  </w:pPr>
                  <w:r>
                    <w:rPr>
                      <w:rFonts w:hint="eastAsia"/>
                      <w:color w:val="auto"/>
                      <w:szCs w:val="21"/>
                    </w:rPr>
                    <w:t>废包装桶</w:t>
                  </w:r>
                  <w:r>
                    <w:rPr>
                      <w:rFonts w:hint="eastAsia"/>
                      <w:color w:val="auto"/>
                      <w:szCs w:val="21"/>
                      <w:vertAlign w:val="superscript"/>
                    </w:rPr>
                    <w:t>①</w:t>
                  </w:r>
                </w:p>
              </w:tc>
              <w:tc>
                <w:tcPr>
                  <w:tcW w:w="1843" w:type="dxa"/>
                  <w:vAlign w:val="center"/>
                </w:tcPr>
                <w:p w14:paraId="019CB305">
                  <w:pPr>
                    <w:spacing w:line="276" w:lineRule="auto"/>
                    <w:jc w:val="center"/>
                    <w:rPr>
                      <w:color w:val="auto"/>
                      <w:szCs w:val="21"/>
                    </w:rPr>
                  </w:pPr>
                  <w:r>
                    <w:rPr>
                      <w:rFonts w:hint="eastAsia"/>
                      <w:color w:val="auto"/>
                      <w:szCs w:val="21"/>
                    </w:rPr>
                    <w:t>0.01</w:t>
                  </w:r>
                </w:p>
              </w:tc>
              <w:tc>
                <w:tcPr>
                  <w:tcW w:w="1559" w:type="dxa"/>
                  <w:vAlign w:val="center"/>
                </w:tcPr>
                <w:p w14:paraId="7DBB4FD5">
                  <w:pPr>
                    <w:spacing w:line="276" w:lineRule="auto"/>
                    <w:jc w:val="center"/>
                    <w:rPr>
                      <w:color w:val="auto"/>
                      <w:szCs w:val="21"/>
                    </w:rPr>
                  </w:pPr>
                  <w:r>
                    <w:rPr>
                      <w:rFonts w:hint="eastAsia"/>
                      <w:color w:val="auto"/>
                      <w:szCs w:val="21"/>
                    </w:rPr>
                    <w:t>100</w:t>
                  </w:r>
                </w:p>
              </w:tc>
              <w:tc>
                <w:tcPr>
                  <w:tcW w:w="1206" w:type="dxa"/>
                  <w:vAlign w:val="center"/>
                </w:tcPr>
                <w:p w14:paraId="774C77FF">
                  <w:pPr>
                    <w:spacing w:line="276" w:lineRule="auto"/>
                    <w:jc w:val="center"/>
                    <w:rPr>
                      <w:color w:val="auto"/>
                      <w:szCs w:val="21"/>
                    </w:rPr>
                  </w:pPr>
                  <w:r>
                    <w:rPr>
                      <w:rFonts w:hint="eastAsia"/>
                      <w:color w:val="auto"/>
                      <w:szCs w:val="21"/>
                    </w:rPr>
                    <w:t>0.0001</w:t>
                  </w:r>
                </w:p>
              </w:tc>
            </w:tr>
            <w:tr w14:paraId="57B595F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vAlign w:val="center"/>
                </w:tcPr>
                <w:p w14:paraId="1D82B42A">
                  <w:pPr>
                    <w:spacing w:line="276" w:lineRule="auto"/>
                    <w:jc w:val="center"/>
                    <w:rPr>
                      <w:color w:val="auto"/>
                      <w:szCs w:val="21"/>
                    </w:rPr>
                  </w:pPr>
                </w:p>
              </w:tc>
              <w:tc>
                <w:tcPr>
                  <w:tcW w:w="1097" w:type="dxa"/>
                  <w:vMerge w:val="continue"/>
                  <w:vAlign w:val="center"/>
                </w:tcPr>
                <w:p w14:paraId="74D802AD">
                  <w:pPr>
                    <w:spacing w:line="276" w:lineRule="auto"/>
                    <w:jc w:val="center"/>
                    <w:rPr>
                      <w:color w:val="auto"/>
                      <w:szCs w:val="21"/>
                    </w:rPr>
                  </w:pPr>
                </w:p>
              </w:tc>
              <w:tc>
                <w:tcPr>
                  <w:tcW w:w="1559" w:type="dxa"/>
                  <w:vAlign w:val="center"/>
                </w:tcPr>
                <w:p w14:paraId="350FC581">
                  <w:pPr>
                    <w:spacing w:line="276" w:lineRule="auto"/>
                    <w:jc w:val="center"/>
                    <w:rPr>
                      <w:color w:val="auto"/>
                      <w:szCs w:val="21"/>
                    </w:rPr>
                  </w:pPr>
                  <w:r>
                    <w:rPr>
                      <w:rFonts w:hint="eastAsia"/>
                      <w:color w:val="auto"/>
                      <w:szCs w:val="21"/>
                    </w:rPr>
                    <w:t>废活性炭</w:t>
                  </w:r>
                  <w:r>
                    <w:rPr>
                      <w:rFonts w:hint="eastAsia"/>
                      <w:color w:val="auto"/>
                      <w:szCs w:val="21"/>
                      <w:vertAlign w:val="superscript"/>
                    </w:rPr>
                    <w:t>①</w:t>
                  </w:r>
                </w:p>
              </w:tc>
              <w:tc>
                <w:tcPr>
                  <w:tcW w:w="1843" w:type="dxa"/>
                  <w:vAlign w:val="center"/>
                </w:tcPr>
                <w:p w14:paraId="1A096AB3">
                  <w:pPr>
                    <w:spacing w:line="276" w:lineRule="auto"/>
                    <w:jc w:val="center"/>
                    <w:rPr>
                      <w:color w:val="auto"/>
                      <w:szCs w:val="21"/>
                    </w:rPr>
                  </w:pPr>
                  <w:r>
                    <w:rPr>
                      <w:rFonts w:hint="eastAsia"/>
                      <w:color w:val="auto"/>
                      <w:szCs w:val="21"/>
                    </w:rPr>
                    <w:t>1.50</w:t>
                  </w:r>
                </w:p>
              </w:tc>
              <w:tc>
                <w:tcPr>
                  <w:tcW w:w="1559" w:type="dxa"/>
                  <w:vAlign w:val="center"/>
                </w:tcPr>
                <w:p w14:paraId="1C8757EF">
                  <w:pPr>
                    <w:spacing w:line="276" w:lineRule="auto"/>
                    <w:jc w:val="center"/>
                    <w:rPr>
                      <w:color w:val="auto"/>
                      <w:szCs w:val="21"/>
                    </w:rPr>
                  </w:pPr>
                  <w:r>
                    <w:rPr>
                      <w:rFonts w:hint="eastAsia"/>
                      <w:color w:val="auto"/>
                      <w:szCs w:val="21"/>
                    </w:rPr>
                    <w:t>100</w:t>
                  </w:r>
                </w:p>
              </w:tc>
              <w:tc>
                <w:tcPr>
                  <w:tcW w:w="1206" w:type="dxa"/>
                  <w:vAlign w:val="center"/>
                </w:tcPr>
                <w:p w14:paraId="7E42AB1F">
                  <w:pPr>
                    <w:spacing w:line="276" w:lineRule="auto"/>
                    <w:jc w:val="center"/>
                    <w:rPr>
                      <w:color w:val="auto"/>
                      <w:szCs w:val="21"/>
                    </w:rPr>
                  </w:pPr>
                  <w:r>
                    <w:rPr>
                      <w:rFonts w:hint="eastAsia"/>
                      <w:color w:val="auto"/>
                      <w:szCs w:val="21"/>
                    </w:rPr>
                    <w:t>0.015</w:t>
                  </w:r>
                </w:p>
              </w:tc>
            </w:tr>
            <w:tr w14:paraId="2555F1D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vAlign w:val="center"/>
                </w:tcPr>
                <w:p w14:paraId="187290A9">
                  <w:pPr>
                    <w:spacing w:line="276" w:lineRule="auto"/>
                    <w:jc w:val="center"/>
                    <w:rPr>
                      <w:color w:val="auto"/>
                      <w:szCs w:val="21"/>
                    </w:rPr>
                  </w:pPr>
                </w:p>
              </w:tc>
              <w:tc>
                <w:tcPr>
                  <w:tcW w:w="1097" w:type="dxa"/>
                  <w:vMerge w:val="continue"/>
                  <w:vAlign w:val="center"/>
                </w:tcPr>
                <w:p w14:paraId="696B91F5">
                  <w:pPr>
                    <w:spacing w:line="276" w:lineRule="auto"/>
                    <w:jc w:val="center"/>
                    <w:rPr>
                      <w:color w:val="auto"/>
                      <w:szCs w:val="21"/>
                    </w:rPr>
                  </w:pPr>
                </w:p>
              </w:tc>
              <w:tc>
                <w:tcPr>
                  <w:tcW w:w="1559" w:type="dxa"/>
                  <w:vAlign w:val="center"/>
                </w:tcPr>
                <w:p w14:paraId="62EA88E9">
                  <w:pPr>
                    <w:spacing w:line="276" w:lineRule="auto"/>
                    <w:jc w:val="center"/>
                    <w:rPr>
                      <w:color w:val="auto"/>
                      <w:szCs w:val="21"/>
                    </w:rPr>
                  </w:pPr>
                  <w:r>
                    <w:rPr>
                      <w:rFonts w:hint="eastAsia"/>
                      <w:color w:val="auto"/>
                      <w:szCs w:val="21"/>
                    </w:rPr>
                    <w:t>废漆料</w:t>
                  </w:r>
                  <w:r>
                    <w:rPr>
                      <w:rFonts w:hint="eastAsia"/>
                      <w:color w:val="auto"/>
                      <w:szCs w:val="21"/>
                      <w:vertAlign w:val="superscript"/>
                    </w:rPr>
                    <w:t>②</w:t>
                  </w:r>
                </w:p>
              </w:tc>
              <w:tc>
                <w:tcPr>
                  <w:tcW w:w="1843" w:type="dxa"/>
                  <w:vAlign w:val="center"/>
                </w:tcPr>
                <w:p w14:paraId="51B90284">
                  <w:pPr>
                    <w:spacing w:line="276" w:lineRule="auto"/>
                    <w:jc w:val="center"/>
                    <w:rPr>
                      <w:color w:val="auto"/>
                      <w:szCs w:val="21"/>
                    </w:rPr>
                  </w:pPr>
                  <w:r>
                    <w:rPr>
                      <w:rFonts w:hint="eastAsia"/>
                      <w:color w:val="auto"/>
                      <w:szCs w:val="21"/>
                    </w:rPr>
                    <w:t>0.50</w:t>
                  </w:r>
                </w:p>
              </w:tc>
              <w:tc>
                <w:tcPr>
                  <w:tcW w:w="1559" w:type="dxa"/>
                  <w:vAlign w:val="center"/>
                </w:tcPr>
                <w:p w14:paraId="560D7424">
                  <w:pPr>
                    <w:spacing w:line="276" w:lineRule="auto"/>
                    <w:jc w:val="center"/>
                    <w:rPr>
                      <w:color w:val="auto"/>
                      <w:szCs w:val="21"/>
                    </w:rPr>
                  </w:pPr>
                  <w:r>
                    <w:rPr>
                      <w:rFonts w:hint="eastAsia"/>
                      <w:color w:val="auto"/>
                      <w:szCs w:val="21"/>
                    </w:rPr>
                    <w:t>10</w:t>
                  </w:r>
                </w:p>
              </w:tc>
              <w:tc>
                <w:tcPr>
                  <w:tcW w:w="1206" w:type="dxa"/>
                  <w:vAlign w:val="center"/>
                </w:tcPr>
                <w:p w14:paraId="58E72D11">
                  <w:pPr>
                    <w:spacing w:line="276" w:lineRule="auto"/>
                    <w:jc w:val="center"/>
                    <w:rPr>
                      <w:color w:val="auto"/>
                      <w:szCs w:val="21"/>
                    </w:rPr>
                  </w:pPr>
                  <w:r>
                    <w:rPr>
                      <w:rFonts w:hint="eastAsia"/>
                      <w:color w:val="auto"/>
                      <w:szCs w:val="21"/>
                    </w:rPr>
                    <w:t>0.050</w:t>
                  </w:r>
                </w:p>
              </w:tc>
            </w:tr>
            <w:tr w14:paraId="13A1081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Align w:val="center"/>
                </w:tcPr>
                <w:p w14:paraId="6C2CF637">
                  <w:pPr>
                    <w:spacing w:line="276" w:lineRule="auto"/>
                    <w:jc w:val="center"/>
                    <w:rPr>
                      <w:color w:val="auto"/>
                      <w:szCs w:val="21"/>
                    </w:rPr>
                  </w:pPr>
                  <w:r>
                    <w:rPr>
                      <w:color w:val="auto"/>
                      <w:szCs w:val="21"/>
                    </w:rPr>
                    <w:t>2</w:t>
                  </w:r>
                </w:p>
              </w:tc>
              <w:tc>
                <w:tcPr>
                  <w:tcW w:w="1097" w:type="dxa"/>
                  <w:vMerge w:val="restart"/>
                  <w:vAlign w:val="center"/>
                </w:tcPr>
                <w:p w14:paraId="4E2ADB63">
                  <w:pPr>
                    <w:spacing w:line="276" w:lineRule="auto"/>
                    <w:jc w:val="center"/>
                    <w:rPr>
                      <w:color w:val="auto"/>
                      <w:szCs w:val="21"/>
                    </w:rPr>
                  </w:pPr>
                  <w:r>
                    <w:rPr>
                      <w:color w:val="auto"/>
                      <w:szCs w:val="21"/>
                    </w:rPr>
                    <w:t>水性漆</w:t>
                  </w:r>
                </w:p>
              </w:tc>
              <w:tc>
                <w:tcPr>
                  <w:tcW w:w="1559" w:type="dxa"/>
                  <w:vAlign w:val="center"/>
                </w:tcPr>
                <w:p w14:paraId="3D401A4C">
                  <w:pPr>
                    <w:spacing w:line="276" w:lineRule="auto"/>
                    <w:jc w:val="center"/>
                    <w:rPr>
                      <w:color w:val="auto"/>
                      <w:szCs w:val="21"/>
                    </w:rPr>
                  </w:pPr>
                  <w:r>
                    <w:rPr>
                      <w:color w:val="auto"/>
                      <w:szCs w:val="21"/>
                    </w:rPr>
                    <w:t>丙烯酸甲酯</w:t>
                  </w:r>
                  <w:r>
                    <w:rPr>
                      <w:rFonts w:hint="eastAsia" w:ascii="宋体" w:hAnsi="宋体" w:cs="宋体"/>
                      <w:color w:val="auto"/>
                      <w:szCs w:val="21"/>
                      <w:vertAlign w:val="superscript"/>
                    </w:rPr>
                    <w:t>③</w:t>
                  </w:r>
                </w:p>
              </w:tc>
              <w:tc>
                <w:tcPr>
                  <w:tcW w:w="1843" w:type="dxa"/>
                  <w:vAlign w:val="center"/>
                </w:tcPr>
                <w:p w14:paraId="6A493F4D">
                  <w:pPr>
                    <w:spacing w:line="276" w:lineRule="auto"/>
                    <w:jc w:val="center"/>
                    <w:rPr>
                      <w:color w:val="auto"/>
                      <w:szCs w:val="21"/>
                    </w:rPr>
                  </w:pPr>
                  <w:r>
                    <w:rPr>
                      <w:rFonts w:hint="eastAsia"/>
                      <w:color w:val="auto"/>
                      <w:szCs w:val="21"/>
                    </w:rPr>
                    <w:t>0.04</w:t>
                  </w:r>
                </w:p>
              </w:tc>
              <w:tc>
                <w:tcPr>
                  <w:tcW w:w="1559" w:type="dxa"/>
                  <w:vAlign w:val="center"/>
                </w:tcPr>
                <w:p w14:paraId="103092A9">
                  <w:pPr>
                    <w:spacing w:line="276" w:lineRule="auto"/>
                    <w:jc w:val="center"/>
                    <w:rPr>
                      <w:color w:val="auto"/>
                      <w:szCs w:val="21"/>
                    </w:rPr>
                  </w:pPr>
                  <w:r>
                    <w:rPr>
                      <w:rFonts w:hint="eastAsia"/>
                      <w:color w:val="auto"/>
                      <w:szCs w:val="21"/>
                    </w:rPr>
                    <w:t>10</w:t>
                  </w:r>
                </w:p>
              </w:tc>
              <w:tc>
                <w:tcPr>
                  <w:tcW w:w="1206" w:type="dxa"/>
                  <w:vAlign w:val="center"/>
                </w:tcPr>
                <w:p w14:paraId="5F199837">
                  <w:pPr>
                    <w:spacing w:line="276" w:lineRule="auto"/>
                    <w:jc w:val="center"/>
                    <w:rPr>
                      <w:color w:val="auto"/>
                      <w:szCs w:val="21"/>
                    </w:rPr>
                  </w:pPr>
                  <w:r>
                    <w:rPr>
                      <w:rFonts w:hint="eastAsia"/>
                      <w:color w:val="auto"/>
                      <w:szCs w:val="21"/>
                    </w:rPr>
                    <w:t>0.004</w:t>
                  </w:r>
                </w:p>
              </w:tc>
            </w:tr>
            <w:tr w14:paraId="2383FBF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Align w:val="center"/>
                </w:tcPr>
                <w:p w14:paraId="4B4BDCE4">
                  <w:pPr>
                    <w:spacing w:line="276" w:lineRule="auto"/>
                    <w:jc w:val="center"/>
                    <w:rPr>
                      <w:color w:val="auto"/>
                      <w:szCs w:val="21"/>
                    </w:rPr>
                  </w:pPr>
                  <w:r>
                    <w:rPr>
                      <w:rFonts w:hint="eastAsia"/>
                      <w:color w:val="auto"/>
                      <w:szCs w:val="21"/>
                    </w:rPr>
                    <w:t>3</w:t>
                  </w:r>
                </w:p>
              </w:tc>
              <w:tc>
                <w:tcPr>
                  <w:tcW w:w="1097" w:type="dxa"/>
                  <w:vMerge w:val="continue"/>
                  <w:vAlign w:val="center"/>
                </w:tcPr>
                <w:p w14:paraId="03B7C972">
                  <w:pPr>
                    <w:spacing w:line="276" w:lineRule="auto"/>
                    <w:jc w:val="center"/>
                    <w:rPr>
                      <w:color w:val="auto"/>
                      <w:szCs w:val="21"/>
                    </w:rPr>
                  </w:pPr>
                </w:p>
              </w:tc>
              <w:tc>
                <w:tcPr>
                  <w:tcW w:w="1559" w:type="dxa"/>
                  <w:vAlign w:val="center"/>
                </w:tcPr>
                <w:p w14:paraId="49B6FC72">
                  <w:pPr>
                    <w:spacing w:line="276" w:lineRule="auto"/>
                    <w:jc w:val="center"/>
                    <w:rPr>
                      <w:color w:val="auto"/>
                      <w:szCs w:val="21"/>
                    </w:rPr>
                  </w:pPr>
                  <w:r>
                    <w:rPr>
                      <w:color w:val="auto"/>
                      <w:szCs w:val="21"/>
                    </w:rPr>
                    <w:t>乙醇</w:t>
                  </w:r>
                  <w:r>
                    <w:rPr>
                      <w:rFonts w:hint="eastAsia" w:ascii="宋体" w:hAnsi="宋体" w:cs="宋体"/>
                      <w:color w:val="auto"/>
                      <w:szCs w:val="21"/>
                      <w:vertAlign w:val="superscript"/>
                    </w:rPr>
                    <w:t>④</w:t>
                  </w:r>
                </w:p>
              </w:tc>
              <w:tc>
                <w:tcPr>
                  <w:tcW w:w="1843" w:type="dxa"/>
                  <w:vAlign w:val="center"/>
                </w:tcPr>
                <w:p w14:paraId="7D8570EE">
                  <w:pPr>
                    <w:spacing w:line="276" w:lineRule="auto"/>
                    <w:jc w:val="center"/>
                    <w:rPr>
                      <w:color w:val="auto"/>
                      <w:szCs w:val="21"/>
                    </w:rPr>
                  </w:pPr>
                  <w:r>
                    <w:rPr>
                      <w:rFonts w:hint="eastAsia"/>
                      <w:color w:val="auto"/>
                      <w:szCs w:val="21"/>
                    </w:rPr>
                    <w:t>0.08</w:t>
                  </w:r>
                </w:p>
              </w:tc>
              <w:tc>
                <w:tcPr>
                  <w:tcW w:w="1559" w:type="dxa"/>
                  <w:vAlign w:val="center"/>
                </w:tcPr>
                <w:p w14:paraId="6EDBDB46">
                  <w:pPr>
                    <w:spacing w:line="276" w:lineRule="auto"/>
                    <w:jc w:val="center"/>
                    <w:rPr>
                      <w:color w:val="auto"/>
                      <w:szCs w:val="21"/>
                    </w:rPr>
                  </w:pPr>
                  <w:r>
                    <w:rPr>
                      <w:rFonts w:hint="eastAsia"/>
                      <w:color w:val="auto"/>
                      <w:szCs w:val="21"/>
                    </w:rPr>
                    <w:t>10</w:t>
                  </w:r>
                </w:p>
              </w:tc>
              <w:tc>
                <w:tcPr>
                  <w:tcW w:w="1206" w:type="dxa"/>
                  <w:vAlign w:val="center"/>
                </w:tcPr>
                <w:p w14:paraId="5B141650">
                  <w:pPr>
                    <w:spacing w:line="276" w:lineRule="auto"/>
                    <w:jc w:val="center"/>
                    <w:rPr>
                      <w:color w:val="auto"/>
                      <w:szCs w:val="21"/>
                    </w:rPr>
                  </w:pPr>
                  <w:r>
                    <w:rPr>
                      <w:rFonts w:hint="eastAsia"/>
                      <w:color w:val="auto"/>
                      <w:szCs w:val="21"/>
                    </w:rPr>
                    <w:t>0.008</w:t>
                  </w:r>
                </w:p>
              </w:tc>
            </w:tr>
            <w:tr w14:paraId="0CAE603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891" w:type="dxa"/>
                  <w:gridSpan w:val="5"/>
                  <w:vAlign w:val="center"/>
                </w:tcPr>
                <w:p w14:paraId="582C7174">
                  <w:pPr>
                    <w:spacing w:line="276" w:lineRule="auto"/>
                    <w:jc w:val="center"/>
                    <w:rPr>
                      <w:color w:val="auto"/>
                      <w:szCs w:val="21"/>
                    </w:rPr>
                  </w:pPr>
                  <w:r>
                    <w:rPr>
                      <w:rFonts w:hint="eastAsia"/>
                      <w:color w:val="auto"/>
                      <w:szCs w:val="21"/>
                    </w:rPr>
                    <w:t>合计</w:t>
                  </w:r>
                </w:p>
              </w:tc>
              <w:tc>
                <w:tcPr>
                  <w:tcW w:w="1206" w:type="dxa"/>
                  <w:vAlign w:val="center"/>
                </w:tcPr>
                <w:p w14:paraId="240358CF">
                  <w:pPr>
                    <w:spacing w:line="276" w:lineRule="auto"/>
                    <w:jc w:val="center"/>
                    <w:rPr>
                      <w:color w:val="auto"/>
                      <w:szCs w:val="21"/>
                    </w:rPr>
                  </w:pPr>
                  <w:r>
                    <w:rPr>
                      <w:rFonts w:hint="eastAsia"/>
                      <w:color w:val="auto"/>
                      <w:szCs w:val="21"/>
                    </w:rPr>
                    <w:t>0.0771</w:t>
                  </w:r>
                </w:p>
              </w:tc>
            </w:tr>
          </w:tbl>
          <w:p w14:paraId="3646292E">
            <w:pPr>
              <w:spacing w:line="276" w:lineRule="auto"/>
              <w:rPr>
                <w:b/>
                <w:color w:val="auto"/>
              </w:rPr>
            </w:pPr>
            <w:r>
              <w:rPr>
                <w:rFonts w:hint="eastAsia"/>
                <w:b/>
                <w:color w:val="auto"/>
              </w:rPr>
              <w:t>注</w:t>
            </w:r>
            <w:r>
              <w:rPr>
                <w:rFonts w:hint="eastAsia"/>
                <w:b/>
                <w:color w:val="auto"/>
                <w:vertAlign w:val="superscript"/>
              </w:rPr>
              <w:t>①</w:t>
            </w:r>
            <w:r>
              <w:rPr>
                <w:rFonts w:hint="eastAsia"/>
                <w:b/>
                <w:color w:val="auto"/>
              </w:rPr>
              <w:t>废包装桶及废活性炭临界量参考《建设项目环境风险评价技术导则》（</w:t>
            </w:r>
            <w:r>
              <w:rPr>
                <w:b/>
                <w:color w:val="auto"/>
              </w:rPr>
              <w:t>HJ169-2018</w:t>
            </w:r>
            <w:r>
              <w:rPr>
                <w:rFonts w:hint="eastAsia"/>
                <w:b/>
                <w:color w:val="auto"/>
              </w:rPr>
              <w:t>）附录B.2危害水环境物质（急性毒性类别1），临界量按100吨计；</w:t>
            </w:r>
          </w:p>
          <w:p w14:paraId="56B0E3D3">
            <w:pPr>
              <w:spacing w:line="276" w:lineRule="auto"/>
              <w:rPr>
                <w:b/>
                <w:color w:val="auto"/>
              </w:rPr>
            </w:pPr>
            <w:r>
              <w:rPr>
                <w:rFonts w:hint="eastAsia"/>
                <w:b/>
                <w:color w:val="auto"/>
              </w:rPr>
              <w:t>注</w:t>
            </w:r>
            <w:r>
              <w:rPr>
                <w:rFonts w:hint="eastAsia"/>
                <w:b/>
                <w:color w:val="auto"/>
                <w:vertAlign w:val="superscript"/>
              </w:rPr>
              <w:t>②</w:t>
            </w:r>
            <w:r>
              <w:rPr>
                <w:rFonts w:hint="eastAsia"/>
                <w:b/>
                <w:color w:val="auto"/>
              </w:rPr>
              <w:t>：废漆料主要成分为丙烯酸树脂、金属氧化物（氧化铁、氧化钛、氧化铒），丙烯酸树脂主要以丙烯酸、丙烯酸甲酯、丙烯酸乙酯、丙烯酸正丁酯和甲基丙烯酸甲酯、甲基丙烯酸正丁酯等组成，参照丙烯酸甲酯类别，对照对照《建设项目环境风险评价技术导则》（</w:t>
            </w:r>
            <w:r>
              <w:rPr>
                <w:b/>
                <w:color w:val="auto"/>
              </w:rPr>
              <w:t>HJ169-2018</w:t>
            </w:r>
            <w:r>
              <w:rPr>
                <w:rFonts w:hint="eastAsia"/>
                <w:b/>
                <w:color w:val="auto"/>
              </w:rPr>
              <w:t>）附录B，其临界量为10吨；</w:t>
            </w:r>
          </w:p>
          <w:p w14:paraId="400AA838">
            <w:pPr>
              <w:spacing w:line="276" w:lineRule="auto"/>
              <w:rPr>
                <w:b/>
                <w:color w:val="auto"/>
              </w:rPr>
            </w:pPr>
            <w:r>
              <w:rPr>
                <w:rFonts w:hint="eastAsia"/>
                <w:b/>
                <w:color w:val="auto"/>
              </w:rPr>
              <w:t>注</w:t>
            </w:r>
            <w:r>
              <w:rPr>
                <w:rFonts w:hint="eastAsia"/>
                <w:b/>
                <w:color w:val="auto"/>
                <w:vertAlign w:val="superscript"/>
              </w:rPr>
              <w:t>③</w:t>
            </w:r>
            <w:r>
              <w:rPr>
                <w:rFonts w:hint="eastAsia"/>
                <w:b/>
                <w:color w:val="auto"/>
              </w:rPr>
              <w:t>：水性漆中水性丙烯酸树脂主要以丙烯酸、丙烯酸甲酯、丙烯酸乙酯、丙烯酸正丁酯和甲基丙烯酸甲酯、甲基丙烯酸正丁酯等组成，参照丙烯酸甲酯类别，对照《建设项目环境风险评价技术导则》（</w:t>
            </w:r>
            <w:r>
              <w:rPr>
                <w:b/>
                <w:color w:val="auto"/>
              </w:rPr>
              <w:t>HJ169-2018</w:t>
            </w:r>
            <w:r>
              <w:rPr>
                <w:rFonts w:hint="eastAsia"/>
                <w:b/>
                <w:color w:val="auto"/>
              </w:rPr>
              <w:t>）附录B，其临界量为10吨；</w:t>
            </w:r>
          </w:p>
          <w:p w14:paraId="1C687ED4">
            <w:pPr>
              <w:spacing w:line="276" w:lineRule="auto"/>
              <w:rPr>
                <w:color w:val="auto"/>
                <w:sz w:val="24"/>
                <w:szCs w:val="24"/>
              </w:rPr>
            </w:pPr>
            <w:r>
              <w:rPr>
                <w:rFonts w:hint="eastAsia"/>
                <w:b/>
                <w:color w:val="auto"/>
              </w:rPr>
              <w:t>注</w:t>
            </w:r>
            <w:r>
              <w:rPr>
                <w:rFonts w:hint="eastAsia"/>
                <w:b/>
                <w:color w:val="auto"/>
                <w:vertAlign w:val="superscript"/>
              </w:rPr>
              <w:t>④</w:t>
            </w:r>
            <w:r>
              <w:rPr>
                <w:rFonts w:hint="eastAsia"/>
                <w:b/>
                <w:color w:val="auto"/>
              </w:rPr>
              <w:t>：乙醇类比乙酸的类别，其临界值为10吨。</w:t>
            </w:r>
          </w:p>
          <w:p w14:paraId="2A327A37">
            <w:pPr>
              <w:spacing w:line="360" w:lineRule="auto"/>
              <w:ind w:firstLine="480" w:firstLineChars="200"/>
              <w:rPr>
                <w:color w:val="auto"/>
                <w:sz w:val="24"/>
              </w:rPr>
            </w:pPr>
            <w:r>
              <w:rPr>
                <w:rFonts w:hint="eastAsia"/>
                <w:color w:val="auto"/>
                <w:sz w:val="24"/>
                <w:szCs w:val="24"/>
              </w:rPr>
              <w:t>根据上表，计算得出本项目Q=0.0771，Q＜1</w:t>
            </w:r>
            <w:r>
              <w:rPr>
                <w:rFonts w:hint="eastAsia"/>
                <w:color w:val="auto"/>
                <w:sz w:val="24"/>
              </w:rPr>
              <w:t>。</w:t>
            </w:r>
          </w:p>
          <w:p w14:paraId="4D0FAEA6">
            <w:pPr>
              <w:spacing w:line="360" w:lineRule="auto"/>
              <w:ind w:firstLine="482" w:firstLineChars="200"/>
              <w:rPr>
                <w:b/>
                <w:color w:val="auto"/>
                <w:sz w:val="24"/>
                <w:szCs w:val="24"/>
              </w:rPr>
            </w:pPr>
            <w:r>
              <w:rPr>
                <w:rFonts w:hint="eastAsia"/>
                <w:b/>
                <w:color w:val="auto"/>
                <w:sz w:val="24"/>
                <w:szCs w:val="24"/>
              </w:rPr>
              <w:t>2、环境风险识别</w:t>
            </w:r>
          </w:p>
          <w:p w14:paraId="4616C38F">
            <w:pPr>
              <w:spacing w:line="360" w:lineRule="auto"/>
              <w:ind w:firstLine="480" w:firstLineChars="200"/>
              <w:rPr>
                <w:color w:val="auto"/>
                <w:sz w:val="24"/>
              </w:rPr>
            </w:pPr>
            <w:r>
              <w:rPr>
                <w:rFonts w:hint="eastAsia"/>
                <w:color w:val="auto"/>
                <w:sz w:val="24"/>
                <w:szCs w:val="24"/>
              </w:rPr>
              <w:t>本项目风险物质主要为</w:t>
            </w:r>
            <w:r>
              <w:rPr>
                <w:rFonts w:hint="eastAsia"/>
                <w:color w:val="auto"/>
                <w:sz w:val="24"/>
              </w:rPr>
              <w:t>危险废物、</w:t>
            </w:r>
            <w:r>
              <w:rPr>
                <w:rFonts w:hint="eastAsia"/>
                <w:color w:val="auto"/>
                <w:sz w:val="24"/>
                <w:szCs w:val="24"/>
              </w:rPr>
              <w:t>丙烯酸甲酯、乙醇</w:t>
            </w:r>
            <w:r>
              <w:rPr>
                <w:rFonts w:hint="eastAsia"/>
                <w:color w:val="auto"/>
                <w:sz w:val="24"/>
              </w:rPr>
              <w:t>，危险物质具体分布情况及可能影响环境的途径见下表：</w:t>
            </w:r>
          </w:p>
          <w:p w14:paraId="4A228009">
            <w:pPr>
              <w:spacing w:line="360" w:lineRule="auto"/>
              <w:ind w:firstLine="480" w:firstLineChars="200"/>
              <w:rPr>
                <w:color w:val="auto"/>
                <w:sz w:val="24"/>
              </w:rPr>
            </w:pPr>
          </w:p>
          <w:p w14:paraId="5FD23E02">
            <w:pPr>
              <w:spacing w:line="360" w:lineRule="auto"/>
              <w:ind w:firstLine="480" w:firstLineChars="200"/>
              <w:rPr>
                <w:color w:val="auto"/>
                <w:sz w:val="24"/>
              </w:rPr>
            </w:pPr>
          </w:p>
          <w:p w14:paraId="52CA30CA">
            <w:pPr>
              <w:spacing w:line="360" w:lineRule="auto"/>
              <w:ind w:firstLine="480" w:firstLineChars="200"/>
              <w:rPr>
                <w:color w:val="auto"/>
                <w:sz w:val="24"/>
              </w:rPr>
            </w:pPr>
          </w:p>
          <w:p w14:paraId="20B38AAC">
            <w:pPr>
              <w:spacing w:line="360" w:lineRule="auto"/>
              <w:ind w:firstLine="480" w:firstLineChars="200"/>
              <w:rPr>
                <w:color w:val="auto"/>
                <w:sz w:val="24"/>
              </w:rPr>
            </w:pPr>
          </w:p>
          <w:p w14:paraId="2E6A7710">
            <w:pPr>
              <w:spacing w:line="360" w:lineRule="auto"/>
              <w:ind w:firstLine="480" w:firstLineChars="200"/>
              <w:rPr>
                <w:color w:val="auto"/>
                <w:sz w:val="24"/>
              </w:rPr>
            </w:pPr>
          </w:p>
          <w:p w14:paraId="6A8F529B">
            <w:pPr>
              <w:spacing w:line="360" w:lineRule="auto"/>
              <w:ind w:firstLine="480" w:firstLineChars="200"/>
              <w:rPr>
                <w:color w:val="auto"/>
                <w:sz w:val="24"/>
              </w:rPr>
            </w:pPr>
          </w:p>
          <w:p w14:paraId="6E5073B1">
            <w:pPr>
              <w:pStyle w:val="108"/>
              <w:adjustRightInd/>
              <w:spacing w:line="360" w:lineRule="auto"/>
              <w:jc w:val="center"/>
              <w:rPr>
                <w:rFonts w:eastAsia="黑体"/>
                <w:bCs/>
                <w:color w:val="auto"/>
                <w:sz w:val="21"/>
                <w:szCs w:val="21"/>
              </w:rPr>
            </w:pPr>
            <w:r>
              <w:rPr>
                <w:rFonts w:hint="eastAsia" w:hAnsi="黑体" w:eastAsia="黑体"/>
                <w:color w:val="auto"/>
              </w:rPr>
              <w:t>表53  建设项目环境风险识别表</w:t>
            </w:r>
          </w:p>
          <w:tbl>
            <w:tblPr>
              <w:tblStyle w:val="34"/>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20"/>
              <w:gridCol w:w="1134"/>
              <w:gridCol w:w="1701"/>
              <w:gridCol w:w="1559"/>
              <w:gridCol w:w="1418"/>
              <w:gridCol w:w="1448"/>
            </w:tblGrid>
            <w:tr w14:paraId="345FAD0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14:paraId="223C43EE">
                  <w:pPr>
                    <w:spacing w:line="276" w:lineRule="auto"/>
                    <w:jc w:val="center"/>
                    <w:rPr>
                      <w:b/>
                      <w:color w:val="auto"/>
                      <w:szCs w:val="21"/>
                    </w:rPr>
                  </w:pPr>
                  <w:r>
                    <w:rPr>
                      <w:rFonts w:hint="eastAsia"/>
                      <w:b/>
                      <w:color w:val="auto"/>
                      <w:szCs w:val="21"/>
                    </w:rPr>
                    <w:t>危险单元</w:t>
                  </w:r>
                </w:p>
              </w:tc>
              <w:tc>
                <w:tcPr>
                  <w:tcW w:w="1134" w:type="dxa"/>
                  <w:vAlign w:val="center"/>
                </w:tcPr>
                <w:p w14:paraId="4E9E9AB4">
                  <w:pPr>
                    <w:spacing w:line="276" w:lineRule="auto"/>
                    <w:jc w:val="center"/>
                    <w:rPr>
                      <w:b/>
                      <w:color w:val="auto"/>
                      <w:szCs w:val="21"/>
                    </w:rPr>
                  </w:pPr>
                  <w:r>
                    <w:rPr>
                      <w:rFonts w:hint="eastAsia"/>
                      <w:b/>
                      <w:color w:val="auto"/>
                      <w:szCs w:val="21"/>
                    </w:rPr>
                    <w:t>风险源</w:t>
                  </w:r>
                </w:p>
              </w:tc>
              <w:tc>
                <w:tcPr>
                  <w:tcW w:w="1701" w:type="dxa"/>
                  <w:vAlign w:val="center"/>
                </w:tcPr>
                <w:p w14:paraId="57721F15">
                  <w:pPr>
                    <w:spacing w:line="276" w:lineRule="auto"/>
                    <w:jc w:val="center"/>
                    <w:rPr>
                      <w:b/>
                      <w:color w:val="auto"/>
                      <w:szCs w:val="21"/>
                    </w:rPr>
                  </w:pPr>
                  <w:r>
                    <w:rPr>
                      <w:rFonts w:hint="eastAsia"/>
                      <w:b/>
                      <w:color w:val="auto"/>
                      <w:szCs w:val="21"/>
                    </w:rPr>
                    <w:t>主要危险物质</w:t>
                  </w:r>
                </w:p>
              </w:tc>
              <w:tc>
                <w:tcPr>
                  <w:tcW w:w="1559" w:type="dxa"/>
                  <w:vAlign w:val="center"/>
                </w:tcPr>
                <w:p w14:paraId="09EA6357">
                  <w:pPr>
                    <w:spacing w:line="276" w:lineRule="auto"/>
                    <w:jc w:val="center"/>
                    <w:rPr>
                      <w:b/>
                      <w:color w:val="auto"/>
                      <w:szCs w:val="21"/>
                    </w:rPr>
                  </w:pPr>
                  <w:r>
                    <w:rPr>
                      <w:rFonts w:hint="eastAsia"/>
                      <w:b/>
                      <w:color w:val="auto"/>
                      <w:szCs w:val="21"/>
                    </w:rPr>
                    <w:t>环境风险类型</w:t>
                  </w:r>
                </w:p>
              </w:tc>
              <w:tc>
                <w:tcPr>
                  <w:tcW w:w="1418" w:type="dxa"/>
                  <w:vAlign w:val="center"/>
                </w:tcPr>
                <w:p w14:paraId="170D1F95">
                  <w:pPr>
                    <w:spacing w:line="276" w:lineRule="auto"/>
                    <w:jc w:val="center"/>
                    <w:rPr>
                      <w:b/>
                      <w:color w:val="auto"/>
                      <w:szCs w:val="21"/>
                    </w:rPr>
                  </w:pPr>
                  <w:r>
                    <w:rPr>
                      <w:rFonts w:hint="eastAsia"/>
                      <w:b/>
                      <w:color w:val="auto"/>
                      <w:szCs w:val="21"/>
                    </w:rPr>
                    <w:t>环境影响途径</w:t>
                  </w:r>
                </w:p>
              </w:tc>
              <w:tc>
                <w:tcPr>
                  <w:tcW w:w="1448" w:type="dxa"/>
                  <w:vAlign w:val="center"/>
                </w:tcPr>
                <w:p w14:paraId="07A49ED1">
                  <w:pPr>
                    <w:spacing w:line="276" w:lineRule="auto"/>
                    <w:jc w:val="center"/>
                    <w:rPr>
                      <w:b/>
                      <w:color w:val="auto"/>
                      <w:szCs w:val="21"/>
                    </w:rPr>
                  </w:pPr>
                  <w:r>
                    <w:rPr>
                      <w:rFonts w:hint="eastAsia"/>
                      <w:b/>
                      <w:color w:val="auto"/>
                      <w:szCs w:val="21"/>
                    </w:rPr>
                    <w:t>可能受影响的环境敏感目标</w:t>
                  </w:r>
                </w:p>
              </w:tc>
            </w:tr>
            <w:tr w14:paraId="1D3DC6D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20" w:type="dxa"/>
                  <w:vMerge w:val="restart"/>
                  <w:vAlign w:val="center"/>
                </w:tcPr>
                <w:p w14:paraId="3BA54499">
                  <w:pPr>
                    <w:spacing w:line="276" w:lineRule="auto"/>
                    <w:jc w:val="center"/>
                    <w:rPr>
                      <w:color w:val="auto"/>
                      <w:szCs w:val="21"/>
                    </w:rPr>
                  </w:pPr>
                  <w:r>
                    <w:rPr>
                      <w:rFonts w:hint="eastAsia"/>
                      <w:color w:val="auto"/>
                      <w:szCs w:val="21"/>
                    </w:rPr>
                    <w:t>生产厂房</w:t>
                  </w:r>
                </w:p>
              </w:tc>
              <w:tc>
                <w:tcPr>
                  <w:tcW w:w="1134" w:type="dxa"/>
                  <w:vAlign w:val="center"/>
                </w:tcPr>
                <w:p w14:paraId="5F44DB76">
                  <w:pPr>
                    <w:spacing w:line="276" w:lineRule="auto"/>
                    <w:jc w:val="center"/>
                    <w:rPr>
                      <w:color w:val="auto"/>
                      <w:szCs w:val="21"/>
                    </w:rPr>
                  </w:pPr>
                  <w:r>
                    <w:rPr>
                      <w:color w:val="auto"/>
                      <w:szCs w:val="21"/>
                    </w:rPr>
                    <w:t>危废暂存间</w:t>
                  </w:r>
                </w:p>
              </w:tc>
              <w:tc>
                <w:tcPr>
                  <w:tcW w:w="1701" w:type="dxa"/>
                  <w:vAlign w:val="center"/>
                </w:tcPr>
                <w:p w14:paraId="4C337B2E">
                  <w:pPr>
                    <w:spacing w:line="276" w:lineRule="auto"/>
                    <w:jc w:val="center"/>
                    <w:rPr>
                      <w:color w:val="auto"/>
                      <w:szCs w:val="21"/>
                    </w:rPr>
                  </w:pPr>
                  <w:r>
                    <w:rPr>
                      <w:rFonts w:hint="eastAsia"/>
                      <w:color w:val="auto"/>
                      <w:szCs w:val="21"/>
                    </w:rPr>
                    <w:t>废活性炭、废漆料、废包装桶</w:t>
                  </w:r>
                </w:p>
              </w:tc>
              <w:tc>
                <w:tcPr>
                  <w:tcW w:w="1559" w:type="dxa"/>
                  <w:vAlign w:val="center"/>
                </w:tcPr>
                <w:p w14:paraId="223AC9FD">
                  <w:pPr>
                    <w:spacing w:line="276" w:lineRule="auto"/>
                    <w:jc w:val="center"/>
                    <w:rPr>
                      <w:color w:val="auto"/>
                      <w:szCs w:val="21"/>
                    </w:rPr>
                  </w:pPr>
                  <w:r>
                    <w:rPr>
                      <w:rFonts w:hint="eastAsia"/>
                      <w:color w:val="auto"/>
                      <w:kern w:val="0"/>
                      <w:szCs w:val="21"/>
                    </w:rPr>
                    <w:t>泄漏，火灾爆炸伴生污染物</w:t>
                  </w:r>
                </w:p>
              </w:tc>
              <w:tc>
                <w:tcPr>
                  <w:tcW w:w="1418" w:type="dxa"/>
                  <w:vAlign w:val="center"/>
                </w:tcPr>
                <w:p w14:paraId="706E3B5F">
                  <w:pPr>
                    <w:spacing w:line="276" w:lineRule="auto"/>
                    <w:jc w:val="center"/>
                    <w:rPr>
                      <w:color w:val="auto"/>
                      <w:szCs w:val="21"/>
                    </w:rPr>
                  </w:pPr>
                  <w:r>
                    <w:rPr>
                      <w:rFonts w:hint="eastAsia"/>
                      <w:color w:val="auto"/>
                      <w:szCs w:val="21"/>
                    </w:rPr>
                    <w:t>大气扩散</w:t>
                  </w:r>
                </w:p>
              </w:tc>
              <w:tc>
                <w:tcPr>
                  <w:tcW w:w="1448" w:type="dxa"/>
                  <w:vMerge w:val="restart"/>
                  <w:vAlign w:val="center"/>
                </w:tcPr>
                <w:p w14:paraId="33B14DB5">
                  <w:pPr>
                    <w:spacing w:line="276" w:lineRule="auto"/>
                    <w:jc w:val="center"/>
                    <w:rPr>
                      <w:color w:val="auto"/>
                      <w:szCs w:val="21"/>
                    </w:rPr>
                  </w:pPr>
                  <w:r>
                    <w:rPr>
                      <w:rFonts w:hint="eastAsia"/>
                      <w:color w:val="auto"/>
                      <w:szCs w:val="21"/>
                    </w:rPr>
                    <w:t>厂区周边居民、地表水水体</w:t>
                  </w:r>
                </w:p>
              </w:tc>
            </w:tr>
            <w:tr w14:paraId="444E7E1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20" w:type="dxa"/>
                  <w:vMerge w:val="continue"/>
                  <w:vAlign w:val="center"/>
                </w:tcPr>
                <w:p w14:paraId="32C86E16">
                  <w:pPr>
                    <w:spacing w:line="276" w:lineRule="auto"/>
                    <w:jc w:val="center"/>
                    <w:rPr>
                      <w:color w:val="auto"/>
                      <w:szCs w:val="21"/>
                    </w:rPr>
                  </w:pPr>
                </w:p>
              </w:tc>
              <w:tc>
                <w:tcPr>
                  <w:tcW w:w="1134" w:type="dxa"/>
                  <w:vAlign w:val="center"/>
                </w:tcPr>
                <w:p w14:paraId="7A44D0E7">
                  <w:pPr>
                    <w:spacing w:line="276" w:lineRule="auto"/>
                    <w:jc w:val="center"/>
                    <w:rPr>
                      <w:color w:val="auto"/>
                      <w:szCs w:val="21"/>
                    </w:rPr>
                  </w:pPr>
                  <w:r>
                    <w:rPr>
                      <w:color w:val="auto"/>
                      <w:szCs w:val="21"/>
                    </w:rPr>
                    <w:t>原料库</w:t>
                  </w:r>
                  <w:r>
                    <w:rPr>
                      <w:rFonts w:hint="eastAsia"/>
                      <w:color w:val="auto"/>
                      <w:szCs w:val="21"/>
                    </w:rPr>
                    <w:t>2</w:t>
                  </w:r>
                </w:p>
              </w:tc>
              <w:tc>
                <w:tcPr>
                  <w:tcW w:w="1701" w:type="dxa"/>
                  <w:vAlign w:val="center"/>
                </w:tcPr>
                <w:p w14:paraId="4297B4BF">
                  <w:pPr>
                    <w:spacing w:line="276" w:lineRule="auto"/>
                    <w:jc w:val="center"/>
                    <w:rPr>
                      <w:color w:val="auto"/>
                      <w:szCs w:val="21"/>
                    </w:rPr>
                  </w:pPr>
                  <w:r>
                    <w:rPr>
                      <w:rFonts w:hint="eastAsia"/>
                      <w:color w:val="auto"/>
                      <w:szCs w:val="21"/>
                    </w:rPr>
                    <w:t>水性漆（含丙烯酸甲酯、乙醇）</w:t>
                  </w:r>
                </w:p>
              </w:tc>
              <w:tc>
                <w:tcPr>
                  <w:tcW w:w="1559" w:type="dxa"/>
                  <w:vAlign w:val="center"/>
                </w:tcPr>
                <w:p w14:paraId="5EAB28D5">
                  <w:pPr>
                    <w:spacing w:line="276" w:lineRule="auto"/>
                    <w:jc w:val="center"/>
                    <w:rPr>
                      <w:color w:val="auto"/>
                      <w:kern w:val="0"/>
                      <w:szCs w:val="21"/>
                    </w:rPr>
                  </w:pPr>
                  <w:r>
                    <w:rPr>
                      <w:rFonts w:hint="eastAsia"/>
                      <w:color w:val="auto"/>
                      <w:kern w:val="0"/>
                      <w:szCs w:val="21"/>
                    </w:rPr>
                    <w:t>泄漏，火灾爆炸伴生污染物</w:t>
                  </w:r>
                </w:p>
              </w:tc>
              <w:tc>
                <w:tcPr>
                  <w:tcW w:w="1418" w:type="dxa"/>
                  <w:vAlign w:val="center"/>
                </w:tcPr>
                <w:p w14:paraId="4390C581">
                  <w:pPr>
                    <w:spacing w:line="276" w:lineRule="auto"/>
                    <w:jc w:val="center"/>
                    <w:rPr>
                      <w:color w:val="auto"/>
                      <w:szCs w:val="21"/>
                    </w:rPr>
                  </w:pPr>
                  <w:r>
                    <w:rPr>
                      <w:rFonts w:hint="eastAsia"/>
                      <w:color w:val="auto"/>
                      <w:szCs w:val="21"/>
                    </w:rPr>
                    <w:t>大气扩散、地表漫流</w:t>
                  </w:r>
                </w:p>
              </w:tc>
              <w:tc>
                <w:tcPr>
                  <w:tcW w:w="1448" w:type="dxa"/>
                  <w:vMerge w:val="continue"/>
                  <w:vAlign w:val="center"/>
                </w:tcPr>
                <w:p w14:paraId="51843D16">
                  <w:pPr>
                    <w:spacing w:line="276" w:lineRule="auto"/>
                    <w:jc w:val="center"/>
                    <w:rPr>
                      <w:color w:val="auto"/>
                      <w:szCs w:val="21"/>
                    </w:rPr>
                  </w:pPr>
                </w:p>
              </w:tc>
            </w:tr>
            <w:tr w14:paraId="342DFCD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20" w:type="dxa"/>
                  <w:vMerge w:val="continue"/>
                  <w:vAlign w:val="center"/>
                </w:tcPr>
                <w:p w14:paraId="128C216E">
                  <w:pPr>
                    <w:spacing w:line="276" w:lineRule="auto"/>
                    <w:jc w:val="center"/>
                    <w:rPr>
                      <w:color w:val="auto"/>
                      <w:szCs w:val="21"/>
                    </w:rPr>
                  </w:pPr>
                </w:p>
              </w:tc>
              <w:tc>
                <w:tcPr>
                  <w:tcW w:w="1134" w:type="dxa"/>
                  <w:vAlign w:val="center"/>
                </w:tcPr>
                <w:p w14:paraId="76A06CE4">
                  <w:pPr>
                    <w:spacing w:line="276" w:lineRule="auto"/>
                    <w:jc w:val="center"/>
                    <w:rPr>
                      <w:color w:val="auto"/>
                      <w:szCs w:val="21"/>
                    </w:rPr>
                  </w:pPr>
                  <w:r>
                    <w:rPr>
                      <w:color w:val="auto"/>
                      <w:szCs w:val="21"/>
                    </w:rPr>
                    <w:t>一车间、三车间</w:t>
                  </w:r>
                </w:p>
              </w:tc>
              <w:tc>
                <w:tcPr>
                  <w:tcW w:w="1701" w:type="dxa"/>
                  <w:vAlign w:val="center"/>
                </w:tcPr>
                <w:p w14:paraId="2F357034">
                  <w:pPr>
                    <w:spacing w:line="276" w:lineRule="auto"/>
                    <w:jc w:val="center"/>
                    <w:rPr>
                      <w:color w:val="auto"/>
                      <w:szCs w:val="21"/>
                    </w:rPr>
                  </w:pPr>
                  <w:r>
                    <w:rPr>
                      <w:rFonts w:hint="eastAsia"/>
                      <w:color w:val="auto"/>
                      <w:szCs w:val="21"/>
                    </w:rPr>
                    <w:t>水性漆（含丙烯酸甲酯、乙醇）</w:t>
                  </w:r>
                </w:p>
              </w:tc>
              <w:tc>
                <w:tcPr>
                  <w:tcW w:w="1559" w:type="dxa"/>
                  <w:vAlign w:val="center"/>
                </w:tcPr>
                <w:p w14:paraId="1F45FDD7">
                  <w:pPr>
                    <w:spacing w:line="276" w:lineRule="auto"/>
                    <w:jc w:val="center"/>
                    <w:rPr>
                      <w:color w:val="auto"/>
                      <w:kern w:val="0"/>
                      <w:szCs w:val="21"/>
                    </w:rPr>
                  </w:pPr>
                  <w:r>
                    <w:rPr>
                      <w:rFonts w:hint="eastAsia"/>
                      <w:color w:val="auto"/>
                      <w:kern w:val="0"/>
                      <w:szCs w:val="21"/>
                    </w:rPr>
                    <w:t>泄漏，火灾爆炸伴生污染物</w:t>
                  </w:r>
                </w:p>
              </w:tc>
              <w:tc>
                <w:tcPr>
                  <w:tcW w:w="1418" w:type="dxa"/>
                  <w:vAlign w:val="center"/>
                </w:tcPr>
                <w:p w14:paraId="42318197">
                  <w:pPr>
                    <w:spacing w:line="276" w:lineRule="auto"/>
                    <w:jc w:val="center"/>
                    <w:rPr>
                      <w:color w:val="auto"/>
                      <w:szCs w:val="21"/>
                    </w:rPr>
                  </w:pPr>
                  <w:r>
                    <w:rPr>
                      <w:rFonts w:hint="eastAsia"/>
                      <w:color w:val="auto"/>
                      <w:szCs w:val="21"/>
                    </w:rPr>
                    <w:t>大气扩散、地表漫流</w:t>
                  </w:r>
                </w:p>
              </w:tc>
              <w:tc>
                <w:tcPr>
                  <w:tcW w:w="1448" w:type="dxa"/>
                  <w:vMerge w:val="continue"/>
                  <w:vAlign w:val="center"/>
                </w:tcPr>
                <w:p w14:paraId="0157CA85">
                  <w:pPr>
                    <w:spacing w:line="276" w:lineRule="auto"/>
                    <w:jc w:val="center"/>
                    <w:rPr>
                      <w:color w:val="auto"/>
                      <w:szCs w:val="21"/>
                    </w:rPr>
                  </w:pPr>
                </w:p>
              </w:tc>
            </w:tr>
          </w:tbl>
          <w:p w14:paraId="7B3A5FB0">
            <w:pPr>
              <w:spacing w:line="360" w:lineRule="auto"/>
              <w:ind w:firstLine="480" w:firstLineChars="200"/>
              <w:rPr>
                <w:color w:val="auto"/>
                <w:sz w:val="24"/>
                <w:szCs w:val="24"/>
              </w:rPr>
            </w:pPr>
            <w:r>
              <w:rPr>
                <w:rFonts w:hint="eastAsia"/>
                <w:color w:val="auto"/>
                <w:kern w:val="0"/>
                <w:sz w:val="24"/>
              </w:rPr>
              <w:t>本项目主要危险物质为危险废物、水性漆（</w:t>
            </w:r>
            <w:r>
              <w:rPr>
                <w:rFonts w:hint="eastAsia"/>
                <w:color w:val="auto"/>
                <w:sz w:val="24"/>
                <w:szCs w:val="24"/>
              </w:rPr>
              <w:t>丙烯酸甲酯、乙醇）</w:t>
            </w:r>
            <w:r>
              <w:rPr>
                <w:rFonts w:hint="eastAsia"/>
                <w:color w:val="auto"/>
                <w:kern w:val="0"/>
                <w:sz w:val="24"/>
              </w:rPr>
              <w:t>，厂区现有危废暂存间、原料库2均已设置重点防渗，因此对土壤和地下水环境风险较小。大气环境的风险影响主要为火灾事故带来的伴生大气污染影响。</w:t>
            </w:r>
          </w:p>
          <w:p w14:paraId="2A511457">
            <w:pPr>
              <w:spacing w:line="360" w:lineRule="auto"/>
              <w:ind w:firstLine="482" w:firstLineChars="200"/>
              <w:rPr>
                <w:b/>
                <w:color w:val="auto"/>
                <w:sz w:val="24"/>
                <w:szCs w:val="24"/>
              </w:rPr>
            </w:pPr>
            <w:r>
              <w:rPr>
                <w:rFonts w:hint="eastAsia"/>
                <w:b/>
                <w:color w:val="auto"/>
                <w:sz w:val="24"/>
                <w:szCs w:val="24"/>
              </w:rPr>
              <w:t>3、环境风险单元风险防范措施</w:t>
            </w:r>
          </w:p>
          <w:p w14:paraId="654B8A66">
            <w:pPr>
              <w:pStyle w:val="167"/>
              <w:adjustRightInd/>
              <w:snapToGrid/>
              <w:spacing w:line="360" w:lineRule="auto"/>
              <w:ind w:firstLine="480"/>
              <w:rPr>
                <w:color w:val="auto"/>
                <w:sz w:val="24"/>
                <w:szCs w:val="24"/>
              </w:rPr>
            </w:pPr>
            <w:r>
              <w:rPr>
                <w:rFonts w:hint="eastAsia"/>
                <w:color w:val="auto"/>
                <w:sz w:val="24"/>
                <w:szCs w:val="24"/>
              </w:rPr>
              <w:t>（</w:t>
            </w:r>
            <w:r>
              <w:rPr>
                <w:color w:val="auto"/>
                <w:sz w:val="24"/>
                <w:szCs w:val="24"/>
              </w:rPr>
              <w:t>1</w:t>
            </w:r>
            <w:r>
              <w:rPr>
                <w:rFonts w:hint="eastAsia"/>
                <w:color w:val="auto"/>
                <w:sz w:val="24"/>
                <w:szCs w:val="24"/>
              </w:rPr>
              <w:t>）原料仓库环境风险防范措施</w:t>
            </w:r>
          </w:p>
          <w:p w14:paraId="6A420E67">
            <w:pPr>
              <w:pStyle w:val="167"/>
              <w:adjustRightInd/>
              <w:snapToGrid/>
              <w:spacing w:line="360" w:lineRule="auto"/>
              <w:ind w:firstLine="480"/>
              <w:rPr>
                <w:color w:val="auto"/>
                <w:sz w:val="24"/>
                <w:szCs w:val="24"/>
              </w:rPr>
            </w:pPr>
            <w:r>
              <w:rPr>
                <w:color w:val="auto"/>
                <w:sz w:val="24"/>
                <w:szCs w:val="24"/>
              </w:rPr>
              <w:t>1</w:t>
            </w:r>
            <w:r>
              <w:rPr>
                <w:rFonts w:hint="eastAsia"/>
                <w:color w:val="auto"/>
                <w:sz w:val="24"/>
                <w:szCs w:val="24"/>
              </w:rPr>
              <w:t>）泄漏</w:t>
            </w:r>
          </w:p>
          <w:p w14:paraId="294E4ECF">
            <w:pPr>
              <w:pStyle w:val="167"/>
              <w:adjustRightInd/>
              <w:snapToGrid/>
              <w:spacing w:line="360" w:lineRule="auto"/>
              <w:ind w:firstLine="480"/>
              <w:rPr>
                <w:color w:val="auto"/>
                <w:sz w:val="24"/>
                <w:szCs w:val="24"/>
              </w:rPr>
            </w:pPr>
            <w:r>
              <w:rPr>
                <w:rFonts w:hint="eastAsia"/>
                <w:color w:val="auto"/>
                <w:sz w:val="24"/>
                <w:szCs w:val="24"/>
              </w:rPr>
              <w:t>①厂区原料库2</w:t>
            </w:r>
            <w:r>
              <w:rPr>
                <w:rFonts w:hint="eastAsia"/>
                <w:color w:val="auto"/>
                <w:sz w:val="24"/>
              </w:rPr>
              <w:t>地面应做耐腐蚀、防渗漏处理，防渗层为</w:t>
            </w:r>
            <w:r>
              <w:rPr>
                <w:color w:val="auto"/>
                <w:sz w:val="24"/>
              </w:rPr>
              <w:t>2mm</w:t>
            </w:r>
            <w:r>
              <w:rPr>
                <w:rFonts w:hint="eastAsia"/>
                <w:color w:val="auto"/>
                <w:sz w:val="24"/>
              </w:rPr>
              <w:t>厚人工材料</w:t>
            </w:r>
            <w:r>
              <w:rPr>
                <w:rFonts w:ascii="宋体" w:hAnsi="宋体"/>
                <w:color w:val="auto"/>
                <w:sz w:val="24"/>
              </w:rPr>
              <w:t>(</w:t>
            </w:r>
            <w:r>
              <w:rPr>
                <w:rFonts w:hint="eastAsia" w:ascii="宋体" w:hAnsi="宋体"/>
                <w:color w:val="auto"/>
                <w:sz w:val="24"/>
              </w:rPr>
              <w:t>防渗</w:t>
            </w:r>
            <w:r>
              <w:rPr>
                <w:rFonts w:hint="eastAsia"/>
                <w:color w:val="auto"/>
                <w:sz w:val="24"/>
              </w:rPr>
              <w:t>系数</w:t>
            </w:r>
            <w:r>
              <w:rPr>
                <w:color w:val="auto"/>
                <w:sz w:val="24"/>
              </w:rPr>
              <w:t>&lt;10</w:t>
            </w:r>
            <w:r>
              <w:rPr>
                <w:color w:val="auto"/>
                <w:sz w:val="24"/>
                <w:vertAlign w:val="superscript"/>
              </w:rPr>
              <w:t>-10</w:t>
            </w:r>
            <w:r>
              <w:rPr>
                <w:color w:val="auto"/>
                <w:sz w:val="24"/>
              </w:rPr>
              <w:t>cm/s</w:t>
            </w:r>
            <w:r>
              <w:rPr>
                <w:rFonts w:hint="eastAsia"/>
                <w:color w:val="auto"/>
                <w:sz w:val="24"/>
              </w:rPr>
              <w:t>），保证地面无裂痕；</w:t>
            </w:r>
          </w:p>
          <w:p w14:paraId="2CBFD4A6">
            <w:pPr>
              <w:pStyle w:val="167"/>
              <w:tabs>
                <w:tab w:val="left" w:pos="5785"/>
              </w:tabs>
              <w:adjustRightInd/>
              <w:snapToGrid/>
              <w:spacing w:line="360" w:lineRule="auto"/>
              <w:ind w:firstLine="480"/>
              <w:rPr>
                <w:color w:val="auto"/>
                <w:sz w:val="24"/>
                <w:szCs w:val="24"/>
              </w:rPr>
            </w:pPr>
            <w:r>
              <w:rPr>
                <w:rFonts w:hint="eastAsia"/>
                <w:color w:val="auto"/>
                <w:sz w:val="24"/>
                <w:szCs w:val="24"/>
              </w:rPr>
              <w:t>②原料库2内</w:t>
            </w:r>
            <w:r>
              <w:rPr>
                <w:rFonts w:hint="eastAsia"/>
                <w:color w:val="auto"/>
                <w:kern w:val="0"/>
                <w:sz w:val="24"/>
              </w:rPr>
              <w:t>水性漆</w:t>
            </w:r>
            <w:r>
              <w:rPr>
                <w:rFonts w:hint="eastAsia"/>
                <w:color w:val="auto"/>
                <w:sz w:val="24"/>
                <w:szCs w:val="24"/>
              </w:rPr>
              <w:t>储存应设置防漏托盘内</w:t>
            </w:r>
            <w:r>
              <w:rPr>
                <w:rFonts w:hint="eastAsia"/>
                <w:color w:val="auto"/>
                <w:sz w:val="24"/>
              </w:rPr>
              <w:t>，防止物料泄漏流出厂界；</w:t>
            </w:r>
          </w:p>
          <w:p w14:paraId="35335D5A">
            <w:pPr>
              <w:pStyle w:val="167"/>
              <w:adjustRightInd/>
              <w:snapToGrid/>
              <w:spacing w:line="360" w:lineRule="auto"/>
              <w:ind w:firstLine="480"/>
              <w:rPr>
                <w:color w:val="auto"/>
                <w:sz w:val="24"/>
                <w:szCs w:val="24"/>
              </w:rPr>
            </w:pPr>
            <w:r>
              <w:rPr>
                <w:rFonts w:hint="eastAsia"/>
                <w:color w:val="auto"/>
                <w:sz w:val="24"/>
                <w:szCs w:val="24"/>
              </w:rPr>
              <w:t>③厂区</w:t>
            </w:r>
            <w:r>
              <w:rPr>
                <w:rFonts w:hint="eastAsia"/>
                <w:color w:val="auto"/>
                <w:kern w:val="0"/>
                <w:sz w:val="24"/>
              </w:rPr>
              <w:t>水性漆</w:t>
            </w:r>
            <w:r>
              <w:rPr>
                <w:rFonts w:hint="eastAsia"/>
                <w:color w:val="auto"/>
                <w:sz w:val="24"/>
                <w:szCs w:val="24"/>
              </w:rPr>
              <w:t>等原材料</w:t>
            </w:r>
            <w:r>
              <w:rPr>
                <w:rFonts w:hint="eastAsia" w:hAnsi="宋体"/>
                <w:color w:val="auto"/>
                <w:kern w:val="0"/>
                <w:sz w:val="24"/>
              </w:rPr>
              <w:t>装卸、搬运及使用严守操作规程，应轻拿轻放，不得抛、摔、拖、碰、滚等方式进行搬运；</w:t>
            </w:r>
          </w:p>
          <w:p w14:paraId="3811F456">
            <w:pPr>
              <w:pStyle w:val="167"/>
              <w:adjustRightInd/>
              <w:snapToGrid/>
              <w:spacing w:line="360" w:lineRule="auto"/>
              <w:ind w:firstLine="480"/>
              <w:rPr>
                <w:color w:val="auto"/>
                <w:sz w:val="24"/>
                <w:szCs w:val="24"/>
              </w:rPr>
            </w:pPr>
            <w:r>
              <w:rPr>
                <w:rFonts w:hint="eastAsia"/>
                <w:color w:val="auto"/>
                <w:sz w:val="24"/>
                <w:szCs w:val="24"/>
              </w:rPr>
              <w:t>④严格控制厂区原材料的存储量，不得超过临界量；</w:t>
            </w:r>
          </w:p>
          <w:p w14:paraId="52260A22">
            <w:pPr>
              <w:pStyle w:val="167"/>
              <w:adjustRightInd/>
              <w:snapToGrid/>
              <w:spacing w:line="360" w:lineRule="auto"/>
              <w:ind w:firstLine="480"/>
              <w:rPr>
                <w:color w:val="auto"/>
                <w:sz w:val="24"/>
                <w:szCs w:val="24"/>
              </w:rPr>
            </w:pPr>
            <w:r>
              <w:rPr>
                <w:rFonts w:hint="eastAsia"/>
                <w:color w:val="auto"/>
                <w:sz w:val="24"/>
                <w:szCs w:val="24"/>
              </w:rPr>
              <w:t>⑤</w:t>
            </w:r>
            <w:r>
              <w:rPr>
                <w:rFonts w:hint="eastAsia" w:hAnsi="宋体"/>
                <w:color w:val="auto"/>
                <w:kern w:val="0"/>
                <w:sz w:val="24"/>
              </w:rPr>
              <w:t>加强操作人员的安全教育和培训，使其了解原辅材料泄漏的应急措施。</w:t>
            </w:r>
          </w:p>
          <w:p w14:paraId="2BB65309">
            <w:pPr>
              <w:pStyle w:val="167"/>
              <w:adjustRightInd/>
              <w:snapToGrid/>
              <w:spacing w:line="360" w:lineRule="auto"/>
              <w:ind w:firstLine="480"/>
              <w:rPr>
                <w:color w:val="auto"/>
                <w:sz w:val="24"/>
                <w:szCs w:val="24"/>
              </w:rPr>
            </w:pPr>
            <w:r>
              <w:rPr>
                <w:color w:val="auto"/>
                <w:sz w:val="24"/>
                <w:szCs w:val="24"/>
              </w:rPr>
              <w:t>2</w:t>
            </w:r>
            <w:r>
              <w:rPr>
                <w:rFonts w:hint="eastAsia"/>
                <w:color w:val="auto"/>
                <w:sz w:val="24"/>
                <w:szCs w:val="24"/>
              </w:rPr>
              <w:t>）火灾</w:t>
            </w:r>
          </w:p>
          <w:p w14:paraId="7E0912C0">
            <w:pPr>
              <w:autoSpaceDE w:val="0"/>
              <w:autoSpaceDN w:val="0"/>
              <w:adjustRightInd w:val="0"/>
              <w:spacing w:line="360" w:lineRule="auto"/>
              <w:ind w:firstLine="480" w:firstLineChars="200"/>
              <w:jc w:val="left"/>
              <w:rPr>
                <w:rFonts w:hAnsi="宋体"/>
                <w:color w:val="auto"/>
                <w:kern w:val="0"/>
                <w:sz w:val="24"/>
              </w:rPr>
            </w:pPr>
            <w:r>
              <w:rPr>
                <w:rFonts w:hint="eastAsia" w:hAnsi="宋体"/>
                <w:color w:val="auto"/>
                <w:kern w:val="0"/>
                <w:sz w:val="24"/>
              </w:rPr>
              <w:t>①加强对原材料供应商的审核管理，发现资质不全或过期，盛装容器外表破损、严重腐蚀等应立即做退回处理；</w:t>
            </w:r>
          </w:p>
          <w:p w14:paraId="5CA393D5">
            <w:pPr>
              <w:pStyle w:val="167"/>
              <w:adjustRightInd/>
              <w:snapToGrid/>
              <w:spacing w:line="360" w:lineRule="auto"/>
              <w:ind w:firstLine="480"/>
              <w:rPr>
                <w:color w:val="auto"/>
                <w:sz w:val="24"/>
                <w:szCs w:val="24"/>
              </w:rPr>
            </w:pPr>
            <w:r>
              <w:rPr>
                <w:rFonts w:hint="eastAsia" w:hAnsi="宋体"/>
                <w:color w:val="auto"/>
                <w:kern w:val="0"/>
                <w:sz w:val="24"/>
              </w:rPr>
              <w:t>②加强操作人员的安全教育和培训，使其了解公司使用原材料的危害特性及火灾事故下应急措施；</w:t>
            </w:r>
          </w:p>
          <w:p w14:paraId="21902EFB">
            <w:pPr>
              <w:autoSpaceDE w:val="0"/>
              <w:autoSpaceDN w:val="0"/>
              <w:adjustRightInd w:val="0"/>
              <w:spacing w:line="360" w:lineRule="auto"/>
              <w:ind w:firstLine="480" w:firstLineChars="200"/>
              <w:jc w:val="left"/>
              <w:rPr>
                <w:rFonts w:hAnsi="宋体"/>
                <w:color w:val="auto"/>
                <w:kern w:val="0"/>
                <w:sz w:val="24"/>
              </w:rPr>
            </w:pPr>
            <w:r>
              <w:rPr>
                <w:rFonts w:hint="eastAsia"/>
                <w:color w:val="auto"/>
                <w:sz w:val="24"/>
                <w:szCs w:val="24"/>
              </w:rPr>
              <w:t>③</w:t>
            </w:r>
            <w:r>
              <w:rPr>
                <w:rFonts w:hint="eastAsia" w:hAnsi="宋体"/>
                <w:color w:val="auto"/>
                <w:kern w:val="0"/>
                <w:sz w:val="24"/>
              </w:rPr>
              <w:t>保持原材料储存及使用场所的环境卫生，确保清洁、干燥、物品摆放整齐、道路通畅；</w:t>
            </w:r>
          </w:p>
          <w:p w14:paraId="24D2681C">
            <w:pPr>
              <w:pStyle w:val="167"/>
              <w:adjustRightInd/>
              <w:snapToGrid/>
              <w:spacing w:line="360" w:lineRule="auto"/>
              <w:ind w:firstLine="480"/>
              <w:rPr>
                <w:color w:val="auto"/>
                <w:sz w:val="24"/>
                <w:szCs w:val="24"/>
              </w:rPr>
            </w:pPr>
            <w:r>
              <w:rPr>
                <w:rFonts w:hint="eastAsia"/>
                <w:color w:val="auto"/>
                <w:sz w:val="24"/>
                <w:szCs w:val="24"/>
              </w:rPr>
              <w:t>④原料库2内应张贴防火标识，并配备消防灭火装置；</w:t>
            </w:r>
          </w:p>
          <w:p w14:paraId="57B9AE7C">
            <w:pPr>
              <w:pStyle w:val="167"/>
              <w:adjustRightInd/>
              <w:snapToGrid/>
              <w:spacing w:line="360" w:lineRule="auto"/>
              <w:ind w:firstLine="480"/>
              <w:rPr>
                <w:color w:val="auto"/>
                <w:sz w:val="24"/>
                <w:szCs w:val="24"/>
              </w:rPr>
            </w:pPr>
            <w:r>
              <w:rPr>
                <w:rFonts w:hint="eastAsia"/>
                <w:color w:val="auto"/>
                <w:sz w:val="24"/>
                <w:szCs w:val="24"/>
              </w:rPr>
              <w:t>⑤严禁在原料库2内吸烟和使用明火。</w:t>
            </w:r>
          </w:p>
          <w:p w14:paraId="2E2B5F82">
            <w:pPr>
              <w:pStyle w:val="167"/>
              <w:adjustRightInd/>
              <w:snapToGrid/>
              <w:spacing w:line="360" w:lineRule="auto"/>
              <w:ind w:firstLine="480"/>
              <w:rPr>
                <w:color w:val="auto"/>
                <w:sz w:val="24"/>
                <w:szCs w:val="24"/>
              </w:rPr>
            </w:pPr>
            <w:r>
              <w:rPr>
                <w:rFonts w:hint="eastAsia"/>
                <w:color w:val="auto"/>
                <w:sz w:val="24"/>
                <w:szCs w:val="24"/>
              </w:rPr>
              <w:t>（</w:t>
            </w:r>
            <w:r>
              <w:rPr>
                <w:color w:val="auto"/>
                <w:sz w:val="24"/>
                <w:szCs w:val="24"/>
              </w:rPr>
              <w:t>2</w:t>
            </w:r>
            <w:r>
              <w:rPr>
                <w:rFonts w:hint="eastAsia"/>
                <w:color w:val="auto"/>
                <w:sz w:val="24"/>
                <w:szCs w:val="24"/>
              </w:rPr>
              <w:t>）危废暂存间环境风险防范措施</w:t>
            </w:r>
          </w:p>
          <w:p w14:paraId="20775345">
            <w:pPr>
              <w:pStyle w:val="167"/>
              <w:adjustRightInd/>
              <w:snapToGrid/>
              <w:spacing w:line="360" w:lineRule="auto"/>
              <w:ind w:firstLine="480"/>
              <w:rPr>
                <w:color w:val="auto"/>
                <w:sz w:val="24"/>
                <w:szCs w:val="24"/>
              </w:rPr>
            </w:pPr>
            <w:r>
              <w:rPr>
                <w:color w:val="auto"/>
                <w:sz w:val="24"/>
                <w:szCs w:val="24"/>
              </w:rPr>
              <w:t>1</w:t>
            </w:r>
            <w:r>
              <w:rPr>
                <w:rFonts w:hint="eastAsia"/>
                <w:color w:val="auto"/>
                <w:sz w:val="24"/>
                <w:szCs w:val="24"/>
              </w:rPr>
              <w:t>）泄漏</w:t>
            </w:r>
          </w:p>
          <w:p w14:paraId="1591DBB9">
            <w:pPr>
              <w:spacing w:line="360" w:lineRule="auto"/>
              <w:ind w:firstLine="480" w:firstLineChars="200"/>
              <w:rPr>
                <w:color w:val="auto"/>
                <w:sz w:val="24"/>
              </w:rPr>
            </w:pPr>
            <w:r>
              <w:rPr>
                <w:rFonts w:hint="eastAsia"/>
                <w:color w:val="auto"/>
                <w:sz w:val="24"/>
              </w:rPr>
              <w:t>①危废暂存间应按照《危险废物贮存污染控制标准》的相关规定进行设置，各类危险废物应分类分开存放，并设置围堰。</w:t>
            </w:r>
          </w:p>
          <w:p w14:paraId="5F88FB34">
            <w:pPr>
              <w:spacing w:line="360" w:lineRule="auto"/>
              <w:ind w:firstLine="480" w:firstLineChars="200"/>
              <w:rPr>
                <w:color w:val="auto"/>
                <w:sz w:val="24"/>
              </w:rPr>
            </w:pPr>
            <w:r>
              <w:rPr>
                <w:rFonts w:hint="eastAsia"/>
                <w:color w:val="auto"/>
                <w:sz w:val="24"/>
              </w:rPr>
              <w:t>②危废贮存场地面应做耐腐蚀、防渗漏处理，防渗层为</w:t>
            </w:r>
            <w:r>
              <w:rPr>
                <w:color w:val="auto"/>
                <w:sz w:val="24"/>
              </w:rPr>
              <w:t>2mm</w:t>
            </w:r>
            <w:r>
              <w:rPr>
                <w:rFonts w:hint="eastAsia"/>
                <w:color w:val="auto"/>
                <w:sz w:val="24"/>
              </w:rPr>
              <w:t>厚人工材料</w:t>
            </w:r>
            <w:r>
              <w:rPr>
                <w:color w:val="auto"/>
                <w:sz w:val="24"/>
              </w:rPr>
              <w:t>(</w:t>
            </w:r>
            <w:r>
              <w:rPr>
                <w:rFonts w:hint="eastAsia"/>
                <w:color w:val="auto"/>
                <w:sz w:val="24"/>
              </w:rPr>
              <w:t>防渗系数</w:t>
            </w:r>
            <w:r>
              <w:rPr>
                <w:color w:val="auto"/>
                <w:sz w:val="24"/>
              </w:rPr>
              <w:t>&lt;10</w:t>
            </w:r>
            <w:r>
              <w:rPr>
                <w:color w:val="auto"/>
                <w:sz w:val="24"/>
                <w:vertAlign w:val="superscript"/>
              </w:rPr>
              <w:t>-10</w:t>
            </w:r>
            <w:r>
              <w:rPr>
                <w:color w:val="auto"/>
                <w:sz w:val="24"/>
              </w:rPr>
              <w:t>cm/s</w:t>
            </w:r>
            <w:r>
              <w:rPr>
                <w:rFonts w:hint="eastAsia"/>
                <w:color w:val="auto"/>
                <w:sz w:val="24"/>
              </w:rPr>
              <w:t>），保证地面无裂痕。</w:t>
            </w:r>
          </w:p>
          <w:p w14:paraId="4E3C27A4">
            <w:pPr>
              <w:spacing w:line="360" w:lineRule="auto"/>
              <w:ind w:firstLine="480" w:firstLineChars="200"/>
              <w:rPr>
                <w:color w:val="auto"/>
                <w:sz w:val="24"/>
              </w:rPr>
            </w:pPr>
            <w:r>
              <w:rPr>
                <w:rFonts w:hint="eastAsia"/>
                <w:color w:val="auto"/>
                <w:sz w:val="24"/>
              </w:rPr>
              <w:t>③危废库废活性炭、废漆料采用袋/桶装、托盘盛装，危废暂存间内应设置导流沟、集液槽，防止危险废物泄漏流出厂界。</w:t>
            </w:r>
          </w:p>
          <w:p w14:paraId="409D99D8">
            <w:pPr>
              <w:pStyle w:val="167"/>
              <w:adjustRightInd/>
              <w:snapToGrid/>
              <w:spacing w:line="360" w:lineRule="auto"/>
              <w:ind w:firstLine="480"/>
              <w:rPr>
                <w:color w:val="auto"/>
                <w:sz w:val="24"/>
                <w:szCs w:val="24"/>
              </w:rPr>
            </w:pPr>
            <w:r>
              <w:rPr>
                <w:rFonts w:hint="eastAsia"/>
                <w:color w:val="auto"/>
                <w:sz w:val="24"/>
                <w:szCs w:val="24"/>
              </w:rPr>
              <w:t>④加强员工环保意识，了解危废种类、收集、贮存要求及环境危害，建立健全危废台账制度，严格管理，责任到人。</w:t>
            </w:r>
          </w:p>
          <w:p w14:paraId="2837A156">
            <w:pPr>
              <w:pStyle w:val="167"/>
              <w:adjustRightInd/>
              <w:snapToGrid/>
              <w:spacing w:line="360" w:lineRule="auto"/>
              <w:ind w:firstLine="480"/>
              <w:rPr>
                <w:color w:val="auto"/>
                <w:sz w:val="24"/>
                <w:szCs w:val="24"/>
              </w:rPr>
            </w:pPr>
            <w:r>
              <w:rPr>
                <w:color w:val="auto"/>
                <w:sz w:val="24"/>
                <w:szCs w:val="24"/>
              </w:rPr>
              <w:t>2</w:t>
            </w:r>
            <w:r>
              <w:rPr>
                <w:rFonts w:hint="eastAsia"/>
                <w:color w:val="auto"/>
                <w:sz w:val="24"/>
                <w:szCs w:val="24"/>
              </w:rPr>
              <w:t>）火灾</w:t>
            </w:r>
          </w:p>
          <w:p w14:paraId="2D9D85D4">
            <w:pPr>
              <w:pStyle w:val="167"/>
              <w:adjustRightInd/>
              <w:snapToGrid/>
              <w:spacing w:line="360" w:lineRule="auto"/>
              <w:ind w:firstLine="480"/>
              <w:rPr>
                <w:color w:val="auto"/>
                <w:sz w:val="24"/>
                <w:szCs w:val="24"/>
              </w:rPr>
            </w:pPr>
            <w:r>
              <w:rPr>
                <w:rFonts w:hint="eastAsia"/>
                <w:color w:val="auto"/>
                <w:sz w:val="24"/>
                <w:szCs w:val="24"/>
              </w:rPr>
              <w:t>①严禁在危废暂存间内吸烟和使用明火</w:t>
            </w:r>
          </w:p>
          <w:p w14:paraId="61590469">
            <w:pPr>
              <w:pStyle w:val="167"/>
              <w:adjustRightInd/>
              <w:snapToGrid/>
              <w:spacing w:line="360" w:lineRule="auto"/>
              <w:ind w:firstLine="480"/>
              <w:rPr>
                <w:color w:val="auto"/>
                <w:sz w:val="24"/>
                <w:szCs w:val="24"/>
              </w:rPr>
            </w:pPr>
            <w:r>
              <w:rPr>
                <w:rFonts w:hint="eastAsia"/>
                <w:color w:val="auto"/>
                <w:sz w:val="24"/>
                <w:szCs w:val="24"/>
              </w:rPr>
              <w:t>②灭火器摆放在相应位置，消防设施前严禁堆放任何物品。</w:t>
            </w:r>
          </w:p>
          <w:p w14:paraId="2AA964BD">
            <w:pPr>
              <w:pStyle w:val="167"/>
              <w:adjustRightInd/>
              <w:snapToGrid/>
              <w:spacing w:line="360" w:lineRule="auto"/>
              <w:ind w:firstLine="480"/>
              <w:rPr>
                <w:color w:val="auto"/>
                <w:sz w:val="24"/>
                <w:szCs w:val="24"/>
              </w:rPr>
            </w:pPr>
            <w:r>
              <w:rPr>
                <w:rFonts w:hint="eastAsia"/>
                <w:color w:val="auto"/>
                <w:sz w:val="24"/>
                <w:szCs w:val="24"/>
              </w:rPr>
              <w:t>（</w:t>
            </w:r>
            <w:r>
              <w:rPr>
                <w:color w:val="auto"/>
                <w:sz w:val="24"/>
                <w:szCs w:val="24"/>
              </w:rPr>
              <w:t>3</w:t>
            </w:r>
            <w:r>
              <w:rPr>
                <w:rFonts w:hint="eastAsia"/>
                <w:color w:val="auto"/>
                <w:sz w:val="24"/>
                <w:szCs w:val="24"/>
              </w:rPr>
              <w:t>）废气处理设施故障环境风险防范措施</w:t>
            </w:r>
          </w:p>
          <w:p w14:paraId="3A8472BB">
            <w:pPr>
              <w:autoSpaceDE w:val="0"/>
              <w:autoSpaceDN w:val="0"/>
              <w:spacing w:line="360" w:lineRule="auto"/>
              <w:ind w:firstLine="480" w:firstLineChars="200"/>
              <w:rPr>
                <w:color w:val="auto"/>
                <w:sz w:val="24"/>
              </w:rPr>
            </w:pPr>
            <w:r>
              <w:rPr>
                <w:rFonts w:hint="eastAsia"/>
                <w:color w:val="auto"/>
                <w:sz w:val="24"/>
              </w:rPr>
              <w:t>①建立废气治理设施运行管理台账，台账中应标明排放口编号，排放限值、设备开关机时间、设备运行状态以及记录人等；</w:t>
            </w:r>
          </w:p>
          <w:p w14:paraId="48DA6771">
            <w:pPr>
              <w:autoSpaceDE w:val="0"/>
              <w:autoSpaceDN w:val="0"/>
              <w:spacing w:line="360" w:lineRule="auto"/>
              <w:ind w:firstLine="480" w:firstLineChars="200"/>
              <w:rPr>
                <w:color w:val="auto"/>
                <w:sz w:val="24"/>
              </w:rPr>
            </w:pPr>
            <w:r>
              <w:rPr>
                <w:rFonts w:hint="eastAsia"/>
                <w:color w:val="auto"/>
                <w:sz w:val="24"/>
              </w:rPr>
              <w:t>②明确污染治理设施管理责任人及相应职责，定期组织污染治理设施管理岗位的能力培训；</w:t>
            </w:r>
          </w:p>
          <w:p w14:paraId="58DD022E">
            <w:pPr>
              <w:autoSpaceDE w:val="0"/>
              <w:autoSpaceDN w:val="0"/>
              <w:spacing w:line="360" w:lineRule="auto"/>
              <w:ind w:firstLine="480" w:firstLineChars="200"/>
              <w:rPr>
                <w:color w:val="auto"/>
                <w:sz w:val="24"/>
              </w:rPr>
            </w:pPr>
            <w:r>
              <w:rPr>
                <w:rFonts w:hint="eastAsia"/>
                <w:color w:val="auto"/>
                <w:sz w:val="24"/>
              </w:rPr>
              <w:t>③明确污染治理设施关键运行参数的控制窗口，并制定污染治理设施运行作业指导书。</w:t>
            </w:r>
          </w:p>
          <w:p w14:paraId="58AFBF6F">
            <w:pPr>
              <w:pStyle w:val="167"/>
              <w:adjustRightInd/>
              <w:snapToGrid/>
              <w:spacing w:line="360" w:lineRule="auto"/>
              <w:ind w:firstLine="480"/>
              <w:rPr>
                <w:color w:val="auto"/>
                <w:sz w:val="24"/>
                <w:szCs w:val="24"/>
              </w:rPr>
            </w:pPr>
            <w:r>
              <w:rPr>
                <w:rFonts w:hint="eastAsia"/>
                <w:color w:val="auto"/>
                <w:sz w:val="24"/>
              </w:rPr>
              <w:t>④加强对生产设备以及环保设备的日常检修，发现故障及时维护、维修。</w:t>
            </w:r>
          </w:p>
          <w:p w14:paraId="37DEBC8F">
            <w:pPr>
              <w:spacing w:line="360" w:lineRule="auto"/>
              <w:ind w:firstLine="482" w:firstLineChars="200"/>
              <w:rPr>
                <w:b/>
                <w:color w:val="auto"/>
                <w:sz w:val="24"/>
              </w:rPr>
            </w:pPr>
            <w:r>
              <w:rPr>
                <w:rFonts w:hint="eastAsia"/>
                <w:b/>
                <w:color w:val="auto"/>
                <w:sz w:val="24"/>
              </w:rPr>
              <w:t>4、环境风险评价结论</w:t>
            </w:r>
          </w:p>
          <w:p w14:paraId="511F494D">
            <w:pPr>
              <w:spacing w:line="360" w:lineRule="auto"/>
              <w:ind w:firstLine="480" w:firstLineChars="200"/>
              <w:rPr>
                <w:color w:val="auto"/>
                <w:sz w:val="24"/>
              </w:rPr>
            </w:pPr>
            <w:r>
              <w:rPr>
                <w:rFonts w:hint="eastAsia"/>
                <w:color w:val="auto"/>
                <w:sz w:val="24"/>
              </w:rPr>
              <w:t>参照《建设项目环境风险评价技术导则》附录</w:t>
            </w:r>
            <w:r>
              <w:rPr>
                <w:color w:val="auto"/>
                <w:sz w:val="24"/>
              </w:rPr>
              <w:t>B</w:t>
            </w:r>
            <w:r>
              <w:rPr>
                <w:rFonts w:hint="eastAsia"/>
                <w:color w:val="auto"/>
                <w:sz w:val="24"/>
              </w:rPr>
              <w:t>，本项目风险潜势为</w:t>
            </w:r>
            <w:r>
              <w:rPr>
                <w:color w:val="auto"/>
                <w:sz w:val="24"/>
              </w:rPr>
              <w:t>I</w:t>
            </w:r>
            <w:r>
              <w:rPr>
                <w:rFonts w:hint="eastAsia"/>
                <w:color w:val="auto"/>
                <w:sz w:val="24"/>
              </w:rPr>
              <w:t>。根据风险分析和以上风险防范措施的设立，可以较为有效的防范风险事故的发生和有效处置，并结合企业在下一步设计、运营过程中不断制定和完善的风险防范措施和应急预案，本项目所发生的环境风险可以控制在较低的水平，并能减少或者避免风险事的发生，事故风险处于可接收水平。综上所述，在加强监控、建立上述风险防范措施的情况下，本项目的环境风险可控。</w:t>
            </w:r>
          </w:p>
          <w:p w14:paraId="3C5B6CB5">
            <w:pPr>
              <w:spacing w:line="360" w:lineRule="auto"/>
              <w:ind w:firstLine="470" w:firstLineChars="196"/>
              <w:rPr>
                <w:color w:val="auto"/>
                <w:kern w:val="0"/>
                <w:sz w:val="24"/>
                <w:szCs w:val="24"/>
              </w:rPr>
            </w:pPr>
            <w:r>
              <w:rPr>
                <w:rFonts w:hint="eastAsia"/>
                <w:color w:val="auto"/>
                <w:kern w:val="0"/>
                <w:sz w:val="24"/>
                <w:szCs w:val="24"/>
              </w:rPr>
              <w:t>按照以上基本内容，填写的简单分析内容表如下：</w:t>
            </w:r>
          </w:p>
          <w:p w14:paraId="0779C8E8">
            <w:pPr>
              <w:spacing w:line="360" w:lineRule="auto"/>
              <w:ind w:firstLine="482" w:firstLineChars="200"/>
              <w:jc w:val="left"/>
              <w:rPr>
                <w:b/>
                <w:snapToGrid w:val="0"/>
                <w:color w:val="auto"/>
                <w:kern w:val="0"/>
                <w:sz w:val="24"/>
              </w:rPr>
            </w:pPr>
            <w:r>
              <w:rPr>
                <w:rFonts w:hint="eastAsia"/>
                <w:b/>
                <w:snapToGrid w:val="0"/>
                <w:color w:val="auto"/>
                <w:kern w:val="0"/>
                <w:sz w:val="24"/>
              </w:rPr>
              <w:t>七、</w:t>
            </w:r>
            <w:r>
              <w:rPr>
                <w:rFonts w:hint="eastAsia" w:hAnsi="宋体"/>
                <w:b/>
                <w:snapToGrid w:val="0"/>
                <w:color w:val="auto"/>
                <w:kern w:val="0"/>
                <w:sz w:val="24"/>
              </w:rPr>
              <w:t>环境管理</w:t>
            </w:r>
          </w:p>
          <w:p w14:paraId="3B0B57E3">
            <w:pPr>
              <w:spacing w:line="360" w:lineRule="auto"/>
              <w:ind w:firstLine="480" w:firstLineChars="200"/>
              <w:rPr>
                <w:color w:val="auto"/>
                <w:sz w:val="24"/>
              </w:rPr>
            </w:pPr>
            <w:r>
              <w:rPr>
                <w:color w:val="auto"/>
                <w:sz w:val="24"/>
              </w:rPr>
              <w:t>1</w:t>
            </w:r>
            <w:r>
              <w:rPr>
                <w:rFonts w:hint="eastAsia"/>
                <w:color w:val="auto"/>
                <w:sz w:val="24"/>
              </w:rPr>
              <w:t>、环境管理的目的和意义</w:t>
            </w:r>
          </w:p>
          <w:p w14:paraId="7971897E">
            <w:pPr>
              <w:spacing w:line="360" w:lineRule="auto"/>
              <w:ind w:firstLine="480" w:firstLineChars="200"/>
              <w:rPr>
                <w:color w:val="auto"/>
                <w:sz w:val="24"/>
              </w:rPr>
            </w:pPr>
            <w:r>
              <w:rPr>
                <w:rFonts w:hint="eastAsia"/>
                <w:color w:val="auto"/>
                <w:sz w:val="24"/>
              </w:rPr>
              <w:t>实践证明，要解决或减轻工业生产造成的环境问题，首先要强化环境管理。由于企业产品的产出与污染物的排放是同一生产过程的两个方面，因此，建立健全的、行之有效环境保护管理体系，是生产管理的重要内容。其目的在于发展生产，同时控制污染物排放，保护环境质量，对所排放的污染物实行严格的总量控制，实现清洁、文明生产。</w:t>
            </w:r>
          </w:p>
          <w:p w14:paraId="27F5B6FE">
            <w:pPr>
              <w:spacing w:line="360" w:lineRule="auto"/>
              <w:ind w:firstLine="480" w:firstLineChars="200"/>
              <w:rPr>
                <w:color w:val="auto"/>
                <w:sz w:val="24"/>
              </w:rPr>
            </w:pPr>
            <w:r>
              <w:rPr>
                <w:color w:val="auto"/>
                <w:sz w:val="24"/>
              </w:rPr>
              <w:t>2</w:t>
            </w:r>
            <w:r>
              <w:rPr>
                <w:rFonts w:hint="eastAsia"/>
                <w:color w:val="auto"/>
                <w:sz w:val="24"/>
              </w:rPr>
              <w:t>、环境管理体系</w:t>
            </w:r>
          </w:p>
          <w:p w14:paraId="19D429EA">
            <w:pPr>
              <w:spacing w:line="360" w:lineRule="auto"/>
              <w:ind w:firstLine="360" w:firstLineChars="150"/>
              <w:rPr>
                <w:color w:val="auto"/>
                <w:sz w:val="24"/>
              </w:rPr>
            </w:pPr>
            <w:r>
              <w:rPr>
                <w:rFonts w:hint="eastAsia"/>
                <w:color w:val="auto"/>
                <w:sz w:val="24"/>
              </w:rPr>
              <w:t>（</w:t>
            </w:r>
            <w:r>
              <w:rPr>
                <w:color w:val="auto"/>
                <w:sz w:val="24"/>
              </w:rPr>
              <w:t>1</w:t>
            </w:r>
            <w:r>
              <w:rPr>
                <w:rFonts w:hint="eastAsia"/>
                <w:color w:val="auto"/>
                <w:sz w:val="24"/>
              </w:rPr>
              <w:t>）组织机构</w:t>
            </w:r>
          </w:p>
          <w:p w14:paraId="50676783">
            <w:pPr>
              <w:spacing w:line="360" w:lineRule="auto"/>
              <w:ind w:firstLine="480" w:firstLineChars="200"/>
              <w:rPr>
                <w:color w:val="auto"/>
                <w:sz w:val="24"/>
              </w:rPr>
            </w:pPr>
            <w:r>
              <w:rPr>
                <w:rFonts w:hint="eastAsia"/>
                <w:color w:val="auto"/>
                <w:sz w:val="24"/>
              </w:rPr>
              <w:t>根据《建设项目环境保护设计规定》，为加强企业环境保护管理工作，建议项目设置环保科，配备兼职环保管理人员，负责组织、落实、监督企业环境保护工作。其主要职责：负责贯彻执行国家环境保护法规和标准；制定企业环保规划和管理规章制度并监督实施；组织和协调环境监测工作，建立监控档案；检查、监督环保设施运行情况；组织开展环境教育、环保技术培训和技术交流；负责环境管理日常工作和环境保护行政主管部门及其他社会各界的协调工作；参加环境污染事故调查与处理工作，根据实际情况，提出处理意见和建议。</w:t>
            </w:r>
          </w:p>
          <w:p w14:paraId="3AC937BF">
            <w:pPr>
              <w:spacing w:line="360" w:lineRule="auto"/>
              <w:ind w:firstLine="360" w:firstLineChars="150"/>
              <w:rPr>
                <w:color w:val="auto"/>
                <w:sz w:val="24"/>
              </w:rPr>
            </w:pPr>
            <w:r>
              <w:rPr>
                <w:rFonts w:hint="eastAsia"/>
                <w:color w:val="auto"/>
                <w:sz w:val="24"/>
              </w:rPr>
              <w:t>（</w:t>
            </w:r>
            <w:r>
              <w:rPr>
                <w:color w:val="auto"/>
                <w:sz w:val="24"/>
              </w:rPr>
              <w:t>2</w:t>
            </w:r>
            <w:r>
              <w:rPr>
                <w:rFonts w:hint="eastAsia"/>
                <w:color w:val="auto"/>
                <w:sz w:val="24"/>
              </w:rPr>
              <w:t>）环境监测机构及职能</w:t>
            </w:r>
          </w:p>
          <w:p w14:paraId="61307CB4">
            <w:pPr>
              <w:widowControl/>
              <w:spacing w:line="360" w:lineRule="auto"/>
              <w:outlineLvl w:val="0"/>
              <w:rPr>
                <w:rFonts w:ascii="宋体" w:hAnsi="宋体"/>
                <w:b/>
                <w:bCs/>
                <w:color w:val="auto"/>
                <w:kern w:val="0"/>
                <w:sz w:val="24"/>
                <w:szCs w:val="24"/>
              </w:rPr>
            </w:pPr>
            <w:r>
              <w:rPr>
                <w:rFonts w:hint="eastAsia"/>
                <w:color w:val="auto"/>
                <w:sz w:val="24"/>
              </w:rPr>
              <w:t>为保证项目建成投产后，能迅速全面地反映该项目的污染状况，为项目的环境管理、污染控制、环保规划提供准确、可靠的监测数据，建议本项目设置环境监测机构和环境监测人员，负责企业污染源常规监测、环保设施运行情况日常监测以及污染事故调查监测。污染源例行监测可委托第三方检测公司承担。</w:t>
            </w:r>
          </w:p>
          <w:p w14:paraId="026E3942">
            <w:pPr>
              <w:spacing w:line="360" w:lineRule="auto"/>
              <w:ind w:firstLine="360" w:firstLineChars="150"/>
              <w:rPr>
                <w:color w:val="auto"/>
                <w:sz w:val="24"/>
              </w:rPr>
            </w:pPr>
            <w:r>
              <w:rPr>
                <w:color w:val="auto"/>
                <w:sz w:val="24"/>
              </w:rPr>
              <w:t>3</w:t>
            </w:r>
            <w:r>
              <w:rPr>
                <w:rFonts w:hint="eastAsia"/>
                <w:color w:val="auto"/>
                <w:sz w:val="24"/>
              </w:rPr>
              <w:t>、环境管理措施</w:t>
            </w:r>
          </w:p>
          <w:p w14:paraId="05BA2722">
            <w:pPr>
              <w:spacing w:line="360" w:lineRule="auto"/>
              <w:ind w:firstLine="360" w:firstLineChars="150"/>
              <w:rPr>
                <w:color w:val="auto"/>
                <w:sz w:val="24"/>
              </w:rPr>
            </w:pPr>
            <w:r>
              <w:rPr>
                <w:rFonts w:hint="eastAsia"/>
                <w:color w:val="auto"/>
                <w:sz w:val="24"/>
              </w:rPr>
              <w:t>（</w:t>
            </w:r>
            <w:r>
              <w:rPr>
                <w:color w:val="auto"/>
                <w:sz w:val="24"/>
              </w:rPr>
              <w:t>1</w:t>
            </w:r>
            <w:r>
              <w:rPr>
                <w:rFonts w:hint="eastAsia"/>
                <w:color w:val="auto"/>
                <w:sz w:val="24"/>
              </w:rPr>
              <w:t>）制订环境保护岗位目标责任制，将环境管理纳入生产管理体系，环保评估与经济效益评估相结合，建立严格的奖惩机制。</w:t>
            </w:r>
          </w:p>
          <w:p w14:paraId="6B7818E2">
            <w:pPr>
              <w:spacing w:line="360" w:lineRule="auto"/>
              <w:ind w:firstLine="360" w:firstLineChars="150"/>
              <w:rPr>
                <w:color w:val="auto"/>
                <w:sz w:val="24"/>
              </w:rPr>
            </w:pPr>
            <w:r>
              <w:rPr>
                <w:rFonts w:hint="eastAsia"/>
                <w:color w:val="auto"/>
                <w:sz w:val="24"/>
              </w:rPr>
              <w:t>（</w:t>
            </w:r>
            <w:r>
              <w:rPr>
                <w:color w:val="auto"/>
                <w:sz w:val="24"/>
              </w:rPr>
              <w:t>2</w:t>
            </w:r>
            <w:r>
              <w:rPr>
                <w:rFonts w:hint="eastAsia"/>
                <w:color w:val="auto"/>
                <w:sz w:val="24"/>
              </w:rPr>
              <w:t>）加强环境保护宣传教育工作，进行岗位培训。环保管理人员必须通过专门培训。企业要把职工对环保基本知识的了解和环保应知应会作为考核职工基本素质的一项内容，新职工进厂要通过环保培训考试合格后才能上岗。使全体职工能够意识到环境保护与企业生产、生存和发展的关系，把环保工作落实到每一位员工。</w:t>
            </w:r>
          </w:p>
          <w:p w14:paraId="4944BAC6">
            <w:pPr>
              <w:spacing w:line="360" w:lineRule="auto"/>
              <w:ind w:firstLine="360" w:firstLineChars="150"/>
              <w:rPr>
                <w:color w:val="auto"/>
                <w:sz w:val="24"/>
              </w:rPr>
            </w:pPr>
            <w:r>
              <w:rPr>
                <w:rFonts w:hint="eastAsia"/>
                <w:color w:val="auto"/>
                <w:sz w:val="24"/>
              </w:rPr>
              <w:t>（</w:t>
            </w:r>
            <w:r>
              <w:rPr>
                <w:color w:val="auto"/>
                <w:sz w:val="24"/>
              </w:rPr>
              <w:t>3</w:t>
            </w:r>
            <w:r>
              <w:rPr>
                <w:rFonts w:hint="eastAsia"/>
                <w:color w:val="auto"/>
                <w:sz w:val="24"/>
              </w:rPr>
              <w:t>）加强环境监测数据的统计工作，建立全厂完善的污染源及物料流失档案，严格控制污染物排放总量，确保污染物排放指标达到设计要求。</w:t>
            </w:r>
          </w:p>
          <w:p w14:paraId="50D45DEB">
            <w:pPr>
              <w:spacing w:line="360" w:lineRule="auto"/>
              <w:ind w:firstLine="360" w:firstLineChars="150"/>
              <w:rPr>
                <w:color w:val="auto"/>
                <w:sz w:val="24"/>
              </w:rPr>
            </w:pPr>
            <w:r>
              <w:rPr>
                <w:rFonts w:hint="eastAsia"/>
                <w:color w:val="auto"/>
                <w:sz w:val="24"/>
              </w:rPr>
              <w:t>（</w:t>
            </w:r>
            <w:r>
              <w:rPr>
                <w:color w:val="auto"/>
                <w:sz w:val="24"/>
              </w:rPr>
              <w:t>4</w:t>
            </w:r>
            <w:r>
              <w:rPr>
                <w:rFonts w:hint="eastAsia"/>
                <w:color w:val="auto"/>
                <w:sz w:val="24"/>
              </w:rPr>
              <w:t>）强化对环保设施运行监督、管理的职能，建立全厂完善的环保设施运行、维护、维修等技术档案，以及加强对环保设施操作人员的技术培训，确保环保设施处于正常运行情况，污染物排放连续达标。</w:t>
            </w:r>
          </w:p>
          <w:p w14:paraId="121C541F">
            <w:pPr>
              <w:pStyle w:val="108"/>
              <w:spacing w:line="360" w:lineRule="auto"/>
              <w:ind w:firstLine="480" w:firstLineChars="200"/>
              <w:rPr>
                <w:color w:val="auto"/>
              </w:rPr>
            </w:pPr>
            <w:r>
              <w:rPr>
                <w:rFonts w:hint="eastAsia"/>
                <w:color w:val="auto"/>
              </w:rPr>
              <w:t>（</w:t>
            </w:r>
            <w:r>
              <w:rPr>
                <w:color w:val="auto"/>
              </w:rPr>
              <w:t>5</w:t>
            </w:r>
            <w:r>
              <w:rPr>
                <w:rFonts w:hint="eastAsia"/>
                <w:color w:val="auto"/>
              </w:rPr>
              <w:t>）加强对开停车等非正常工况及周围环境的监测，并制订能够控制污染扩大，防治污染事故发生的有效措施。</w:t>
            </w:r>
          </w:p>
          <w:p w14:paraId="388602FA">
            <w:pPr>
              <w:adjustRightInd w:val="0"/>
              <w:spacing w:line="360" w:lineRule="auto"/>
              <w:ind w:firstLine="482" w:firstLineChars="200"/>
              <w:jc w:val="left"/>
              <w:rPr>
                <w:b/>
                <w:color w:val="auto"/>
                <w:kern w:val="0"/>
                <w:sz w:val="24"/>
              </w:rPr>
            </w:pPr>
            <w:r>
              <w:rPr>
                <w:rFonts w:hint="eastAsia" w:hAnsi="宋体"/>
                <w:b/>
                <w:color w:val="auto"/>
                <w:kern w:val="0"/>
                <w:sz w:val="24"/>
              </w:rPr>
              <w:t>八</w:t>
            </w:r>
            <w:r>
              <w:rPr>
                <w:rFonts w:hAnsi="宋体"/>
                <w:b/>
                <w:color w:val="auto"/>
                <w:kern w:val="0"/>
                <w:sz w:val="24"/>
              </w:rPr>
              <w:t>、污染源排放口规范化要求</w:t>
            </w:r>
          </w:p>
          <w:p w14:paraId="013A9888">
            <w:pPr>
              <w:adjustRightInd w:val="0"/>
              <w:spacing w:line="360" w:lineRule="auto"/>
              <w:ind w:firstLine="480" w:firstLineChars="200"/>
              <w:jc w:val="left"/>
              <w:rPr>
                <w:color w:val="auto"/>
                <w:sz w:val="24"/>
              </w:rPr>
            </w:pPr>
            <w:r>
              <w:rPr>
                <w:rFonts w:hAnsi="宋体"/>
                <w:color w:val="auto"/>
                <w:sz w:val="24"/>
              </w:rPr>
              <w:t>排气筒应设置人工采样平台和采样口。企业污染物排放口（源）及固体废物贮存、堆放场必须按照国家标准《环境保护图形标志》（</w:t>
            </w:r>
            <w:r>
              <w:rPr>
                <w:color w:val="auto"/>
                <w:sz w:val="24"/>
              </w:rPr>
              <w:t>GB15562.1-1995</w:t>
            </w:r>
            <w:r>
              <w:rPr>
                <w:rFonts w:hAnsi="宋体"/>
                <w:color w:val="auto"/>
                <w:sz w:val="24"/>
              </w:rPr>
              <w:t>）的规定设置与之相适应的环境保护图形标志牌，环境保护图形标志牌设置位置应距污染物排放口（源）、固体废物贮存（堆放）场或采样点较近且醒目处，并能长久保留。同时如实填写《中华人民共和国规范化排污口标记登记证》，由环保部门签发。环保主管部门和建设单位可分别按以下内容建立排污口管理的专门档案：排污口性质和编号；位置；排放主要污染物种类、数量、浓度；排放去向；达标情况；治理设施运行情况及整改意见。</w:t>
            </w:r>
          </w:p>
          <w:p w14:paraId="04E3BD80">
            <w:pPr>
              <w:adjustRightInd w:val="0"/>
              <w:spacing w:line="360" w:lineRule="auto"/>
              <w:ind w:firstLine="482" w:firstLineChars="200"/>
              <w:jc w:val="left"/>
              <w:rPr>
                <w:b/>
                <w:color w:val="auto"/>
                <w:sz w:val="24"/>
              </w:rPr>
            </w:pPr>
            <w:r>
              <w:rPr>
                <w:rFonts w:hAnsi="宋体"/>
                <w:b/>
                <w:color w:val="auto"/>
                <w:sz w:val="24"/>
              </w:rPr>
              <w:t>环境保护图形标志：</w:t>
            </w:r>
          </w:p>
          <w:p w14:paraId="3FFE088D">
            <w:pPr>
              <w:adjustRightInd w:val="0"/>
              <w:spacing w:line="360" w:lineRule="auto"/>
              <w:ind w:firstLine="480" w:firstLineChars="200"/>
              <w:jc w:val="left"/>
              <w:rPr>
                <w:rFonts w:hAnsi="宋体"/>
                <w:color w:val="auto"/>
                <w:sz w:val="24"/>
              </w:rPr>
            </w:pPr>
            <w:r>
              <w:rPr>
                <w:rFonts w:hAnsi="宋体"/>
                <w:color w:val="auto"/>
                <w:sz w:val="24"/>
              </w:rPr>
              <w:t>在本次新增废气排放口、噪声排放源处应设置环境保护图形标志，图形符号分为提示图形和警告图形符号两种，分别按</w:t>
            </w:r>
            <w:r>
              <w:rPr>
                <w:color w:val="auto"/>
                <w:sz w:val="24"/>
              </w:rPr>
              <w:t>GB15562.1-1995</w:t>
            </w:r>
            <w:r>
              <w:rPr>
                <w:rFonts w:hAnsi="宋体"/>
                <w:color w:val="auto"/>
                <w:sz w:val="24"/>
              </w:rPr>
              <w:t>、</w:t>
            </w:r>
            <w:r>
              <w:rPr>
                <w:color w:val="auto"/>
                <w:sz w:val="24"/>
              </w:rPr>
              <w:t>GB15562.2-1995</w:t>
            </w:r>
            <w:r>
              <w:rPr>
                <w:rFonts w:hAnsi="宋体"/>
                <w:color w:val="auto"/>
                <w:sz w:val="24"/>
              </w:rPr>
              <w:t>执行。环境</w:t>
            </w:r>
            <w:bookmarkStart w:id="11" w:name="_GoBack"/>
            <w:bookmarkEnd w:id="11"/>
            <w:r>
              <w:rPr>
                <w:rFonts w:hAnsi="宋体"/>
                <w:color w:val="auto"/>
                <w:sz w:val="24"/>
              </w:rPr>
              <w:t>保护图形符号见表</w:t>
            </w:r>
            <w:r>
              <w:rPr>
                <w:rFonts w:hint="eastAsia"/>
                <w:color w:val="auto"/>
                <w:sz w:val="24"/>
              </w:rPr>
              <w:t>54</w:t>
            </w:r>
            <w:r>
              <w:rPr>
                <w:rFonts w:hAnsi="宋体"/>
                <w:color w:val="auto"/>
                <w:sz w:val="24"/>
              </w:rPr>
              <w:t>。环境保护图形标志的形状及颜色见表</w:t>
            </w:r>
            <w:r>
              <w:rPr>
                <w:rFonts w:hint="eastAsia"/>
                <w:color w:val="auto"/>
                <w:sz w:val="24"/>
              </w:rPr>
              <w:t>55</w:t>
            </w:r>
            <w:r>
              <w:rPr>
                <w:rFonts w:hint="eastAsia" w:hAnsi="宋体"/>
                <w:color w:val="auto"/>
                <w:sz w:val="24"/>
              </w:rPr>
              <w:t>。</w:t>
            </w:r>
          </w:p>
          <w:p w14:paraId="7E09CC4B">
            <w:pPr>
              <w:adjustRightInd w:val="0"/>
              <w:spacing w:line="360" w:lineRule="auto"/>
              <w:ind w:firstLine="480" w:firstLineChars="200"/>
              <w:jc w:val="left"/>
              <w:rPr>
                <w:rFonts w:hAnsi="宋体"/>
                <w:color w:val="auto"/>
                <w:sz w:val="24"/>
              </w:rPr>
            </w:pPr>
          </w:p>
          <w:p w14:paraId="34E5188F">
            <w:pPr>
              <w:adjustRightInd w:val="0"/>
              <w:spacing w:line="360" w:lineRule="auto"/>
              <w:ind w:firstLine="480" w:firstLineChars="200"/>
              <w:jc w:val="left"/>
              <w:rPr>
                <w:rFonts w:hAnsi="宋体"/>
                <w:color w:val="auto"/>
                <w:sz w:val="24"/>
              </w:rPr>
            </w:pPr>
          </w:p>
          <w:p w14:paraId="70BE6DCB">
            <w:pPr>
              <w:adjustRightInd w:val="0"/>
              <w:spacing w:line="360" w:lineRule="auto"/>
              <w:ind w:firstLine="480" w:firstLineChars="200"/>
              <w:jc w:val="left"/>
              <w:rPr>
                <w:rFonts w:hAnsi="宋体"/>
                <w:color w:val="auto"/>
                <w:sz w:val="24"/>
              </w:rPr>
            </w:pPr>
          </w:p>
          <w:p w14:paraId="05C397BF">
            <w:pPr>
              <w:adjustRightInd w:val="0"/>
              <w:spacing w:line="360" w:lineRule="auto"/>
              <w:ind w:firstLine="480" w:firstLineChars="200"/>
              <w:jc w:val="left"/>
              <w:rPr>
                <w:rFonts w:hAnsi="宋体"/>
                <w:color w:val="auto"/>
                <w:sz w:val="24"/>
              </w:rPr>
            </w:pPr>
          </w:p>
          <w:p w14:paraId="25B1AE73">
            <w:pPr>
              <w:adjustRightInd w:val="0"/>
              <w:spacing w:line="360" w:lineRule="auto"/>
              <w:ind w:firstLine="480" w:firstLineChars="200"/>
              <w:jc w:val="left"/>
              <w:rPr>
                <w:rFonts w:hAnsi="宋体"/>
                <w:color w:val="auto"/>
                <w:sz w:val="24"/>
              </w:rPr>
            </w:pPr>
          </w:p>
          <w:p w14:paraId="0FA01917">
            <w:pPr>
              <w:adjustRightInd w:val="0"/>
              <w:spacing w:line="360" w:lineRule="auto"/>
              <w:ind w:firstLine="480" w:firstLineChars="200"/>
              <w:jc w:val="left"/>
              <w:rPr>
                <w:rFonts w:hAnsi="宋体"/>
                <w:color w:val="auto"/>
                <w:sz w:val="24"/>
              </w:rPr>
            </w:pPr>
          </w:p>
          <w:p w14:paraId="7DB59B07">
            <w:pPr>
              <w:adjustRightInd w:val="0"/>
              <w:spacing w:line="360" w:lineRule="auto"/>
              <w:ind w:firstLine="480" w:firstLineChars="200"/>
              <w:jc w:val="left"/>
              <w:rPr>
                <w:rFonts w:hAnsi="宋体"/>
                <w:color w:val="auto"/>
                <w:sz w:val="24"/>
              </w:rPr>
            </w:pPr>
          </w:p>
          <w:p w14:paraId="1396B80A">
            <w:pPr>
              <w:spacing w:line="276" w:lineRule="auto"/>
              <w:jc w:val="center"/>
              <w:rPr>
                <w:rFonts w:hAnsi="宋体"/>
                <w:color w:val="auto"/>
                <w:sz w:val="24"/>
              </w:rPr>
            </w:pPr>
          </w:p>
          <w:p w14:paraId="26335193">
            <w:pPr>
              <w:spacing w:line="276" w:lineRule="auto"/>
              <w:jc w:val="center"/>
              <w:rPr>
                <w:rFonts w:hAnsi="黑体" w:eastAsia="黑体"/>
                <w:color w:val="auto"/>
                <w:sz w:val="24"/>
              </w:rPr>
            </w:pPr>
            <w:r>
              <w:rPr>
                <w:rFonts w:hAnsi="黑体" w:eastAsia="黑体"/>
                <w:color w:val="auto"/>
                <w:sz w:val="24"/>
              </w:rPr>
              <w:t>表</w:t>
            </w:r>
            <w:r>
              <w:rPr>
                <w:rFonts w:hint="eastAsia" w:hAnsi="黑体" w:eastAsia="黑体"/>
                <w:color w:val="auto"/>
                <w:sz w:val="24"/>
              </w:rPr>
              <w:t xml:space="preserve">54  </w:t>
            </w:r>
            <w:r>
              <w:rPr>
                <w:rFonts w:hAnsi="黑体" w:eastAsia="黑体"/>
                <w:color w:val="auto"/>
                <w:sz w:val="24"/>
              </w:rPr>
              <w:t>本项目环境保护图形符号表</w:t>
            </w:r>
          </w:p>
          <w:tbl>
            <w:tblPr>
              <w:tblStyle w:val="3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854"/>
              <w:gridCol w:w="1916"/>
              <w:gridCol w:w="1440"/>
              <w:gridCol w:w="2285"/>
            </w:tblGrid>
            <w:tr w14:paraId="0C3453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99" w:type="pct"/>
                  <w:tcBorders>
                    <w:top w:val="single" w:color="auto" w:sz="12" w:space="0"/>
                    <w:left w:val="nil"/>
                    <w:bottom w:val="single" w:color="auto" w:sz="4" w:space="0"/>
                    <w:right w:val="single" w:color="auto" w:sz="4" w:space="0"/>
                  </w:tcBorders>
                  <w:vAlign w:val="center"/>
                </w:tcPr>
                <w:p w14:paraId="5054617F">
                  <w:pPr>
                    <w:spacing w:line="276" w:lineRule="auto"/>
                    <w:jc w:val="center"/>
                    <w:rPr>
                      <w:b/>
                      <w:color w:val="auto"/>
                      <w:spacing w:val="-2"/>
                      <w:szCs w:val="21"/>
                    </w:rPr>
                  </w:pPr>
                  <w:r>
                    <w:rPr>
                      <w:rFonts w:hAnsi="宋体"/>
                      <w:b/>
                      <w:color w:val="auto"/>
                      <w:szCs w:val="21"/>
                    </w:rPr>
                    <w:t>序号</w:t>
                  </w:r>
                </w:p>
              </w:tc>
              <w:tc>
                <w:tcPr>
                  <w:tcW w:w="1138" w:type="pct"/>
                  <w:tcBorders>
                    <w:top w:val="single" w:color="auto" w:sz="12" w:space="0"/>
                    <w:left w:val="single" w:color="auto" w:sz="4" w:space="0"/>
                    <w:bottom w:val="single" w:color="auto" w:sz="4" w:space="0"/>
                    <w:right w:val="single" w:color="auto" w:sz="4" w:space="0"/>
                  </w:tcBorders>
                  <w:vAlign w:val="center"/>
                </w:tcPr>
                <w:p w14:paraId="76144BF4">
                  <w:pPr>
                    <w:spacing w:line="276" w:lineRule="auto"/>
                    <w:jc w:val="center"/>
                    <w:rPr>
                      <w:b/>
                      <w:color w:val="auto"/>
                      <w:spacing w:val="-2"/>
                      <w:szCs w:val="21"/>
                    </w:rPr>
                  </w:pPr>
                  <w:r>
                    <w:rPr>
                      <w:rFonts w:hAnsi="宋体"/>
                      <w:b/>
                      <w:color w:val="auto"/>
                      <w:szCs w:val="21"/>
                    </w:rPr>
                    <w:t>提示图形符号</w:t>
                  </w:r>
                </w:p>
              </w:tc>
              <w:tc>
                <w:tcPr>
                  <w:tcW w:w="1176" w:type="pct"/>
                  <w:tcBorders>
                    <w:top w:val="single" w:color="auto" w:sz="12" w:space="0"/>
                    <w:left w:val="single" w:color="auto" w:sz="4" w:space="0"/>
                    <w:bottom w:val="single" w:color="auto" w:sz="4" w:space="0"/>
                    <w:right w:val="single" w:color="auto" w:sz="4" w:space="0"/>
                  </w:tcBorders>
                  <w:vAlign w:val="center"/>
                </w:tcPr>
                <w:p w14:paraId="54AFB453">
                  <w:pPr>
                    <w:spacing w:line="276" w:lineRule="auto"/>
                    <w:jc w:val="center"/>
                    <w:rPr>
                      <w:b/>
                      <w:color w:val="auto"/>
                      <w:spacing w:val="-2"/>
                      <w:szCs w:val="21"/>
                    </w:rPr>
                  </w:pPr>
                  <w:r>
                    <w:rPr>
                      <w:rFonts w:hAnsi="宋体"/>
                      <w:b/>
                      <w:color w:val="auto"/>
                      <w:szCs w:val="21"/>
                    </w:rPr>
                    <w:t>警告图形符号</w:t>
                  </w:r>
                </w:p>
              </w:tc>
              <w:tc>
                <w:tcPr>
                  <w:tcW w:w="884" w:type="pct"/>
                  <w:tcBorders>
                    <w:top w:val="single" w:color="auto" w:sz="12" w:space="0"/>
                    <w:left w:val="single" w:color="auto" w:sz="4" w:space="0"/>
                    <w:bottom w:val="single" w:color="auto" w:sz="4" w:space="0"/>
                    <w:right w:val="single" w:color="auto" w:sz="4" w:space="0"/>
                  </w:tcBorders>
                  <w:vAlign w:val="center"/>
                </w:tcPr>
                <w:p w14:paraId="77904C9B">
                  <w:pPr>
                    <w:spacing w:line="276" w:lineRule="auto"/>
                    <w:jc w:val="center"/>
                    <w:rPr>
                      <w:b/>
                      <w:color w:val="auto"/>
                      <w:spacing w:val="-2"/>
                      <w:szCs w:val="21"/>
                    </w:rPr>
                  </w:pPr>
                  <w:r>
                    <w:rPr>
                      <w:rFonts w:hAnsi="宋体"/>
                      <w:b/>
                      <w:color w:val="auto"/>
                      <w:szCs w:val="21"/>
                    </w:rPr>
                    <w:t>名称</w:t>
                  </w:r>
                </w:p>
              </w:tc>
              <w:tc>
                <w:tcPr>
                  <w:tcW w:w="1403" w:type="pct"/>
                  <w:tcBorders>
                    <w:top w:val="single" w:color="auto" w:sz="12" w:space="0"/>
                    <w:left w:val="single" w:color="auto" w:sz="4" w:space="0"/>
                    <w:bottom w:val="single" w:color="auto" w:sz="4" w:space="0"/>
                    <w:right w:val="nil"/>
                  </w:tcBorders>
                  <w:vAlign w:val="center"/>
                </w:tcPr>
                <w:p w14:paraId="130455D6">
                  <w:pPr>
                    <w:spacing w:line="276" w:lineRule="auto"/>
                    <w:jc w:val="center"/>
                    <w:rPr>
                      <w:b/>
                      <w:color w:val="auto"/>
                      <w:spacing w:val="-2"/>
                      <w:szCs w:val="21"/>
                    </w:rPr>
                  </w:pPr>
                  <w:r>
                    <w:rPr>
                      <w:rFonts w:hAnsi="宋体"/>
                      <w:b/>
                      <w:color w:val="auto"/>
                      <w:szCs w:val="21"/>
                    </w:rPr>
                    <w:t>功能</w:t>
                  </w:r>
                </w:p>
              </w:tc>
            </w:tr>
            <w:tr w14:paraId="303090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399" w:type="pct"/>
                  <w:tcBorders>
                    <w:top w:val="single" w:color="auto" w:sz="4" w:space="0"/>
                    <w:left w:val="nil"/>
                    <w:bottom w:val="single" w:color="auto" w:sz="4" w:space="0"/>
                    <w:right w:val="single" w:color="auto" w:sz="4" w:space="0"/>
                  </w:tcBorders>
                  <w:vAlign w:val="center"/>
                </w:tcPr>
                <w:p w14:paraId="6E86A858">
                  <w:pPr>
                    <w:spacing w:line="276" w:lineRule="auto"/>
                    <w:jc w:val="center"/>
                    <w:rPr>
                      <w:color w:val="auto"/>
                      <w:spacing w:val="-2"/>
                      <w:szCs w:val="21"/>
                    </w:rPr>
                  </w:pPr>
                  <w:r>
                    <w:rPr>
                      <w:rFonts w:hint="eastAsia"/>
                      <w:color w:val="auto"/>
                      <w:szCs w:val="21"/>
                    </w:rPr>
                    <w:t>1</w:t>
                  </w:r>
                </w:p>
              </w:tc>
              <w:tc>
                <w:tcPr>
                  <w:tcW w:w="1138" w:type="pct"/>
                  <w:tcBorders>
                    <w:top w:val="single" w:color="auto" w:sz="4" w:space="0"/>
                    <w:left w:val="single" w:color="auto" w:sz="4" w:space="0"/>
                    <w:bottom w:val="single" w:color="auto" w:sz="4" w:space="0"/>
                    <w:right w:val="single" w:color="auto" w:sz="4" w:space="0"/>
                  </w:tcBorders>
                  <w:vAlign w:val="center"/>
                </w:tcPr>
                <w:p w14:paraId="466D5DAD">
                  <w:pPr>
                    <w:spacing w:line="276" w:lineRule="auto"/>
                    <w:jc w:val="center"/>
                    <w:rPr>
                      <w:color w:val="auto"/>
                      <w:spacing w:val="-2"/>
                      <w:szCs w:val="21"/>
                    </w:rPr>
                  </w:pPr>
                  <w:r>
                    <w:rPr>
                      <w:smallCaps/>
                      <w:color w:val="auto"/>
                      <w:szCs w:val="21"/>
                    </w:rPr>
                    <w:drawing>
                      <wp:inline distT="0" distB="0" distL="0" distR="0">
                        <wp:extent cx="760095" cy="702310"/>
                        <wp:effectExtent l="19050" t="0" r="1403" b="0"/>
                        <wp:docPr id="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5"/>
                                <pic:cNvPicPr>
                                  <a:picLocks noChangeAspect="1" noChangeArrowheads="1"/>
                                </pic:cNvPicPr>
                              </pic:nvPicPr>
                              <pic:blipFill>
                                <a:blip r:embed="rId12" cstate="print"/>
                                <a:srcRect/>
                                <a:stretch>
                                  <a:fillRect/>
                                </a:stretch>
                              </pic:blipFill>
                              <pic:spPr>
                                <a:xfrm>
                                  <a:off x="0" y="0"/>
                                  <a:ext cx="757134" cy="699446"/>
                                </a:xfrm>
                                <a:prstGeom prst="rect">
                                  <a:avLst/>
                                </a:prstGeom>
                                <a:noFill/>
                                <a:ln w="9525">
                                  <a:noFill/>
                                  <a:miter lim="800000"/>
                                  <a:headEnd/>
                                  <a:tailEnd/>
                                </a:ln>
                              </pic:spPr>
                            </pic:pic>
                          </a:graphicData>
                        </a:graphic>
                      </wp:inline>
                    </w:drawing>
                  </w:r>
                </w:p>
              </w:tc>
              <w:tc>
                <w:tcPr>
                  <w:tcW w:w="1176" w:type="pct"/>
                  <w:tcBorders>
                    <w:top w:val="single" w:color="auto" w:sz="4" w:space="0"/>
                    <w:left w:val="single" w:color="auto" w:sz="4" w:space="0"/>
                    <w:bottom w:val="single" w:color="auto" w:sz="4" w:space="0"/>
                    <w:right w:val="single" w:color="auto" w:sz="4" w:space="0"/>
                  </w:tcBorders>
                  <w:vAlign w:val="center"/>
                </w:tcPr>
                <w:p w14:paraId="0DB609F1">
                  <w:pPr>
                    <w:spacing w:line="276" w:lineRule="auto"/>
                    <w:jc w:val="center"/>
                    <w:rPr>
                      <w:color w:val="auto"/>
                      <w:spacing w:val="-2"/>
                      <w:szCs w:val="21"/>
                    </w:rPr>
                  </w:pPr>
                  <w:r>
                    <w:rPr>
                      <w:smallCaps/>
                      <w:color w:val="auto"/>
                      <w:szCs w:val="21"/>
                    </w:rPr>
                    <w:drawing>
                      <wp:inline distT="0" distB="0" distL="0" distR="0">
                        <wp:extent cx="841375" cy="743585"/>
                        <wp:effectExtent l="19050" t="0" r="0" b="0"/>
                        <wp:docPr id="2"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6"/>
                                <pic:cNvPicPr>
                                  <a:picLocks noChangeAspect="1" noChangeArrowheads="1"/>
                                </pic:cNvPicPr>
                              </pic:nvPicPr>
                              <pic:blipFill>
                                <a:blip r:embed="rId13" cstate="print"/>
                                <a:srcRect/>
                                <a:stretch>
                                  <a:fillRect/>
                                </a:stretch>
                              </pic:blipFill>
                              <pic:spPr>
                                <a:xfrm>
                                  <a:off x="0" y="0"/>
                                  <a:ext cx="841245" cy="743413"/>
                                </a:xfrm>
                                <a:prstGeom prst="rect">
                                  <a:avLst/>
                                </a:prstGeom>
                                <a:noFill/>
                                <a:ln w="9525">
                                  <a:noFill/>
                                  <a:miter lim="800000"/>
                                  <a:headEnd/>
                                  <a:tailEnd/>
                                </a:ln>
                              </pic:spPr>
                            </pic:pic>
                          </a:graphicData>
                        </a:graphic>
                      </wp:inline>
                    </w:drawing>
                  </w:r>
                </w:p>
              </w:tc>
              <w:tc>
                <w:tcPr>
                  <w:tcW w:w="884" w:type="pct"/>
                  <w:tcBorders>
                    <w:top w:val="single" w:color="auto" w:sz="4" w:space="0"/>
                    <w:left w:val="single" w:color="auto" w:sz="4" w:space="0"/>
                    <w:bottom w:val="single" w:color="auto" w:sz="4" w:space="0"/>
                    <w:right w:val="single" w:color="auto" w:sz="4" w:space="0"/>
                  </w:tcBorders>
                  <w:vAlign w:val="center"/>
                </w:tcPr>
                <w:p w14:paraId="26411ABB">
                  <w:pPr>
                    <w:spacing w:line="276" w:lineRule="auto"/>
                    <w:jc w:val="center"/>
                    <w:rPr>
                      <w:color w:val="auto"/>
                      <w:spacing w:val="-2"/>
                      <w:szCs w:val="21"/>
                    </w:rPr>
                  </w:pPr>
                  <w:r>
                    <w:rPr>
                      <w:rFonts w:hAnsi="宋体"/>
                      <w:color w:val="auto"/>
                      <w:szCs w:val="21"/>
                    </w:rPr>
                    <w:t>废气排放口</w:t>
                  </w:r>
                </w:p>
              </w:tc>
              <w:tc>
                <w:tcPr>
                  <w:tcW w:w="1403" w:type="pct"/>
                  <w:tcBorders>
                    <w:top w:val="single" w:color="auto" w:sz="4" w:space="0"/>
                    <w:left w:val="single" w:color="auto" w:sz="4" w:space="0"/>
                    <w:bottom w:val="single" w:color="auto" w:sz="4" w:space="0"/>
                    <w:right w:val="nil"/>
                  </w:tcBorders>
                  <w:vAlign w:val="center"/>
                </w:tcPr>
                <w:p w14:paraId="1E217F54">
                  <w:pPr>
                    <w:spacing w:line="276" w:lineRule="auto"/>
                    <w:jc w:val="center"/>
                    <w:rPr>
                      <w:color w:val="auto"/>
                      <w:spacing w:val="-2"/>
                      <w:szCs w:val="21"/>
                    </w:rPr>
                  </w:pPr>
                  <w:r>
                    <w:rPr>
                      <w:rFonts w:hAnsi="宋体"/>
                      <w:color w:val="auto"/>
                      <w:szCs w:val="21"/>
                    </w:rPr>
                    <w:t>表示废气向大气环境排放</w:t>
                  </w:r>
                </w:p>
              </w:tc>
            </w:tr>
            <w:tr w14:paraId="1E03A2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99" w:type="pct"/>
                  <w:tcBorders>
                    <w:top w:val="single" w:color="auto" w:sz="4" w:space="0"/>
                    <w:left w:val="nil"/>
                    <w:bottom w:val="single" w:color="auto" w:sz="12" w:space="0"/>
                    <w:right w:val="single" w:color="auto" w:sz="4" w:space="0"/>
                  </w:tcBorders>
                  <w:vAlign w:val="center"/>
                </w:tcPr>
                <w:p w14:paraId="7B4C0A0B">
                  <w:pPr>
                    <w:spacing w:line="276" w:lineRule="auto"/>
                    <w:jc w:val="center"/>
                    <w:rPr>
                      <w:color w:val="auto"/>
                      <w:spacing w:val="-2"/>
                      <w:szCs w:val="21"/>
                    </w:rPr>
                  </w:pPr>
                  <w:r>
                    <w:rPr>
                      <w:rFonts w:hint="eastAsia"/>
                      <w:color w:val="auto"/>
                      <w:szCs w:val="21"/>
                    </w:rPr>
                    <w:t>2</w:t>
                  </w:r>
                </w:p>
              </w:tc>
              <w:tc>
                <w:tcPr>
                  <w:tcW w:w="1138" w:type="pct"/>
                  <w:tcBorders>
                    <w:top w:val="single" w:color="auto" w:sz="4" w:space="0"/>
                    <w:left w:val="single" w:color="auto" w:sz="4" w:space="0"/>
                    <w:bottom w:val="single" w:color="auto" w:sz="12" w:space="0"/>
                    <w:right w:val="single" w:color="auto" w:sz="4" w:space="0"/>
                  </w:tcBorders>
                  <w:vAlign w:val="center"/>
                </w:tcPr>
                <w:p w14:paraId="18CE9643">
                  <w:pPr>
                    <w:spacing w:line="276" w:lineRule="auto"/>
                    <w:jc w:val="center"/>
                    <w:rPr>
                      <w:color w:val="auto"/>
                      <w:spacing w:val="-2"/>
                      <w:szCs w:val="21"/>
                    </w:rPr>
                  </w:pPr>
                  <w:r>
                    <w:rPr>
                      <w:color w:val="auto"/>
                      <w:szCs w:val="21"/>
                    </w:rPr>
                    <w:drawing>
                      <wp:inline distT="0" distB="0" distL="0" distR="0">
                        <wp:extent cx="731520" cy="731520"/>
                        <wp:effectExtent l="19050" t="0" r="0" b="0"/>
                        <wp:docPr id="12" name="图片 50" descr="mark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0" descr="mark_3"/>
                                <pic:cNvPicPr>
                                  <a:picLocks noChangeAspect="1" noChangeArrowheads="1"/>
                                </pic:cNvPicPr>
                              </pic:nvPicPr>
                              <pic:blipFill>
                                <a:blip r:embed="rId14" cstate="print"/>
                                <a:srcRect/>
                                <a:stretch>
                                  <a:fillRect/>
                                </a:stretch>
                              </pic:blipFill>
                              <pic:spPr>
                                <a:xfrm>
                                  <a:off x="0" y="0"/>
                                  <a:ext cx="731864" cy="731864"/>
                                </a:xfrm>
                                <a:prstGeom prst="rect">
                                  <a:avLst/>
                                </a:prstGeom>
                                <a:noFill/>
                                <a:ln w="9525">
                                  <a:noFill/>
                                  <a:miter lim="800000"/>
                                  <a:headEnd/>
                                  <a:tailEnd/>
                                </a:ln>
                              </pic:spPr>
                            </pic:pic>
                          </a:graphicData>
                        </a:graphic>
                      </wp:inline>
                    </w:drawing>
                  </w:r>
                </w:p>
              </w:tc>
              <w:tc>
                <w:tcPr>
                  <w:tcW w:w="1176" w:type="pct"/>
                  <w:tcBorders>
                    <w:top w:val="single" w:color="auto" w:sz="4" w:space="0"/>
                    <w:left w:val="single" w:color="auto" w:sz="4" w:space="0"/>
                    <w:bottom w:val="single" w:color="auto" w:sz="12" w:space="0"/>
                    <w:right w:val="single" w:color="auto" w:sz="4" w:space="0"/>
                  </w:tcBorders>
                  <w:vAlign w:val="center"/>
                </w:tcPr>
                <w:p w14:paraId="33187A5D">
                  <w:pPr>
                    <w:spacing w:line="276" w:lineRule="auto"/>
                    <w:jc w:val="center"/>
                    <w:rPr>
                      <w:color w:val="auto"/>
                      <w:spacing w:val="-2"/>
                      <w:szCs w:val="21"/>
                    </w:rPr>
                  </w:pPr>
                  <w:r>
                    <w:rPr>
                      <w:color w:val="auto"/>
                      <w:szCs w:val="21"/>
                    </w:rPr>
                    <w:drawing>
                      <wp:inline distT="0" distB="0" distL="0" distR="0">
                        <wp:extent cx="830580" cy="741045"/>
                        <wp:effectExtent l="19050" t="0" r="7550" b="0"/>
                        <wp:docPr id="11" name="图片 51" descr="mark_j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1" descr="mark_j3"/>
                                <pic:cNvPicPr>
                                  <a:picLocks noChangeAspect="1" noChangeArrowheads="1"/>
                                </pic:cNvPicPr>
                              </pic:nvPicPr>
                              <pic:blipFill>
                                <a:blip r:embed="rId15" cstate="print"/>
                                <a:srcRect/>
                                <a:stretch>
                                  <a:fillRect/>
                                </a:stretch>
                              </pic:blipFill>
                              <pic:spPr>
                                <a:xfrm>
                                  <a:off x="0" y="0"/>
                                  <a:ext cx="829961" cy="740530"/>
                                </a:xfrm>
                                <a:prstGeom prst="rect">
                                  <a:avLst/>
                                </a:prstGeom>
                                <a:noFill/>
                                <a:ln w="9525">
                                  <a:noFill/>
                                  <a:miter lim="800000"/>
                                  <a:headEnd/>
                                  <a:tailEnd/>
                                </a:ln>
                              </pic:spPr>
                            </pic:pic>
                          </a:graphicData>
                        </a:graphic>
                      </wp:inline>
                    </w:drawing>
                  </w:r>
                </w:p>
              </w:tc>
              <w:tc>
                <w:tcPr>
                  <w:tcW w:w="884" w:type="pct"/>
                  <w:tcBorders>
                    <w:top w:val="single" w:color="auto" w:sz="4" w:space="0"/>
                    <w:left w:val="single" w:color="auto" w:sz="4" w:space="0"/>
                    <w:bottom w:val="single" w:color="auto" w:sz="12" w:space="0"/>
                    <w:right w:val="single" w:color="auto" w:sz="4" w:space="0"/>
                  </w:tcBorders>
                  <w:vAlign w:val="center"/>
                </w:tcPr>
                <w:p w14:paraId="14D9E00B">
                  <w:pPr>
                    <w:spacing w:line="276" w:lineRule="auto"/>
                    <w:jc w:val="center"/>
                    <w:rPr>
                      <w:color w:val="auto"/>
                      <w:spacing w:val="-2"/>
                      <w:szCs w:val="21"/>
                    </w:rPr>
                  </w:pPr>
                  <w:r>
                    <w:rPr>
                      <w:rFonts w:hAnsi="宋体"/>
                      <w:color w:val="auto"/>
                      <w:szCs w:val="21"/>
                    </w:rPr>
                    <w:t>噪声排放源</w:t>
                  </w:r>
                </w:p>
              </w:tc>
              <w:tc>
                <w:tcPr>
                  <w:tcW w:w="1403" w:type="pct"/>
                  <w:tcBorders>
                    <w:top w:val="single" w:color="auto" w:sz="4" w:space="0"/>
                    <w:left w:val="single" w:color="auto" w:sz="4" w:space="0"/>
                    <w:bottom w:val="single" w:color="auto" w:sz="12" w:space="0"/>
                    <w:right w:val="nil"/>
                  </w:tcBorders>
                  <w:vAlign w:val="center"/>
                </w:tcPr>
                <w:p w14:paraId="661CDE2A">
                  <w:pPr>
                    <w:spacing w:line="276" w:lineRule="auto"/>
                    <w:jc w:val="center"/>
                    <w:rPr>
                      <w:color w:val="auto"/>
                      <w:spacing w:val="-2"/>
                      <w:szCs w:val="21"/>
                    </w:rPr>
                  </w:pPr>
                  <w:r>
                    <w:rPr>
                      <w:rFonts w:hAnsi="宋体"/>
                      <w:color w:val="auto"/>
                      <w:szCs w:val="21"/>
                    </w:rPr>
                    <w:t>表示噪声向</w:t>
                  </w:r>
                </w:p>
                <w:p w14:paraId="52ED8541">
                  <w:pPr>
                    <w:spacing w:line="276" w:lineRule="auto"/>
                    <w:jc w:val="center"/>
                    <w:rPr>
                      <w:color w:val="auto"/>
                      <w:spacing w:val="-2"/>
                      <w:szCs w:val="21"/>
                    </w:rPr>
                  </w:pPr>
                  <w:r>
                    <w:rPr>
                      <w:rFonts w:hAnsi="宋体"/>
                      <w:color w:val="auto"/>
                      <w:szCs w:val="21"/>
                    </w:rPr>
                    <w:t>外环境排放</w:t>
                  </w:r>
                </w:p>
              </w:tc>
            </w:tr>
          </w:tbl>
          <w:p w14:paraId="74BF5F93">
            <w:pPr>
              <w:spacing w:line="276" w:lineRule="auto"/>
              <w:jc w:val="center"/>
              <w:rPr>
                <w:rFonts w:hAnsi="黑体" w:eastAsia="黑体"/>
                <w:color w:val="auto"/>
                <w:sz w:val="24"/>
              </w:rPr>
            </w:pPr>
            <w:r>
              <w:rPr>
                <w:rFonts w:hAnsi="黑体" w:eastAsia="黑体"/>
                <w:color w:val="auto"/>
                <w:sz w:val="24"/>
              </w:rPr>
              <w:t>表</w:t>
            </w:r>
            <w:r>
              <w:rPr>
                <w:rFonts w:hint="eastAsia" w:hAnsi="黑体" w:eastAsia="黑体"/>
                <w:color w:val="auto"/>
                <w:sz w:val="24"/>
              </w:rPr>
              <w:t xml:space="preserve">55  </w:t>
            </w:r>
            <w:r>
              <w:rPr>
                <w:rFonts w:hAnsi="黑体" w:eastAsia="黑体"/>
                <w:color w:val="auto"/>
                <w:sz w:val="24"/>
              </w:rPr>
              <w:t>环境保护图形标志的形状及颜色表</w:t>
            </w:r>
          </w:p>
          <w:tbl>
            <w:tblPr>
              <w:tblStyle w:val="34"/>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036"/>
              <w:gridCol w:w="2036"/>
              <w:gridCol w:w="2036"/>
              <w:gridCol w:w="2037"/>
            </w:tblGrid>
            <w:tr w14:paraId="77ED4B7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1250" w:type="pct"/>
                  <w:tcBorders>
                    <w:tl2br w:val="nil"/>
                    <w:tr2bl w:val="nil"/>
                  </w:tcBorders>
                  <w:vAlign w:val="center"/>
                </w:tcPr>
                <w:p w14:paraId="78B6969F">
                  <w:pPr>
                    <w:spacing w:line="276" w:lineRule="auto"/>
                    <w:jc w:val="center"/>
                    <w:rPr>
                      <w:b/>
                      <w:color w:val="auto"/>
                      <w:spacing w:val="-2"/>
                      <w:szCs w:val="21"/>
                    </w:rPr>
                  </w:pPr>
                  <w:r>
                    <w:rPr>
                      <w:rFonts w:hAnsi="宋体"/>
                      <w:b/>
                      <w:color w:val="auto"/>
                      <w:szCs w:val="21"/>
                    </w:rPr>
                    <w:t>标志名称</w:t>
                  </w:r>
                </w:p>
              </w:tc>
              <w:tc>
                <w:tcPr>
                  <w:tcW w:w="1250" w:type="pct"/>
                  <w:tcBorders>
                    <w:tl2br w:val="nil"/>
                    <w:tr2bl w:val="nil"/>
                  </w:tcBorders>
                  <w:vAlign w:val="center"/>
                </w:tcPr>
                <w:p w14:paraId="1B854371">
                  <w:pPr>
                    <w:spacing w:line="276" w:lineRule="auto"/>
                    <w:jc w:val="center"/>
                    <w:rPr>
                      <w:b/>
                      <w:color w:val="auto"/>
                      <w:spacing w:val="-2"/>
                      <w:szCs w:val="21"/>
                    </w:rPr>
                  </w:pPr>
                  <w:r>
                    <w:rPr>
                      <w:rFonts w:hAnsi="宋体"/>
                      <w:b/>
                      <w:color w:val="auto"/>
                      <w:szCs w:val="21"/>
                    </w:rPr>
                    <w:t>形状</w:t>
                  </w:r>
                </w:p>
              </w:tc>
              <w:tc>
                <w:tcPr>
                  <w:tcW w:w="1250" w:type="pct"/>
                  <w:tcBorders>
                    <w:tl2br w:val="nil"/>
                    <w:tr2bl w:val="nil"/>
                  </w:tcBorders>
                  <w:vAlign w:val="center"/>
                </w:tcPr>
                <w:p w14:paraId="4C9FD38B">
                  <w:pPr>
                    <w:spacing w:line="276" w:lineRule="auto"/>
                    <w:jc w:val="center"/>
                    <w:rPr>
                      <w:b/>
                      <w:color w:val="auto"/>
                      <w:spacing w:val="-2"/>
                      <w:szCs w:val="21"/>
                    </w:rPr>
                  </w:pPr>
                  <w:r>
                    <w:rPr>
                      <w:rFonts w:hAnsi="宋体"/>
                      <w:b/>
                      <w:color w:val="auto"/>
                      <w:szCs w:val="21"/>
                    </w:rPr>
                    <w:t>背景颜色</w:t>
                  </w:r>
                </w:p>
              </w:tc>
              <w:tc>
                <w:tcPr>
                  <w:tcW w:w="1250" w:type="pct"/>
                  <w:tcBorders>
                    <w:tl2br w:val="nil"/>
                    <w:tr2bl w:val="nil"/>
                  </w:tcBorders>
                  <w:vAlign w:val="center"/>
                </w:tcPr>
                <w:p w14:paraId="0AE882A6">
                  <w:pPr>
                    <w:spacing w:line="276" w:lineRule="auto"/>
                    <w:jc w:val="center"/>
                    <w:rPr>
                      <w:b/>
                      <w:color w:val="auto"/>
                      <w:spacing w:val="-2"/>
                      <w:szCs w:val="21"/>
                    </w:rPr>
                  </w:pPr>
                  <w:r>
                    <w:rPr>
                      <w:rFonts w:hAnsi="宋体"/>
                      <w:b/>
                      <w:color w:val="auto"/>
                      <w:szCs w:val="21"/>
                    </w:rPr>
                    <w:t>图形颜色</w:t>
                  </w:r>
                </w:p>
              </w:tc>
            </w:tr>
            <w:tr w14:paraId="11922B0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1250" w:type="pct"/>
                  <w:tcBorders>
                    <w:tl2br w:val="nil"/>
                    <w:tr2bl w:val="nil"/>
                  </w:tcBorders>
                  <w:vAlign w:val="center"/>
                </w:tcPr>
                <w:p w14:paraId="6559A61F">
                  <w:pPr>
                    <w:spacing w:line="276" w:lineRule="auto"/>
                    <w:jc w:val="center"/>
                    <w:rPr>
                      <w:color w:val="auto"/>
                      <w:spacing w:val="-2"/>
                      <w:szCs w:val="21"/>
                    </w:rPr>
                  </w:pPr>
                  <w:r>
                    <w:rPr>
                      <w:rFonts w:hAnsi="宋体"/>
                      <w:color w:val="auto"/>
                      <w:szCs w:val="21"/>
                    </w:rPr>
                    <w:t>警告标志</w:t>
                  </w:r>
                </w:p>
              </w:tc>
              <w:tc>
                <w:tcPr>
                  <w:tcW w:w="1250" w:type="pct"/>
                  <w:tcBorders>
                    <w:tl2br w:val="nil"/>
                    <w:tr2bl w:val="nil"/>
                  </w:tcBorders>
                  <w:vAlign w:val="center"/>
                </w:tcPr>
                <w:p w14:paraId="5AE61355">
                  <w:pPr>
                    <w:spacing w:line="276" w:lineRule="auto"/>
                    <w:jc w:val="center"/>
                    <w:rPr>
                      <w:color w:val="auto"/>
                      <w:spacing w:val="-2"/>
                      <w:szCs w:val="21"/>
                    </w:rPr>
                  </w:pPr>
                  <w:r>
                    <w:rPr>
                      <w:rFonts w:hAnsi="宋体"/>
                      <w:color w:val="auto"/>
                      <w:szCs w:val="21"/>
                    </w:rPr>
                    <w:t>三角形边框</w:t>
                  </w:r>
                </w:p>
              </w:tc>
              <w:tc>
                <w:tcPr>
                  <w:tcW w:w="1250" w:type="pct"/>
                  <w:tcBorders>
                    <w:tl2br w:val="nil"/>
                    <w:tr2bl w:val="nil"/>
                  </w:tcBorders>
                  <w:vAlign w:val="center"/>
                </w:tcPr>
                <w:p w14:paraId="79BC1877">
                  <w:pPr>
                    <w:spacing w:line="276" w:lineRule="auto"/>
                    <w:jc w:val="center"/>
                    <w:rPr>
                      <w:color w:val="auto"/>
                      <w:spacing w:val="-2"/>
                      <w:szCs w:val="21"/>
                    </w:rPr>
                  </w:pPr>
                  <w:r>
                    <w:rPr>
                      <w:rFonts w:hAnsi="宋体"/>
                      <w:color w:val="auto"/>
                      <w:szCs w:val="21"/>
                    </w:rPr>
                    <w:t>黄色</w:t>
                  </w:r>
                </w:p>
              </w:tc>
              <w:tc>
                <w:tcPr>
                  <w:tcW w:w="1250" w:type="pct"/>
                  <w:tcBorders>
                    <w:tl2br w:val="nil"/>
                    <w:tr2bl w:val="nil"/>
                  </w:tcBorders>
                  <w:vAlign w:val="center"/>
                </w:tcPr>
                <w:p w14:paraId="16D5F02C">
                  <w:pPr>
                    <w:spacing w:line="276" w:lineRule="auto"/>
                    <w:jc w:val="center"/>
                    <w:rPr>
                      <w:color w:val="auto"/>
                      <w:spacing w:val="-2"/>
                      <w:szCs w:val="21"/>
                    </w:rPr>
                  </w:pPr>
                  <w:r>
                    <w:rPr>
                      <w:rFonts w:hAnsi="宋体"/>
                      <w:color w:val="auto"/>
                      <w:szCs w:val="21"/>
                    </w:rPr>
                    <w:t>黑色</w:t>
                  </w:r>
                </w:p>
              </w:tc>
            </w:tr>
            <w:tr w14:paraId="5D6677A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1250" w:type="pct"/>
                  <w:tcBorders>
                    <w:tl2br w:val="nil"/>
                    <w:tr2bl w:val="nil"/>
                  </w:tcBorders>
                  <w:vAlign w:val="center"/>
                </w:tcPr>
                <w:p w14:paraId="475A4281">
                  <w:pPr>
                    <w:spacing w:line="276" w:lineRule="auto"/>
                    <w:jc w:val="center"/>
                    <w:rPr>
                      <w:color w:val="auto"/>
                      <w:spacing w:val="-2"/>
                      <w:szCs w:val="21"/>
                    </w:rPr>
                  </w:pPr>
                  <w:r>
                    <w:rPr>
                      <w:rFonts w:hAnsi="宋体"/>
                      <w:color w:val="auto"/>
                      <w:szCs w:val="21"/>
                    </w:rPr>
                    <w:t>提示标志</w:t>
                  </w:r>
                </w:p>
              </w:tc>
              <w:tc>
                <w:tcPr>
                  <w:tcW w:w="1250" w:type="pct"/>
                  <w:tcBorders>
                    <w:tl2br w:val="nil"/>
                    <w:tr2bl w:val="nil"/>
                  </w:tcBorders>
                  <w:vAlign w:val="center"/>
                </w:tcPr>
                <w:p w14:paraId="03DFFD97">
                  <w:pPr>
                    <w:spacing w:line="276" w:lineRule="auto"/>
                    <w:jc w:val="center"/>
                    <w:rPr>
                      <w:color w:val="auto"/>
                      <w:spacing w:val="-2"/>
                      <w:szCs w:val="21"/>
                    </w:rPr>
                  </w:pPr>
                  <w:r>
                    <w:rPr>
                      <w:rFonts w:hAnsi="宋体"/>
                      <w:color w:val="auto"/>
                      <w:szCs w:val="21"/>
                    </w:rPr>
                    <w:t>正方形边框</w:t>
                  </w:r>
                </w:p>
              </w:tc>
              <w:tc>
                <w:tcPr>
                  <w:tcW w:w="1250" w:type="pct"/>
                  <w:tcBorders>
                    <w:tl2br w:val="nil"/>
                    <w:tr2bl w:val="nil"/>
                  </w:tcBorders>
                  <w:vAlign w:val="center"/>
                </w:tcPr>
                <w:p w14:paraId="3C629E21">
                  <w:pPr>
                    <w:spacing w:line="276" w:lineRule="auto"/>
                    <w:jc w:val="center"/>
                    <w:rPr>
                      <w:color w:val="auto"/>
                      <w:spacing w:val="-2"/>
                      <w:szCs w:val="21"/>
                    </w:rPr>
                  </w:pPr>
                  <w:r>
                    <w:rPr>
                      <w:rFonts w:hAnsi="宋体"/>
                      <w:color w:val="auto"/>
                      <w:szCs w:val="21"/>
                    </w:rPr>
                    <w:t>绿色</w:t>
                  </w:r>
                </w:p>
              </w:tc>
              <w:tc>
                <w:tcPr>
                  <w:tcW w:w="1250" w:type="pct"/>
                  <w:tcBorders>
                    <w:tl2br w:val="nil"/>
                    <w:tr2bl w:val="nil"/>
                  </w:tcBorders>
                  <w:vAlign w:val="center"/>
                </w:tcPr>
                <w:p w14:paraId="0A70189C">
                  <w:pPr>
                    <w:spacing w:line="276" w:lineRule="auto"/>
                    <w:jc w:val="center"/>
                    <w:rPr>
                      <w:color w:val="auto"/>
                      <w:spacing w:val="-2"/>
                      <w:szCs w:val="21"/>
                    </w:rPr>
                  </w:pPr>
                  <w:r>
                    <w:rPr>
                      <w:rFonts w:hAnsi="宋体"/>
                      <w:color w:val="auto"/>
                      <w:szCs w:val="21"/>
                    </w:rPr>
                    <w:t>白色</w:t>
                  </w:r>
                </w:p>
              </w:tc>
            </w:tr>
          </w:tbl>
          <w:p w14:paraId="4828262B">
            <w:pPr>
              <w:spacing w:line="276" w:lineRule="auto"/>
              <w:rPr>
                <w:rFonts w:hAnsi="黑体" w:eastAsia="黑体"/>
                <w:color w:val="auto"/>
                <w:sz w:val="24"/>
              </w:rPr>
            </w:pPr>
          </w:p>
          <w:p w14:paraId="62540F39">
            <w:pPr>
              <w:spacing w:line="276" w:lineRule="auto"/>
              <w:jc w:val="left"/>
              <w:rPr>
                <w:rFonts w:hAnsi="黑体" w:eastAsia="黑体"/>
                <w:color w:val="auto"/>
                <w:sz w:val="24"/>
              </w:rPr>
            </w:pPr>
          </w:p>
          <w:p w14:paraId="22852417">
            <w:pPr>
              <w:spacing w:line="276" w:lineRule="auto"/>
              <w:jc w:val="left"/>
              <w:rPr>
                <w:rFonts w:hAnsi="黑体" w:eastAsia="黑体"/>
                <w:color w:val="auto"/>
                <w:sz w:val="24"/>
              </w:rPr>
            </w:pPr>
          </w:p>
          <w:p w14:paraId="7975C380">
            <w:pPr>
              <w:spacing w:line="276" w:lineRule="auto"/>
              <w:jc w:val="left"/>
              <w:rPr>
                <w:rFonts w:hAnsi="黑体" w:eastAsia="黑体"/>
                <w:color w:val="auto"/>
                <w:sz w:val="24"/>
              </w:rPr>
            </w:pPr>
          </w:p>
          <w:p w14:paraId="39DE0C91">
            <w:pPr>
              <w:spacing w:line="276" w:lineRule="auto"/>
              <w:jc w:val="left"/>
              <w:rPr>
                <w:rFonts w:hAnsi="黑体" w:eastAsia="黑体"/>
                <w:color w:val="auto"/>
                <w:sz w:val="24"/>
              </w:rPr>
            </w:pPr>
          </w:p>
          <w:p w14:paraId="07836C0E">
            <w:pPr>
              <w:spacing w:line="276" w:lineRule="auto"/>
              <w:jc w:val="left"/>
              <w:rPr>
                <w:rFonts w:hAnsi="黑体" w:eastAsia="黑体"/>
                <w:color w:val="auto"/>
                <w:sz w:val="24"/>
              </w:rPr>
            </w:pPr>
          </w:p>
          <w:p w14:paraId="44CF22B6">
            <w:pPr>
              <w:spacing w:line="276" w:lineRule="auto"/>
              <w:jc w:val="left"/>
              <w:rPr>
                <w:rFonts w:hAnsi="黑体" w:eastAsia="黑体"/>
                <w:color w:val="auto"/>
                <w:sz w:val="24"/>
              </w:rPr>
            </w:pPr>
          </w:p>
          <w:p w14:paraId="17CDB1DD">
            <w:pPr>
              <w:spacing w:line="276" w:lineRule="auto"/>
              <w:jc w:val="left"/>
              <w:rPr>
                <w:rFonts w:hAnsi="黑体" w:eastAsia="黑体"/>
                <w:color w:val="auto"/>
                <w:sz w:val="24"/>
              </w:rPr>
            </w:pPr>
          </w:p>
          <w:p w14:paraId="1057110D">
            <w:pPr>
              <w:spacing w:line="276" w:lineRule="auto"/>
              <w:jc w:val="left"/>
              <w:rPr>
                <w:rFonts w:hAnsi="黑体" w:eastAsia="黑体"/>
                <w:color w:val="auto"/>
                <w:sz w:val="24"/>
              </w:rPr>
            </w:pPr>
          </w:p>
          <w:p w14:paraId="597F85EE">
            <w:pPr>
              <w:spacing w:line="276" w:lineRule="auto"/>
              <w:jc w:val="left"/>
              <w:rPr>
                <w:rFonts w:hAnsi="黑体" w:eastAsia="黑体"/>
                <w:color w:val="auto"/>
                <w:sz w:val="24"/>
              </w:rPr>
            </w:pPr>
          </w:p>
          <w:p w14:paraId="3D58C611">
            <w:pPr>
              <w:spacing w:line="276" w:lineRule="auto"/>
              <w:jc w:val="left"/>
              <w:rPr>
                <w:rFonts w:hAnsi="黑体" w:eastAsia="黑体"/>
                <w:color w:val="auto"/>
                <w:sz w:val="24"/>
              </w:rPr>
            </w:pPr>
          </w:p>
          <w:p w14:paraId="070193C1">
            <w:pPr>
              <w:spacing w:line="276" w:lineRule="auto"/>
              <w:jc w:val="left"/>
              <w:rPr>
                <w:rFonts w:hAnsi="黑体" w:eastAsia="黑体"/>
                <w:color w:val="auto"/>
                <w:sz w:val="24"/>
              </w:rPr>
            </w:pPr>
          </w:p>
          <w:p w14:paraId="212F2C66">
            <w:pPr>
              <w:spacing w:line="276" w:lineRule="auto"/>
              <w:jc w:val="left"/>
              <w:rPr>
                <w:rFonts w:hAnsi="黑体" w:eastAsia="黑体"/>
                <w:color w:val="auto"/>
                <w:sz w:val="24"/>
              </w:rPr>
            </w:pPr>
          </w:p>
          <w:p w14:paraId="40816A83">
            <w:pPr>
              <w:spacing w:line="276" w:lineRule="auto"/>
              <w:jc w:val="left"/>
              <w:rPr>
                <w:rFonts w:hAnsi="黑体" w:eastAsia="黑体"/>
                <w:color w:val="auto"/>
                <w:sz w:val="24"/>
              </w:rPr>
            </w:pPr>
          </w:p>
          <w:p w14:paraId="0D6BCC8C">
            <w:pPr>
              <w:spacing w:line="276" w:lineRule="auto"/>
              <w:jc w:val="left"/>
              <w:rPr>
                <w:rFonts w:hAnsi="黑体" w:eastAsia="黑体"/>
                <w:color w:val="auto"/>
                <w:sz w:val="24"/>
              </w:rPr>
            </w:pPr>
          </w:p>
          <w:p w14:paraId="7B3BFC62">
            <w:pPr>
              <w:spacing w:line="276" w:lineRule="auto"/>
              <w:jc w:val="left"/>
              <w:rPr>
                <w:rFonts w:hAnsi="黑体" w:eastAsia="黑体"/>
                <w:color w:val="auto"/>
                <w:sz w:val="24"/>
              </w:rPr>
            </w:pPr>
          </w:p>
          <w:p w14:paraId="410F6C0A">
            <w:pPr>
              <w:spacing w:line="276" w:lineRule="auto"/>
              <w:jc w:val="left"/>
              <w:rPr>
                <w:rFonts w:hAnsi="黑体" w:eastAsia="黑体"/>
                <w:color w:val="auto"/>
                <w:sz w:val="24"/>
              </w:rPr>
            </w:pPr>
          </w:p>
          <w:p w14:paraId="434F1582">
            <w:pPr>
              <w:spacing w:line="276" w:lineRule="auto"/>
              <w:jc w:val="left"/>
              <w:rPr>
                <w:rFonts w:hAnsi="黑体" w:eastAsia="黑体"/>
                <w:color w:val="auto"/>
                <w:sz w:val="24"/>
              </w:rPr>
            </w:pPr>
          </w:p>
          <w:p w14:paraId="6E2E7C72">
            <w:pPr>
              <w:spacing w:line="276" w:lineRule="auto"/>
              <w:jc w:val="left"/>
              <w:rPr>
                <w:rFonts w:hAnsi="黑体" w:eastAsia="黑体"/>
                <w:color w:val="auto"/>
                <w:sz w:val="24"/>
              </w:rPr>
            </w:pPr>
          </w:p>
          <w:p w14:paraId="6087967D">
            <w:pPr>
              <w:spacing w:line="276" w:lineRule="auto"/>
              <w:jc w:val="left"/>
              <w:rPr>
                <w:rFonts w:hAnsi="黑体" w:eastAsia="黑体"/>
                <w:color w:val="auto"/>
                <w:sz w:val="24"/>
              </w:rPr>
            </w:pPr>
          </w:p>
          <w:p w14:paraId="0D8CB777">
            <w:pPr>
              <w:pStyle w:val="108"/>
              <w:spacing w:line="360" w:lineRule="auto"/>
              <w:rPr>
                <w:color w:val="auto"/>
              </w:rPr>
            </w:pPr>
          </w:p>
        </w:tc>
      </w:tr>
    </w:tbl>
    <w:p w14:paraId="5133F157">
      <w:pPr>
        <w:widowControl/>
        <w:outlineLvl w:val="0"/>
        <w:rPr>
          <w:rFonts w:ascii="宋体" w:hAnsi="宋体"/>
          <w:b/>
          <w:bCs/>
          <w:color w:val="auto"/>
          <w:kern w:val="0"/>
          <w:sz w:val="30"/>
          <w:szCs w:val="30"/>
        </w:rPr>
        <w:sectPr>
          <w:footerReference r:id="rId7" w:type="default"/>
          <w:pgSz w:w="11906" w:h="16838"/>
          <w:pgMar w:top="1440" w:right="1508" w:bottom="1440" w:left="1797" w:header="851" w:footer="992" w:gutter="0"/>
          <w:cols w:space="720" w:num="1"/>
          <w:docGrid w:type="lines" w:linePitch="312" w:charSpace="0"/>
        </w:sectPr>
      </w:pPr>
    </w:p>
    <w:bookmarkEnd w:id="10"/>
    <w:p w14:paraId="024CCF56">
      <w:pPr>
        <w:widowControl/>
        <w:jc w:val="center"/>
        <w:outlineLvl w:val="0"/>
        <w:rPr>
          <w:rFonts w:ascii="宋体" w:hAnsi="宋体"/>
          <w:b/>
          <w:bCs/>
          <w:color w:val="auto"/>
          <w:kern w:val="0"/>
          <w:sz w:val="30"/>
          <w:szCs w:val="30"/>
        </w:rPr>
      </w:pPr>
      <w:r>
        <w:rPr>
          <w:rFonts w:hint="eastAsia" w:ascii="宋体" w:hAnsi="宋体"/>
          <w:b/>
          <w:bCs/>
          <w:color w:val="auto"/>
          <w:kern w:val="0"/>
          <w:sz w:val="30"/>
          <w:szCs w:val="30"/>
        </w:rPr>
        <w:t>五、环境</w:t>
      </w:r>
      <w:r>
        <w:rPr>
          <w:rFonts w:ascii="宋体" w:hAnsi="宋体"/>
          <w:b/>
          <w:bCs/>
          <w:color w:val="auto"/>
          <w:kern w:val="0"/>
          <w:sz w:val="30"/>
          <w:szCs w:val="30"/>
        </w:rPr>
        <w:t>保护措施监督检查清单</w:t>
      </w:r>
    </w:p>
    <w:tbl>
      <w:tblPr>
        <w:tblStyle w:val="3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4"/>
        <w:gridCol w:w="1748"/>
        <w:gridCol w:w="1536"/>
        <w:gridCol w:w="2268"/>
        <w:gridCol w:w="2331"/>
      </w:tblGrid>
      <w:tr w14:paraId="32199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 w:hRule="atLeast"/>
          <w:jc w:val="center"/>
        </w:trPr>
        <w:tc>
          <w:tcPr>
            <w:tcW w:w="530" w:type="pct"/>
            <w:tcBorders>
              <w:top w:val="single" w:color="000000" w:sz="6" w:space="0"/>
              <w:left w:val="single" w:color="000000" w:sz="6" w:space="0"/>
              <w:tl2br w:val="single" w:color="auto" w:sz="6" w:space="0"/>
            </w:tcBorders>
            <w:vAlign w:val="center"/>
          </w:tcPr>
          <w:p w14:paraId="65E87051">
            <w:pPr>
              <w:spacing w:line="276" w:lineRule="auto"/>
              <w:jc w:val="right"/>
              <w:rPr>
                <w:b/>
                <w:bCs/>
                <w:color w:val="auto"/>
                <w:sz w:val="24"/>
                <w:szCs w:val="24"/>
              </w:rPr>
            </w:pPr>
            <w:r>
              <w:rPr>
                <w:b/>
                <w:bCs/>
                <w:color w:val="auto"/>
                <w:sz w:val="24"/>
                <w:szCs w:val="24"/>
              </w:rPr>
              <w:t>内容</w:t>
            </w:r>
          </w:p>
          <w:p w14:paraId="559BA12B">
            <w:pPr>
              <w:spacing w:line="276" w:lineRule="auto"/>
              <w:jc w:val="left"/>
              <w:rPr>
                <w:b/>
                <w:bCs/>
                <w:color w:val="auto"/>
                <w:sz w:val="24"/>
                <w:szCs w:val="24"/>
              </w:rPr>
            </w:pPr>
            <w:r>
              <w:rPr>
                <w:rFonts w:hint="eastAsia"/>
                <w:b/>
                <w:bCs/>
                <w:color w:val="auto"/>
                <w:sz w:val="24"/>
                <w:szCs w:val="24"/>
              </w:rPr>
              <w:t>要素</w:t>
            </w:r>
          </w:p>
        </w:tc>
        <w:tc>
          <w:tcPr>
            <w:tcW w:w="991" w:type="pct"/>
            <w:tcBorders>
              <w:top w:val="single" w:color="000000" w:sz="6" w:space="0"/>
            </w:tcBorders>
            <w:vAlign w:val="center"/>
          </w:tcPr>
          <w:p w14:paraId="30C5E46A">
            <w:pPr>
              <w:spacing w:line="276" w:lineRule="auto"/>
              <w:jc w:val="center"/>
              <w:rPr>
                <w:b/>
                <w:bCs/>
                <w:color w:val="auto"/>
                <w:sz w:val="24"/>
                <w:szCs w:val="24"/>
              </w:rPr>
            </w:pPr>
            <w:r>
              <w:rPr>
                <w:rFonts w:hint="eastAsia"/>
                <w:b/>
                <w:bCs/>
                <w:color w:val="auto"/>
                <w:sz w:val="24"/>
                <w:szCs w:val="24"/>
              </w:rPr>
              <w:t>排放口（编号、名称）/污染源</w:t>
            </w:r>
          </w:p>
        </w:tc>
        <w:tc>
          <w:tcPr>
            <w:tcW w:w="871" w:type="pct"/>
            <w:tcBorders>
              <w:top w:val="single" w:color="000000" w:sz="6" w:space="0"/>
            </w:tcBorders>
            <w:vAlign w:val="center"/>
          </w:tcPr>
          <w:p w14:paraId="56A0D58C">
            <w:pPr>
              <w:spacing w:line="276" w:lineRule="auto"/>
              <w:jc w:val="center"/>
              <w:rPr>
                <w:b/>
                <w:bCs/>
                <w:color w:val="auto"/>
                <w:sz w:val="24"/>
                <w:szCs w:val="24"/>
              </w:rPr>
            </w:pPr>
            <w:r>
              <w:rPr>
                <w:rFonts w:hint="eastAsia"/>
                <w:b/>
                <w:bCs/>
                <w:color w:val="auto"/>
                <w:sz w:val="24"/>
                <w:szCs w:val="24"/>
              </w:rPr>
              <w:t>污染物</w:t>
            </w:r>
            <w:r>
              <w:rPr>
                <w:b/>
                <w:bCs/>
                <w:color w:val="auto"/>
                <w:sz w:val="24"/>
                <w:szCs w:val="24"/>
              </w:rPr>
              <w:t>项目</w:t>
            </w:r>
          </w:p>
        </w:tc>
        <w:tc>
          <w:tcPr>
            <w:tcW w:w="1286" w:type="pct"/>
            <w:tcBorders>
              <w:top w:val="single" w:color="000000" w:sz="6" w:space="0"/>
            </w:tcBorders>
            <w:vAlign w:val="center"/>
          </w:tcPr>
          <w:p w14:paraId="4085E4D0">
            <w:pPr>
              <w:widowControl/>
              <w:spacing w:line="276" w:lineRule="auto"/>
              <w:jc w:val="center"/>
              <w:rPr>
                <w:b/>
                <w:bCs/>
                <w:color w:val="auto"/>
                <w:kern w:val="0"/>
                <w:sz w:val="24"/>
                <w:szCs w:val="24"/>
              </w:rPr>
            </w:pPr>
            <w:r>
              <w:rPr>
                <w:rFonts w:hint="eastAsia"/>
                <w:b/>
                <w:bCs/>
                <w:color w:val="auto"/>
                <w:kern w:val="0"/>
                <w:sz w:val="24"/>
                <w:szCs w:val="24"/>
              </w:rPr>
              <w:t>环境保护措施</w:t>
            </w:r>
          </w:p>
        </w:tc>
        <w:tc>
          <w:tcPr>
            <w:tcW w:w="1321" w:type="pct"/>
            <w:tcBorders>
              <w:top w:val="single" w:color="000000" w:sz="6" w:space="0"/>
              <w:right w:val="single" w:color="000000" w:sz="6" w:space="0"/>
            </w:tcBorders>
            <w:vAlign w:val="center"/>
          </w:tcPr>
          <w:p w14:paraId="0A22E66C">
            <w:pPr>
              <w:widowControl/>
              <w:spacing w:line="276" w:lineRule="auto"/>
              <w:jc w:val="center"/>
              <w:rPr>
                <w:b/>
                <w:bCs/>
                <w:color w:val="auto"/>
                <w:kern w:val="0"/>
                <w:sz w:val="24"/>
                <w:szCs w:val="24"/>
              </w:rPr>
            </w:pPr>
            <w:r>
              <w:rPr>
                <w:rFonts w:hint="eastAsia"/>
                <w:b/>
                <w:bCs/>
                <w:color w:val="auto"/>
                <w:kern w:val="0"/>
                <w:sz w:val="24"/>
                <w:szCs w:val="24"/>
              </w:rPr>
              <w:t>执行</w:t>
            </w:r>
            <w:r>
              <w:rPr>
                <w:b/>
                <w:bCs/>
                <w:color w:val="auto"/>
                <w:kern w:val="0"/>
                <w:sz w:val="24"/>
                <w:szCs w:val="24"/>
              </w:rPr>
              <w:t>标准</w:t>
            </w:r>
          </w:p>
        </w:tc>
      </w:tr>
      <w:tr w14:paraId="033F5C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530" w:type="pct"/>
            <w:vMerge w:val="restart"/>
            <w:tcBorders>
              <w:left w:val="single" w:color="000000" w:sz="6" w:space="0"/>
            </w:tcBorders>
            <w:vAlign w:val="center"/>
          </w:tcPr>
          <w:p w14:paraId="6ECA9B10">
            <w:pPr>
              <w:spacing w:line="276" w:lineRule="auto"/>
              <w:jc w:val="center"/>
              <w:rPr>
                <w:color w:val="auto"/>
                <w:sz w:val="24"/>
                <w:szCs w:val="24"/>
              </w:rPr>
            </w:pPr>
            <w:r>
              <w:rPr>
                <w:color w:val="auto"/>
                <w:sz w:val="24"/>
                <w:szCs w:val="24"/>
              </w:rPr>
              <w:t>大气</w:t>
            </w:r>
          </w:p>
          <w:p w14:paraId="16A2BA1C">
            <w:pPr>
              <w:spacing w:line="276" w:lineRule="auto"/>
              <w:jc w:val="center"/>
              <w:rPr>
                <w:color w:val="auto"/>
                <w:sz w:val="24"/>
                <w:szCs w:val="24"/>
              </w:rPr>
            </w:pPr>
            <w:r>
              <w:rPr>
                <w:color w:val="auto"/>
                <w:sz w:val="24"/>
                <w:szCs w:val="24"/>
              </w:rPr>
              <w:t>污染</w:t>
            </w:r>
          </w:p>
          <w:p w14:paraId="69F55FCE">
            <w:pPr>
              <w:spacing w:line="276" w:lineRule="auto"/>
              <w:jc w:val="center"/>
              <w:rPr>
                <w:color w:val="auto"/>
                <w:kern w:val="0"/>
                <w:sz w:val="24"/>
                <w:szCs w:val="24"/>
              </w:rPr>
            </w:pPr>
            <w:r>
              <w:rPr>
                <w:color w:val="auto"/>
                <w:sz w:val="24"/>
                <w:szCs w:val="24"/>
              </w:rPr>
              <w:t>物</w:t>
            </w:r>
          </w:p>
        </w:tc>
        <w:tc>
          <w:tcPr>
            <w:tcW w:w="991" w:type="pct"/>
            <w:vAlign w:val="center"/>
          </w:tcPr>
          <w:p w14:paraId="4ECBF4A4">
            <w:pPr>
              <w:spacing w:line="276" w:lineRule="auto"/>
              <w:jc w:val="center"/>
              <w:rPr>
                <w:color w:val="auto"/>
                <w:sz w:val="24"/>
                <w:szCs w:val="24"/>
              </w:rPr>
            </w:pPr>
            <w:r>
              <w:rPr>
                <w:rFonts w:hint="eastAsia"/>
                <w:color w:val="auto"/>
                <w:sz w:val="24"/>
                <w:szCs w:val="24"/>
              </w:rPr>
              <w:t>DA010/喷涂工序</w:t>
            </w:r>
          </w:p>
        </w:tc>
        <w:tc>
          <w:tcPr>
            <w:tcW w:w="871" w:type="pct"/>
            <w:vAlign w:val="center"/>
          </w:tcPr>
          <w:p w14:paraId="67CE4485">
            <w:pPr>
              <w:spacing w:line="276" w:lineRule="auto"/>
              <w:jc w:val="center"/>
              <w:rPr>
                <w:color w:val="auto"/>
                <w:sz w:val="24"/>
                <w:szCs w:val="24"/>
              </w:rPr>
            </w:pPr>
            <w:r>
              <w:rPr>
                <w:color w:val="auto"/>
                <w:sz w:val="24"/>
                <w:szCs w:val="24"/>
              </w:rPr>
              <w:t>非甲烷总烃</w:t>
            </w:r>
          </w:p>
        </w:tc>
        <w:tc>
          <w:tcPr>
            <w:tcW w:w="1286" w:type="pct"/>
            <w:vAlign w:val="center"/>
          </w:tcPr>
          <w:p w14:paraId="6F335396">
            <w:pPr>
              <w:spacing w:line="276" w:lineRule="auto"/>
              <w:jc w:val="center"/>
              <w:rPr>
                <w:bCs/>
                <w:color w:val="auto"/>
                <w:sz w:val="24"/>
                <w:szCs w:val="24"/>
              </w:rPr>
            </w:pPr>
            <w:r>
              <w:rPr>
                <w:rFonts w:hint="eastAsia"/>
                <w:color w:val="auto"/>
                <w:sz w:val="24"/>
                <w:szCs w:val="24"/>
              </w:rPr>
              <w:t>废气经集气罩收集后通过1套两级活性炭吸附装置处理达标后，由新增的20m高排气筒（D</w:t>
            </w:r>
            <w:r>
              <w:rPr>
                <w:color w:val="auto"/>
                <w:sz w:val="24"/>
                <w:szCs w:val="24"/>
              </w:rPr>
              <w:t>A0</w:t>
            </w:r>
            <w:r>
              <w:rPr>
                <w:rFonts w:hint="eastAsia"/>
                <w:color w:val="auto"/>
                <w:sz w:val="24"/>
                <w:szCs w:val="24"/>
              </w:rPr>
              <w:t>10）排放</w:t>
            </w:r>
          </w:p>
        </w:tc>
        <w:tc>
          <w:tcPr>
            <w:tcW w:w="1321" w:type="pct"/>
            <w:tcBorders>
              <w:right w:val="single" w:color="000000" w:sz="6" w:space="0"/>
            </w:tcBorders>
            <w:vAlign w:val="center"/>
          </w:tcPr>
          <w:p w14:paraId="4D785320">
            <w:pPr>
              <w:spacing w:line="276" w:lineRule="auto"/>
              <w:jc w:val="center"/>
              <w:rPr>
                <w:color w:val="auto"/>
                <w:kern w:val="0"/>
                <w:sz w:val="24"/>
                <w:szCs w:val="24"/>
              </w:rPr>
            </w:pPr>
            <w:r>
              <w:rPr>
                <w:rFonts w:hint="eastAsia"/>
                <w:color w:val="auto"/>
                <w:spacing w:val="-2"/>
                <w:kern w:val="0"/>
                <w:sz w:val="24"/>
                <w:szCs w:val="20"/>
              </w:rPr>
              <w:t>满足安徽省《固定源挥发性有机物综合排放标准 第6部分：其他行业》（DB34/4812.6-2024）表1中排放限值</w:t>
            </w:r>
          </w:p>
        </w:tc>
      </w:tr>
      <w:tr w14:paraId="19CE4D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530" w:type="pct"/>
            <w:vMerge w:val="continue"/>
            <w:tcBorders>
              <w:left w:val="single" w:color="000000" w:sz="6" w:space="0"/>
            </w:tcBorders>
            <w:vAlign w:val="center"/>
          </w:tcPr>
          <w:p w14:paraId="5E0EC9DA">
            <w:pPr>
              <w:spacing w:line="276" w:lineRule="auto"/>
              <w:jc w:val="center"/>
              <w:rPr>
                <w:color w:val="auto"/>
                <w:sz w:val="24"/>
                <w:szCs w:val="24"/>
              </w:rPr>
            </w:pPr>
          </w:p>
        </w:tc>
        <w:tc>
          <w:tcPr>
            <w:tcW w:w="991" w:type="pct"/>
            <w:vAlign w:val="center"/>
          </w:tcPr>
          <w:p w14:paraId="5B14D112">
            <w:pPr>
              <w:spacing w:line="276" w:lineRule="auto"/>
              <w:jc w:val="center"/>
              <w:rPr>
                <w:color w:val="auto"/>
                <w:sz w:val="24"/>
                <w:szCs w:val="24"/>
              </w:rPr>
            </w:pPr>
            <w:r>
              <w:rPr>
                <w:rFonts w:hint="eastAsia"/>
                <w:color w:val="auto"/>
                <w:sz w:val="24"/>
                <w:szCs w:val="24"/>
              </w:rPr>
              <w:t>DA009/喷涂工序</w:t>
            </w:r>
          </w:p>
        </w:tc>
        <w:tc>
          <w:tcPr>
            <w:tcW w:w="871" w:type="pct"/>
            <w:vAlign w:val="center"/>
          </w:tcPr>
          <w:p w14:paraId="5D73D0F0">
            <w:pPr>
              <w:spacing w:line="276" w:lineRule="auto"/>
              <w:jc w:val="center"/>
              <w:rPr>
                <w:color w:val="auto"/>
                <w:sz w:val="24"/>
                <w:szCs w:val="24"/>
              </w:rPr>
            </w:pPr>
            <w:r>
              <w:rPr>
                <w:color w:val="auto"/>
                <w:sz w:val="24"/>
                <w:szCs w:val="24"/>
              </w:rPr>
              <w:t>非甲烷总烃</w:t>
            </w:r>
          </w:p>
        </w:tc>
        <w:tc>
          <w:tcPr>
            <w:tcW w:w="1286" w:type="pct"/>
            <w:vAlign w:val="center"/>
          </w:tcPr>
          <w:p w14:paraId="1EEB8AFA">
            <w:pPr>
              <w:spacing w:line="276" w:lineRule="auto"/>
              <w:jc w:val="center"/>
              <w:rPr>
                <w:color w:val="auto"/>
                <w:sz w:val="24"/>
                <w:szCs w:val="24"/>
              </w:rPr>
            </w:pPr>
            <w:r>
              <w:rPr>
                <w:rFonts w:hint="eastAsia"/>
                <w:color w:val="auto"/>
                <w:sz w:val="24"/>
                <w:szCs w:val="24"/>
              </w:rPr>
              <w:t>废气经集气罩收集后通过1套两级活性炭吸附装置处理达标后，由现有的45m高排气筒（D</w:t>
            </w:r>
            <w:r>
              <w:rPr>
                <w:color w:val="auto"/>
                <w:sz w:val="24"/>
                <w:szCs w:val="24"/>
              </w:rPr>
              <w:t>A0</w:t>
            </w:r>
            <w:r>
              <w:rPr>
                <w:rFonts w:hint="eastAsia"/>
                <w:color w:val="auto"/>
                <w:sz w:val="24"/>
                <w:szCs w:val="24"/>
              </w:rPr>
              <w:t>09）排放</w:t>
            </w:r>
          </w:p>
        </w:tc>
        <w:tc>
          <w:tcPr>
            <w:tcW w:w="1321" w:type="pct"/>
            <w:tcBorders>
              <w:right w:val="single" w:color="000000" w:sz="6" w:space="0"/>
            </w:tcBorders>
            <w:vAlign w:val="center"/>
          </w:tcPr>
          <w:p w14:paraId="0B5A547D">
            <w:pPr>
              <w:spacing w:line="276" w:lineRule="auto"/>
              <w:jc w:val="center"/>
              <w:rPr>
                <w:color w:val="auto"/>
                <w:sz w:val="24"/>
                <w:szCs w:val="24"/>
              </w:rPr>
            </w:pPr>
            <w:r>
              <w:rPr>
                <w:rFonts w:hint="eastAsia"/>
                <w:color w:val="auto"/>
                <w:spacing w:val="-2"/>
                <w:kern w:val="0"/>
                <w:sz w:val="24"/>
                <w:szCs w:val="20"/>
              </w:rPr>
              <w:t>满足安徽省《固定源挥发性有机物综合排放标准 第6部分：其他行业》（DB34/4812.6-2024）表1中排放限值</w:t>
            </w:r>
          </w:p>
        </w:tc>
      </w:tr>
      <w:tr w14:paraId="137D2B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530" w:type="pct"/>
            <w:vMerge w:val="continue"/>
            <w:tcBorders>
              <w:left w:val="single" w:color="000000" w:sz="6" w:space="0"/>
            </w:tcBorders>
            <w:vAlign w:val="center"/>
          </w:tcPr>
          <w:p w14:paraId="1C4124C6">
            <w:pPr>
              <w:widowControl/>
              <w:spacing w:line="276" w:lineRule="auto"/>
              <w:ind w:right="105"/>
              <w:jc w:val="center"/>
              <w:rPr>
                <w:color w:val="auto"/>
                <w:kern w:val="0"/>
                <w:sz w:val="24"/>
                <w:szCs w:val="24"/>
              </w:rPr>
            </w:pPr>
          </w:p>
        </w:tc>
        <w:tc>
          <w:tcPr>
            <w:tcW w:w="991" w:type="pct"/>
            <w:vAlign w:val="center"/>
          </w:tcPr>
          <w:p w14:paraId="7AC442E8">
            <w:pPr>
              <w:spacing w:line="276" w:lineRule="auto"/>
              <w:jc w:val="center"/>
              <w:rPr>
                <w:color w:val="auto"/>
                <w:sz w:val="24"/>
                <w:szCs w:val="24"/>
              </w:rPr>
            </w:pPr>
            <w:r>
              <w:rPr>
                <w:color w:val="auto"/>
                <w:sz w:val="24"/>
                <w:szCs w:val="24"/>
              </w:rPr>
              <w:t>厂界</w:t>
            </w:r>
          </w:p>
        </w:tc>
        <w:tc>
          <w:tcPr>
            <w:tcW w:w="871" w:type="pct"/>
            <w:vAlign w:val="center"/>
          </w:tcPr>
          <w:p w14:paraId="17735646">
            <w:pPr>
              <w:spacing w:line="276" w:lineRule="auto"/>
              <w:jc w:val="center"/>
              <w:rPr>
                <w:color w:val="auto"/>
                <w:sz w:val="24"/>
                <w:szCs w:val="24"/>
              </w:rPr>
            </w:pPr>
            <w:r>
              <w:rPr>
                <w:color w:val="auto"/>
                <w:sz w:val="24"/>
                <w:szCs w:val="24"/>
              </w:rPr>
              <w:t>非甲烷总烃</w:t>
            </w:r>
          </w:p>
        </w:tc>
        <w:tc>
          <w:tcPr>
            <w:tcW w:w="1286" w:type="pct"/>
            <w:vAlign w:val="center"/>
          </w:tcPr>
          <w:p w14:paraId="645200A1">
            <w:pPr>
              <w:widowControl/>
              <w:spacing w:line="276" w:lineRule="auto"/>
              <w:jc w:val="center"/>
              <w:rPr>
                <w:color w:val="auto"/>
                <w:sz w:val="24"/>
                <w:szCs w:val="24"/>
              </w:rPr>
            </w:pPr>
            <w:r>
              <w:rPr>
                <w:color w:val="auto"/>
                <w:sz w:val="24"/>
                <w:szCs w:val="24"/>
              </w:rPr>
              <w:t>加强车间通风</w:t>
            </w:r>
          </w:p>
        </w:tc>
        <w:tc>
          <w:tcPr>
            <w:tcW w:w="1321" w:type="pct"/>
            <w:tcBorders>
              <w:right w:val="single" w:color="000000" w:sz="6" w:space="0"/>
            </w:tcBorders>
            <w:vAlign w:val="center"/>
          </w:tcPr>
          <w:p w14:paraId="629F224F">
            <w:pPr>
              <w:widowControl/>
              <w:spacing w:line="276" w:lineRule="auto"/>
              <w:jc w:val="center"/>
              <w:rPr>
                <w:rStyle w:val="46"/>
                <w:color w:val="auto"/>
                <w:sz w:val="24"/>
                <w:szCs w:val="24"/>
              </w:rPr>
            </w:pPr>
            <w:r>
              <w:rPr>
                <w:rFonts w:hint="eastAsia"/>
                <w:color w:val="auto"/>
                <w:sz w:val="24"/>
                <w:szCs w:val="24"/>
              </w:rPr>
              <w:t>满足《大气污染物综合排放标准》（GB16297-1996）表2中无组织排放限值要求</w:t>
            </w:r>
          </w:p>
        </w:tc>
      </w:tr>
      <w:tr w14:paraId="6C746F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530" w:type="pct"/>
            <w:vMerge w:val="continue"/>
            <w:tcBorders>
              <w:left w:val="single" w:color="000000" w:sz="6" w:space="0"/>
            </w:tcBorders>
            <w:vAlign w:val="center"/>
          </w:tcPr>
          <w:p w14:paraId="4DE1A493">
            <w:pPr>
              <w:widowControl/>
              <w:spacing w:line="276" w:lineRule="auto"/>
              <w:ind w:right="105"/>
              <w:jc w:val="center"/>
              <w:rPr>
                <w:color w:val="auto"/>
                <w:kern w:val="0"/>
                <w:sz w:val="24"/>
                <w:szCs w:val="24"/>
              </w:rPr>
            </w:pPr>
          </w:p>
        </w:tc>
        <w:tc>
          <w:tcPr>
            <w:tcW w:w="991" w:type="pct"/>
            <w:vAlign w:val="center"/>
          </w:tcPr>
          <w:p w14:paraId="2DED45ED">
            <w:pPr>
              <w:spacing w:line="276" w:lineRule="auto"/>
              <w:jc w:val="center"/>
              <w:rPr>
                <w:color w:val="auto"/>
                <w:sz w:val="24"/>
                <w:szCs w:val="24"/>
              </w:rPr>
            </w:pPr>
            <w:r>
              <w:rPr>
                <w:color w:val="auto"/>
                <w:sz w:val="24"/>
                <w:szCs w:val="24"/>
              </w:rPr>
              <w:t>厂区内</w:t>
            </w:r>
          </w:p>
        </w:tc>
        <w:tc>
          <w:tcPr>
            <w:tcW w:w="871" w:type="pct"/>
            <w:vAlign w:val="center"/>
          </w:tcPr>
          <w:p w14:paraId="085D61B0">
            <w:pPr>
              <w:spacing w:line="276" w:lineRule="auto"/>
              <w:jc w:val="center"/>
              <w:rPr>
                <w:color w:val="auto"/>
                <w:sz w:val="24"/>
                <w:szCs w:val="24"/>
              </w:rPr>
            </w:pPr>
            <w:r>
              <w:rPr>
                <w:rFonts w:hint="eastAsia"/>
                <w:color w:val="auto"/>
                <w:sz w:val="24"/>
                <w:szCs w:val="24"/>
              </w:rPr>
              <w:t>非甲烷总烃</w:t>
            </w:r>
          </w:p>
        </w:tc>
        <w:tc>
          <w:tcPr>
            <w:tcW w:w="1286" w:type="pct"/>
            <w:vAlign w:val="center"/>
          </w:tcPr>
          <w:p w14:paraId="64D03DCD">
            <w:pPr>
              <w:widowControl/>
              <w:spacing w:line="276" w:lineRule="auto"/>
              <w:jc w:val="center"/>
              <w:rPr>
                <w:color w:val="auto"/>
                <w:sz w:val="24"/>
                <w:szCs w:val="24"/>
              </w:rPr>
            </w:pPr>
            <w:r>
              <w:rPr>
                <w:rFonts w:hint="eastAsia"/>
                <w:color w:val="auto"/>
                <w:sz w:val="24"/>
                <w:szCs w:val="24"/>
              </w:rPr>
              <w:t>/</w:t>
            </w:r>
          </w:p>
        </w:tc>
        <w:tc>
          <w:tcPr>
            <w:tcW w:w="1321" w:type="pct"/>
            <w:tcBorders>
              <w:right w:val="single" w:color="000000" w:sz="6" w:space="0"/>
            </w:tcBorders>
            <w:vAlign w:val="center"/>
          </w:tcPr>
          <w:p w14:paraId="6A95A355">
            <w:pPr>
              <w:spacing w:line="276" w:lineRule="auto"/>
              <w:jc w:val="center"/>
              <w:rPr>
                <w:color w:val="auto"/>
                <w:sz w:val="24"/>
                <w:szCs w:val="24"/>
              </w:rPr>
            </w:pPr>
            <w:r>
              <w:rPr>
                <w:rFonts w:hint="eastAsia"/>
                <w:color w:val="auto"/>
                <w:spacing w:val="-2"/>
                <w:kern w:val="0"/>
                <w:sz w:val="24"/>
                <w:szCs w:val="20"/>
              </w:rPr>
              <w:t>满足安徽省《固定源挥发性有机物综合排放标准 第6部分：其他行业》（DB34/4812.6-2024）表4中排放限值</w:t>
            </w:r>
          </w:p>
        </w:tc>
      </w:tr>
      <w:tr w14:paraId="35CBEA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530" w:type="pct"/>
            <w:tcBorders>
              <w:left w:val="single" w:color="000000" w:sz="6" w:space="0"/>
            </w:tcBorders>
            <w:vAlign w:val="center"/>
          </w:tcPr>
          <w:p w14:paraId="73348E87">
            <w:pPr>
              <w:spacing w:line="276" w:lineRule="auto"/>
              <w:jc w:val="center"/>
              <w:rPr>
                <w:color w:val="auto"/>
                <w:kern w:val="0"/>
                <w:sz w:val="24"/>
                <w:szCs w:val="24"/>
              </w:rPr>
            </w:pPr>
            <w:r>
              <w:rPr>
                <w:color w:val="auto"/>
                <w:sz w:val="24"/>
                <w:szCs w:val="24"/>
              </w:rPr>
              <w:t>水污染物</w:t>
            </w:r>
          </w:p>
        </w:tc>
        <w:tc>
          <w:tcPr>
            <w:tcW w:w="991" w:type="pct"/>
            <w:vAlign w:val="center"/>
          </w:tcPr>
          <w:p w14:paraId="7E4A0B98">
            <w:pPr>
              <w:spacing w:line="276" w:lineRule="auto"/>
              <w:jc w:val="center"/>
              <w:rPr>
                <w:color w:val="auto"/>
                <w:sz w:val="24"/>
                <w:szCs w:val="24"/>
              </w:rPr>
            </w:pPr>
            <w:r>
              <w:rPr>
                <w:rFonts w:hint="eastAsia"/>
                <w:color w:val="auto"/>
                <w:sz w:val="24"/>
                <w:szCs w:val="24"/>
              </w:rPr>
              <w:t>/</w:t>
            </w:r>
          </w:p>
        </w:tc>
        <w:tc>
          <w:tcPr>
            <w:tcW w:w="871" w:type="pct"/>
            <w:vAlign w:val="center"/>
          </w:tcPr>
          <w:p w14:paraId="42333ADA">
            <w:pPr>
              <w:spacing w:line="276" w:lineRule="auto"/>
              <w:jc w:val="center"/>
              <w:rPr>
                <w:color w:val="auto"/>
                <w:sz w:val="24"/>
                <w:szCs w:val="24"/>
              </w:rPr>
            </w:pPr>
            <w:r>
              <w:rPr>
                <w:rFonts w:hint="eastAsia"/>
                <w:color w:val="auto"/>
                <w:sz w:val="24"/>
                <w:szCs w:val="24"/>
              </w:rPr>
              <w:t>/</w:t>
            </w:r>
          </w:p>
        </w:tc>
        <w:tc>
          <w:tcPr>
            <w:tcW w:w="1286" w:type="pct"/>
            <w:vAlign w:val="center"/>
          </w:tcPr>
          <w:p w14:paraId="115E0FB9">
            <w:pPr>
              <w:spacing w:line="276" w:lineRule="auto"/>
              <w:jc w:val="center"/>
              <w:rPr>
                <w:color w:val="auto"/>
                <w:sz w:val="24"/>
                <w:szCs w:val="24"/>
              </w:rPr>
            </w:pPr>
            <w:r>
              <w:rPr>
                <w:rFonts w:hint="eastAsia"/>
                <w:color w:val="auto"/>
                <w:sz w:val="24"/>
                <w:szCs w:val="24"/>
              </w:rPr>
              <w:t>/</w:t>
            </w:r>
          </w:p>
        </w:tc>
        <w:tc>
          <w:tcPr>
            <w:tcW w:w="1321" w:type="pct"/>
            <w:tcBorders>
              <w:right w:val="single" w:color="000000" w:sz="6" w:space="0"/>
            </w:tcBorders>
            <w:vAlign w:val="center"/>
          </w:tcPr>
          <w:p w14:paraId="48FDAFFF">
            <w:pPr>
              <w:spacing w:line="276" w:lineRule="auto"/>
              <w:jc w:val="center"/>
              <w:rPr>
                <w:rFonts w:hAnsi="宋体"/>
                <w:color w:val="auto"/>
                <w:sz w:val="24"/>
                <w:szCs w:val="24"/>
              </w:rPr>
            </w:pPr>
            <w:r>
              <w:rPr>
                <w:rFonts w:hint="eastAsia" w:hAnsi="宋体"/>
                <w:color w:val="auto"/>
                <w:sz w:val="24"/>
                <w:szCs w:val="24"/>
              </w:rPr>
              <w:t>/</w:t>
            </w:r>
          </w:p>
        </w:tc>
      </w:tr>
      <w:tr w14:paraId="67CC25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530" w:type="pct"/>
            <w:tcBorders>
              <w:left w:val="single" w:color="000000" w:sz="6" w:space="0"/>
            </w:tcBorders>
            <w:vAlign w:val="center"/>
          </w:tcPr>
          <w:p w14:paraId="742A2BB2">
            <w:pPr>
              <w:widowControl/>
              <w:spacing w:line="276" w:lineRule="auto"/>
              <w:ind w:right="105"/>
              <w:jc w:val="center"/>
              <w:rPr>
                <w:color w:val="auto"/>
                <w:kern w:val="0"/>
                <w:sz w:val="24"/>
                <w:szCs w:val="24"/>
              </w:rPr>
            </w:pPr>
            <w:r>
              <w:rPr>
                <w:color w:val="auto"/>
                <w:kern w:val="0"/>
                <w:sz w:val="24"/>
                <w:szCs w:val="24"/>
              </w:rPr>
              <w:t>声环境</w:t>
            </w:r>
          </w:p>
        </w:tc>
        <w:tc>
          <w:tcPr>
            <w:tcW w:w="991" w:type="pct"/>
            <w:vAlign w:val="center"/>
          </w:tcPr>
          <w:p w14:paraId="1FA05967">
            <w:pPr>
              <w:spacing w:line="276" w:lineRule="auto"/>
              <w:jc w:val="center"/>
              <w:rPr>
                <w:color w:val="auto"/>
                <w:sz w:val="24"/>
                <w:szCs w:val="24"/>
              </w:rPr>
            </w:pPr>
            <w:r>
              <w:rPr>
                <w:color w:val="auto"/>
                <w:sz w:val="24"/>
                <w:szCs w:val="24"/>
              </w:rPr>
              <w:t>厂界四周</w:t>
            </w:r>
          </w:p>
        </w:tc>
        <w:tc>
          <w:tcPr>
            <w:tcW w:w="871" w:type="pct"/>
            <w:vAlign w:val="center"/>
          </w:tcPr>
          <w:p w14:paraId="671D0F06">
            <w:pPr>
              <w:autoSpaceDE w:val="0"/>
              <w:autoSpaceDN w:val="0"/>
              <w:adjustRightInd w:val="0"/>
              <w:spacing w:line="276" w:lineRule="auto"/>
              <w:jc w:val="center"/>
              <w:rPr>
                <w:color w:val="auto"/>
                <w:sz w:val="24"/>
                <w:szCs w:val="24"/>
              </w:rPr>
            </w:pPr>
            <w:r>
              <w:rPr>
                <w:color w:val="auto"/>
                <w:sz w:val="24"/>
                <w:szCs w:val="24"/>
              </w:rPr>
              <w:t>噪声</w:t>
            </w:r>
          </w:p>
        </w:tc>
        <w:tc>
          <w:tcPr>
            <w:tcW w:w="1286" w:type="pct"/>
            <w:vAlign w:val="center"/>
          </w:tcPr>
          <w:p w14:paraId="7767211C">
            <w:pPr>
              <w:spacing w:line="276" w:lineRule="auto"/>
              <w:jc w:val="left"/>
              <w:rPr>
                <w:color w:val="auto"/>
                <w:sz w:val="24"/>
                <w:szCs w:val="24"/>
              </w:rPr>
            </w:pPr>
            <w:r>
              <w:rPr>
                <w:rFonts w:hint="eastAsia"/>
                <w:color w:val="auto"/>
                <w:sz w:val="24"/>
                <w:szCs w:val="24"/>
              </w:rPr>
              <w:t>①项目使用的高噪声设备均设有减震底座，厂房四壁均使用隔声性能较好的材料建设；</w:t>
            </w:r>
          </w:p>
          <w:p w14:paraId="13ED0423">
            <w:pPr>
              <w:spacing w:line="276" w:lineRule="auto"/>
              <w:jc w:val="left"/>
              <w:rPr>
                <w:color w:val="auto"/>
                <w:sz w:val="24"/>
                <w:szCs w:val="24"/>
              </w:rPr>
            </w:pPr>
            <w:r>
              <w:rPr>
                <w:rFonts w:hint="eastAsia"/>
                <w:color w:val="auto"/>
                <w:sz w:val="24"/>
                <w:szCs w:val="24"/>
              </w:rPr>
              <w:t>②</w:t>
            </w:r>
            <w:r>
              <w:rPr>
                <w:bCs/>
                <w:color w:val="auto"/>
                <w:sz w:val="24"/>
                <w:szCs w:val="24"/>
              </w:rPr>
              <w:t>对排风管道采取消声减震措施，并在墙上进行加固，减少因风机噪声和管道振动引起的低频噪声对周围环境和自身的影响。</w:t>
            </w:r>
          </w:p>
        </w:tc>
        <w:tc>
          <w:tcPr>
            <w:tcW w:w="1321" w:type="pct"/>
            <w:tcBorders>
              <w:right w:val="single" w:color="000000" w:sz="6" w:space="0"/>
            </w:tcBorders>
            <w:vAlign w:val="center"/>
          </w:tcPr>
          <w:p w14:paraId="0E920C95">
            <w:pPr>
              <w:pStyle w:val="108"/>
              <w:spacing w:line="276" w:lineRule="auto"/>
              <w:jc w:val="center"/>
              <w:rPr>
                <w:rFonts w:hAnsi="宋体"/>
                <w:color w:val="auto"/>
                <w:kern w:val="2"/>
              </w:rPr>
            </w:pPr>
            <w:r>
              <w:rPr>
                <w:rFonts w:hint="eastAsia" w:hAnsi="宋体"/>
                <w:color w:val="auto"/>
                <w:kern w:val="2"/>
              </w:rPr>
              <w:t>符合《工业企业厂界环境噪声排放标准》（</w:t>
            </w:r>
            <w:r>
              <w:rPr>
                <w:rFonts w:hAnsi="宋体"/>
                <w:color w:val="auto"/>
                <w:kern w:val="2"/>
              </w:rPr>
              <w:t>GB12348-2008</w:t>
            </w:r>
            <w:r>
              <w:rPr>
                <w:rFonts w:hint="eastAsia" w:hAnsi="宋体"/>
                <w:color w:val="auto"/>
                <w:kern w:val="2"/>
              </w:rPr>
              <w:t>）3类标准要求</w:t>
            </w:r>
          </w:p>
        </w:tc>
      </w:tr>
      <w:tr w14:paraId="1B8006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3" w:hRule="atLeast"/>
          <w:jc w:val="center"/>
        </w:trPr>
        <w:tc>
          <w:tcPr>
            <w:tcW w:w="530" w:type="pct"/>
            <w:tcBorders>
              <w:left w:val="single" w:color="000000" w:sz="6" w:space="0"/>
            </w:tcBorders>
            <w:vAlign w:val="center"/>
          </w:tcPr>
          <w:p w14:paraId="1AAD89B0">
            <w:pPr>
              <w:widowControl/>
              <w:spacing w:line="276" w:lineRule="auto"/>
              <w:jc w:val="center"/>
              <w:rPr>
                <w:color w:val="auto"/>
                <w:kern w:val="0"/>
                <w:sz w:val="24"/>
                <w:szCs w:val="24"/>
              </w:rPr>
            </w:pPr>
            <w:r>
              <w:rPr>
                <w:rFonts w:hint="eastAsia"/>
                <w:color w:val="auto"/>
                <w:kern w:val="0"/>
                <w:sz w:val="24"/>
                <w:szCs w:val="24"/>
              </w:rPr>
              <w:t>电磁</w:t>
            </w:r>
            <w:r>
              <w:rPr>
                <w:color w:val="auto"/>
                <w:kern w:val="0"/>
                <w:sz w:val="24"/>
                <w:szCs w:val="24"/>
              </w:rPr>
              <w:t>辐射</w:t>
            </w:r>
          </w:p>
        </w:tc>
        <w:tc>
          <w:tcPr>
            <w:tcW w:w="4470" w:type="pct"/>
            <w:gridSpan w:val="4"/>
            <w:tcBorders>
              <w:right w:val="single" w:color="000000" w:sz="6" w:space="0"/>
            </w:tcBorders>
            <w:vAlign w:val="center"/>
          </w:tcPr>
          <w:p w14:paraId="6F670164">
            <w:pPr>
              <w:spacing w:line="276" w:lineRule="auto"/>
              <w:jc w:val="center"/>
              <w:rPr>
                <w:color w:val="auto"/>
                <w:kern w:val="0"/>
                <w:sz w:val="24"/>
                <w:szCs w:val="24"/>
              </w:rPr>
            </w:pPr>
            <w:r>
              <w:rPr>
                <w:color w:val="auto"/>
                <w:kern w:val="0"/>
                <w:sz w:val="24"/>
                <w:szCs w:val="24"/>
              </w:rPr>
              <w:t>本项目不涉及电磁辐射建设</w:t>
            </w:r>
          </w:p>
        </w:tc>
      </w:tr>
      <w:tr w14:paraId="213CE5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530" w:type="pct"/>
            <w:tcBorders>
              <w:left w:val="single" w:color="000000" w:sz="6" w:space="0"/>
            </w:tcBorders>
            <w:vAlign w:val="center"/>
          </w:tcPr>
          <w:p w14:paraId="09B06797">
            <w:pPr>
              <w:widowControl/>
              <w:spacing w:line="276" w:lineRule="auto"/>
              <w:jc w:val="center"/>
              <w:rPr>
                <w:color w:val="auto"/>
                <w:kern w:val="0"/>
                <w:sz w:val="24"/>
                <w:szCs w:val="24"/>
              </w:rPr>
            </w:pPr>
            <w:r>
              <w:rPr>
                <w:rFonts w:hint="eastAsia"/>
                <w:color w:val="auto"/>
                <w:kern w:val="0"/>
                <w:sz w:val="24"/>
                <w:szCs w:val="24"/>
              </w:rPr>
              <w:t>固体</w:t>
            </w:r>
            <w:r>
              <w:rPr>
                <w:color w:val="auto"/>
                <w:kern w:val="0"/>
                <w:sz w:val="24"/>
                <w:szCs w:val="24"/>
              </w:rPr>
              <w:t>废物</w:t>
            </w:r>
          </w:p>
        </w:tc>
        <w:tc>
          <w:tcPr>
            <w:tcW w:w="4470" w:type="pct"/>
            <w:gridSpan w:val="4"/>
            <w:tcBorders>
              <w:right w:val="single" w:color="000000" w:sz="6" w:space="0"/>
            </w:tcBorders>
            <w:vAlign w:val="center"/>
          </w:tcPr>
          <w:p w14:paraId="144864DF">
            <w:pPr>
              <w:pStyle w:val="108"/>
              <w:spacing w:line="276" w:lineRule="auto"/>
              <w:rPr>
                <w:rFonts w:hAnsi="宋体"/>
                <w:color w:val="auto"/>
              </w:rPr>
            </w:pPr>
            <w:r>
              <w:rPr>
                <w:rFonts w:hint="eastAsia"/>
                <w:color w:val="auto"/>
              </w:rPr>
              <w:t>1、生产经营过程中产生的</w:t>
            </w:r>
            <w:r>
              <w:rPr>
                <w:rFonts w:hint="eastAsia" w:hAnsi="宋体"/>
                <w:color w:val="auto"/>
                <w:kern w:val="2"/>
              </w:rPr>
              <w:t>不合格品等</w:t>
            </w:r>
            <w:r>
              <w:rPr>
                <w:rFonts w:hint="eastAsia" w:hAnsi="宋体"/>
                <w:color w:val="auto"/>
              </w:rPr>
              <w:t>在厂区内原料库2暂存后回用于玻璃生产线；</w:t>
            </w:r>
          </w:p>
          <w:p w14:paraId="3B7E0AA3">
            <w:pPr>
              <w:pStyle w:val="108"/>
              <w:spacing w:line="276" w:lineRule="auto"/>
              <w:rPr>
                <w:rFonts w:hAnsi="宋体"/>
                <w:color w:val="auto"/>
              </w:rPr>
            </w:pPr>
            <w:r>
              <w:rPr>
                <w:rFonts w:hint="eastAsia"/>
                <w:color w:val="auto"/>
              </w:rPr>
              <w:t>2、依托现有厂区东厂区已</w:t>
            </w:r>
            <w:r>
              <w:rPr>
                <w:rFonts w:hint="eastAsia" w:hAnsi="宋体"/>
                <w:color w:val="auto"/>
              </w:rPr>
              <w:t>设置的</w:t>
            </w:r>
            <w:r>
              <w:rPr>
                <w:rFonts w:hAnsi="宋体"/>
                <w:color w:val="auto"/>
              </w:rPr>
              <w:t>1</w:t>
            </w:r>
            <w:r>
              <w:rPr>
                <w:rFonts w:hint="eastAsia" w:hAnsi="宋体"/>
                <w:color w:val="auto"/>
              </w:rPr>
              <w:t>个</w:t>
            </w:r>
            <w:r>
              <w:rPr>
                <w:rFonts w:hint="eastAsia"/>
                <w:color w:val="auto"/>
              </w:rPr>
              <w:t>危废暂存间，占地面积30</w:t>
            </w:r>
            <w:r>
              <w:rPr>
                <w:color w:val="auto"/>
              </w:rPr>
              <w:t>m</w:t>
            </w:r>
            <w:r>
              <w:rPr>
                <w:color w:val="auto"/>
                <w:vertAlign w:val="superscript"/>
              </w:rPr>
              <w:t>2</w:t>
            </w:r>
            <w:r>
              <w:rPr>
                <w:rFonts w:hint="eastAsia"/>
                <w:color w:val="auto"/>
              </w:rPr>
              <w:t>。生产经营过程中产生的</w:t>
            </w:r>
            <w:r>
              <w:rPr>
                <w:rFonts w:hint="eastAsia" w:hAnsi="宋体"/>
                <w:color w:val="auto"/>
                <w:kern w:val="2"/>
              </w:rPr>
              <w:t>废包装桶、废漆料、废活性炭</w:t>
            </w:r>
            <w:r>
              <w:rPr>
                <w:rFonts w:hint="eastAsia" w:hAnsi="宋体"/>
                <w:color w:val="auto"/>
              </w:rPr>
              <w:t>收集后于危废暂存间暂存，并委托有资质单位定期处理处置。</w:t>
            </w:r>
          </w:p>
        </w:tc>
      </w:tr>
      <w:tr w14:paraId="6A3F8A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530" w:type="pct"/>
            <w:tcBorders>
              <w:left w:val="single" w:color="000000" w:sz="6" w:space="0"/>
            </w:tcBorders>
            <w:vAlign w:val="center"/>
          </w:tcPr>
          <w:p w14:paraId="5477FCC9">
            <w:pPr>
              <w:widowControl/>
              <w:spacing w:line="276" w:lineRule="auto"/>
              <w:jc w:val="center"/>
              <w:rPr>
                <w:color w:val="auto"/>
                <w:kern w:val="0"/>
                <w:sz w:val="24"/>
                <w:szCs w:val="24"/>
              </w:rPr>
            </w:pPr>
            <w:r>
              <w:rPr>
                <w:rFonts w:hint="eastAsia"/>
                <w:color w:val="auto"/>
                <w:kern w:val="0"/>
                <w:sz w:val="24"/>
                <w:szCs w:val="24"/>
              </w:rPr>
              <w:t>土壤及地下水防治措施</w:t>
            </w:r>
          </w:p>
        </w:tc>
        <w:tc>
          <w:tcPr>
            <w:tcW w:w="4470" w:type="pct"/>
            <w:gridSpan w:val="4"/>
            <w:tcBorders>
              <w:right w:val="single" w:color="000000" w:sz="6" w:space="0"/>
            </w:tcBorders>
            <w:vAlign w:val="center"/>
          </w:tcPr>
          <w:p w14:paraId="48FAC2CB">
            <w:pPr>
              <w:spacing w:line="276" w:lineRule="auto"/>
              <w:jc w:val="left"/>
              <w:rPr>
                <w:rFonts w:hAnsi="宋体"/>
                <w:color w:val="auto"/>
                <w:sz w:val="24"/>
                <w:szCs w:val="24"/>
              </w:rPr>
            </w:pPr>
            <w:r>
              <w:rPr>
                <w:rFonts w:hint="eastAsia" w:hAnsi="宋体"/>
                <w:color w:val="auto"/>
                <w:sz w:val="24"/>
                <w:szCs w:val="24"/>
              </w:rPr>
              <w:t>1、重点防渗区：主要为危废暂存间、原料库2。重点防渗区的防渗技术要求：等效黏土防渗层</w:t>
            </w:r>
            <w:r>
              <w:rPr>
                <w:color w:val="auto"/>
                <w:sz w:val="24"/>
                <w:szCs w:val="24"/>
              </w:rPr>
              <w:t>Mb≥6.0m</w:t>
            </w:r>
            <w:r>
              <w:rPr>
                <w:rFonts w:hint="eastAsia" w:hAnsi="宋体"/>
                <w:color w:val="auto"/>
                <w:sz w:val="24"/>
                <w:szCs w:val="24"/>
              </w:rPr>
              <w:t>，</w:t>
            </w:r>
            <w:r>
              <w:rPr>
                <w:color w:val="auto"/>
                <w:sz w:val="24"/>
                <w:szCs w:val="24"/>
              </w:rPr>
              <w:t>K≤10</w:t>
            </w:r>
            <w:r>
              <w:rPr>
                <w:color w:val="auto"/>
                <w:sz w:val="24"/>
                <w:szCs w:val="24"/>
                <w:vertAlign w:val="superscript"/>
              </w:rPr>
              <w:t>-7</w:t>
            </w:r>
            <w:r>
              <w:rPr>
                <w:color w:val="auto"/>
                <w:sz w:val="24"/>
                <w:szCs w:val="24"/>
              </w:rPr>
              <w:t>cm/s</w:t>
            </w:r>
            <w:r>
              <w:rPr>
                <w:rFonts w:hint="eastAsia" w:hAnsi="宋体"/>
                <w:color w:val="auto"/>
                <w:sz w:val="24"/>
                <w:szCs w:val="24"/>
              </w:rPr>
              <w:t>或参照《危险废物贮存污染控制标准》（</w:t>
            </w:r>
            <w:r>
              <w:rPr>
                <w:color w:val="auto"/>
                <w:sz w:val="24"/>
                <w:szCs w:val="24"/>
              </w:rPr>
              <w:t>GB18597-20</w:t>
            </w:r>
            <w:r>
              <w:rPr>
                <w:rFonts w:hint="eastAsia"/>
                <w:color w:val="auto"/>
                <w:sz w:val="24"/>
                <w:szCs w:val="24"/>
              </w:rPr>
              <w:t>23</w:t>
            </w:r>
            <w:r>
              <w:rPr>
                <w:rFonts w:hint="eastAsia" w:hAnsi="宋体"/>
                <w:color w:val="auto"/>
                <w:sz w:val="24"/>
                <w:szCs w:val="24"/>
              </w:rPr>
              <w:t>）中相关要求。现有危废暂存间、原料库2已采用抗渗混凝土防渗+涂抹2mm厚的环氧树脂防渗层。</w:t>
            </w:r>
          </w:p>
          <w:p w14:paraId="0174F205">
            <w:pPr>
              <w:spacing w:line="276" w:lineRule="auto"/>
              <w:jc w:val="left"/>
              <w:rPr>
                <w:color w:val="auto"/>
                <w:sz w:val="24"/>
                <w:szCs w:val="24"/>
              </w:rPr>
            </w:pPr>
            <w:r>
              <w:rPr>
                <w:rFonts w:hint="eastAsia" w:hAnsi="宋体"/>
                <w:color w:val="auto"/>
                <w:kern w:val="0"/>
                <w:sz w:val="24"/>
                <w:szCs w:val="24"/>
              </w:rPr>
              <w:t>2、一般防渗区：</w:t>
            </w:r>
            <w:r>
              <w:rPr>
                <w:color w:val="auto"/>
                <w:sz w:val="24"/>
                <w:szCs w:val="24"/>
                <w:lang w:val="zh-CN"/>
              </w:rPr>
              <w:t>除重点防渗区以外的生产厂房其他区域</w:t>
            </w:r>
            <w:r>
              <w:rPr>
                <w:rFonts w:hint="eastAsia" w:hAnsi="宋体"/>
                <w:color w:val="auto"/>
                <w:kern w:val="0"/>
                <w:sz w:val="24"/>
                <w:szCs w:val="24"/>
              </w:rPr>
              <w:t>均设为一般防渗区。一般防渗区的防渗技术要求：等效黏土防渗层</w:t>
            </w:r>
            <w:r>
              <w:rPr>
                <w:color w:val="auto"/>
                <w:kern w:val="0"/>
                <w:sz w:val="24"/>
                <w:szCs w:val="24"/>
              </w:rPr>
              <w:t>Mb≥1.5m</w:t>
            </w:r>
            <w:r>
              <w:rPr>
                <w:rFonts w:hint="eastAsia" w:hAnsi="宋体"/>
                <w:color w:val="auto"/>
                <w:kern w:val="0"/>
                <w:sz w:val="24"/>
                <w:szCs w:val="24"/>
              </w:rPr>
              <w:t>，</w:t>
            </w:r>
            <w:r>
              <w:rPr>
                <w:color w:val="auto"/>
                <w:kern w:val="0"/>
                <w:sz w:val="24"/>
                <w:szCs w:val="24"/>
              </w:rPr>
              <w:t>K≤10</w:t>
            </w:r>
            <w:r>
              <w:rPr>
                <w:color w:val="auto"/>
                <w:kern w:val="0"/>
                <w:sz w:val="24"/>
                <w:szCs w:val="24"/>
                <w:vertAlign w:val="superscript"/>
              </w:rPr>
              <w:t>-7</w:t>
            </w:r>
            <w:r>
              <w:rPr>
                <w:color w:val="auto"/>
                <w:kern w:val="0"/>
                <w:sz w:val="24"/>
                <w:szCs w:val="24"/>
              </w:rPr>
              <w:t>cm/s</w:t>
            </w:r>
            <w:r>
              <w:rPr>
                <w:rFonts w:hint="eastAsia" w:hAnsi="宋体"/>
                <w:color w:val="auto"/>
                <w:sz w:val="24"/>
                <w:szCs w:val="24"/>
              </w:rPr>
              <w:t>或参照</w:t>
            </w:r>
            <w:r>
              <w:rPr>
                <w:rFonts w:hint="eastAsia" w:ascii="宋体" w:hAnsi="宋体"/>
                <w:color w:val="auto"/>
                <w:sz w:val="24"/>
                <w:szCs w:val="24"/>
              </w:rPr>
              <w:t>《一般工业固体废物贮存和填埋污染控制标准》（</w:t>
            </w:r>
            <w:r>
              <w:rPr>
                <w:color w:val="auto"/>
                <w:sz w:val="24"/>
                <w:szCs w:val="24"/>
              </w:rPr>
              <w:t>GB18599-2020</w:t>
            </w:r>
            <w:r>
              <w:rPr>
                <w:rFonts w:hint="eastAsia" w:ascii="宋体" w:hAnsi="宋体"/>
                <w:color w:val="auto"/>
                <w:sz w:val="24"/>
                <w:szCs w:val="24"/>
              </w:rPr>
              <w:t>）中相关要求</w:t>
            </w:r>
            <w:r>
              <w:rPr>
                <w:rFonts w:hint="eastAsia" w:hAnsi="宋体"/>
                <w:color w:val="auto"/>
                <w:kern w:val="0"/>
                <w:sz w:val="24"/>
                <w:szCs w:val="24"/>
              </w:rPr>
              <w:t>。现有厂区一般防渗区已采用</w:t>
            </w:r>
            <w:r>
              <w:rPr>
                <w:rFonts w:hint="eastAsia" w:hAnsi="宋体"/>
                <w:color w:val="auto"/>
                <w:sz w:val="24"/>
                <w:szCs w:val="24"/>
              </w:rPr>
              <w:t>抗渗混凝土防渗。</w:t>
            </w:r>
          </w:p>
        </w:tc>
      </w:tr>
      <w:tr w14:paraId="0EB182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530" w:type="pct"/>
            <w:tcBorders>
              <w:left w:val="single" w:color="000000" w:sz="6" w:space="0"/>
            </w:tcBorders>
            <w:vAlign w:val="center"/>
          </w:tcPr>
          <w:p w14:paraId="268C3BC8">
            <w:pPr>
              <w:widowControl/>
              <w:spacing w:line="276" w:lineRule="auto"/>
              <w:jc w:val="center"/>
              <w:rPr>
                <w:color w:val="auto"/>
                <w:kern w:val="0"/>
                <w:sz w:val="24"/>
                <w:szCs w:val="24"/>
              </w:rPr>
            </w:pPr>
            <w:r>
              <w:rPr>
                <w:rFonts w:hint="eastAsia"/>
                <w:color w:val="auto"/>
                <w:kern w:val="0"/>
                <w:sz w:val="24"/>
                <w:szCs w:val="24"/>
              </w:rPr>
              <w:t>生态保护措施</w:t>
            </w:r>
          </w:p>
        </w:tc>
        <w:tc>
          <w:tcPr>
            <w:tcW w:w="4470" w:type="pct"/>
            <w:gridSpan w:val="4"/>
            <w:tcBorders>
              <w:right w:val="single" w:color="000000" w:sz="6" w:space="0"/>
            </w:tcBorders>
            <w:vAlign w:val="center"/>
          </w:tcPr>
          <w:p w14:paraId="08D134B8">
            <w:pPr>
              <w:widowControl/>
              <w:spacing w:line="276" w:lineRule="auto"/>
              <w:jc w:val="left"/>
              <w:rPr>
                <w:color w:val="auto"/>
                <w:sz w:val="24"/>
                <w:szCs w:val="24"/>
              </w:rPr>
            </w:pPr>
            <w:r>
              <w:rPr>
                <w:color w:val="auto"/>
                <w:sz w:val="24"/>
                <w:szCs w:val="24"/>
              </w:rPr>
              <w:t>本</w:t>
            </w:r>
            <w:r>
              <w:rPr>
                <w:rFonts w:hint="eastAsia"/>
                <w:color w:val="auto"/>
                <w:sz w:val="24"/>
                <w:szCs w:val="24"/>
              </w:rPr>
              <w:t>项目所处区域无</w:t>
            </w:r>
            <w:r>
              <w:rPr>
                <w:rFonts w:hint="eastAsia"/>
                <w:color w:val="auto"/>
                <w:sz w:val="24"/>
                <w:szCs w:val="24"/>
                <w:lang w:bidi="en-US"/>
              </w:rPr>
              <w:t>自然保护区、风景名胜区、饮用水水源保护区和其他需要特别保护的区域等</w:t>
            </w:r>
            <w:r>
              <w:rPr>
                <w:rFonts w:hint="eastAsia"/>
                <w:color w:val="auto"/>
                <w:sz w:val="24"/>
                <w:szCs w:val="24"/>
              </w:rPr>
              <w:t>等，不属于生态保护红线管控的区域。</w:t>
            </w:r>
          </w:p>
        </w:tc>
      </w:tr>
      <w:tr w14:paraId="0F8BED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54" w:hRule="atLeast"/>
          <w:jc w:val="center"/>
        </w:trPr>
        <w:tc>
          <w:tcPr>
            <w:tcW w:w="530" w:type="pct"/>
            <w:tcBorders>
              <w:left w:val="single" w:color="000000" w:sz="6" w:space="0"/>
            </w:tcBorders>
            <w:vAlign w:val="center"/>
          </w:tcPr>
          <w:p w14:paraId="69139A07">
            <w:pPr>
              <w:widowControl/>
              <w:spacing w:line="276" w:lineRule="auto"/>
              <w:jc w:val="center"/>
              <w:rPr>
                <w:color w:val="auto"/>
                <w:kern w:val="0"/>
                <w:sz w:val="24"/>
                <w:szCs w:val="24"/>
              </w:rPr>
            </w:pPr>
            <w:r>
              <w:rPr>
                <w:rFonts w:hint="eastAsia"/>
                <w:color w:val="auto"/>
                <w:kern w:val="0"/>
                <w:sz w:val="24"/>
                <w:szCs w:val="24"/>
              </w:rPr>
              <w:t>环境风险防范</w:t>
            </w:r>
          </w:p>
        </w:tc>
        <w:tc>
          <w:tcPr>
            <w:tcW w:w="4470" w:type="pct"/>
            <w:gridSpan w:val="4"/>
            <w:tcBorders>
              <w:right w:val="single" w:color="000000" w:sz="6" w:space="0"/>
            </w:tcBorders>
            <w:vAlign w:val="center"/>
          </w:tcPr>
          <w:p w14:paraId="3E346065">
            <w:pPr>
              <w:spacing w:line="276" w:lineRule="auto"/>
              <w:rPr>
                <w:color w:val="auto"/>
                <w:sz w:val="24"/>
                <w:szCs w:val="24"/>
              </w:rPr>
            </w:pPr>
            <w:r>
              <w:rPr>
                <w:color w:val="auto"/>
                <w:sz w:val="24"/>
                <w:szCs w:val="24"/>
              </w:rPr>
              <w:t>1</w:t>
            </w:r>
            <w:r>
              <w:rPr>
                <w:rFonts w:hAnsi="宋体"/>
                <w:color w:val="auto"/>
                <w:sz w:val="24"/>
                <w:szCs w:val="24"/>
              </w:rPr>
              <w:t>、</w:t>
            </w:r>
            <w:r>
              <w:rPr>
                <w:rFonts w:hint="eastAsia" w:hAnsi="宋体"/>
                <w:color w:val="auto"/>
                <w:sz w:val="24"/>
                <w:szCs w:val="24"/>
              </w:rPr>
              <w:t>按照国家和地方规定，修订企业突发环境事件应急预案，并报相关环境部门备案</w:t>
            </w:r>
            <w:r>
              <w:rPr>
                <w:rFonts w:hAnsi="宋体"/>
                <w:color w:val="auto"/>
                <w:sz w:val="24"/>
                <w:szCs w:val="24"/>
              </w:rPr>
              <w:t>；</w:t>
            </w:r>
          </w:p>
          <w:p w14:paraId="3DA503CB">
            <w:pPr>
              <w:spacing w:line="276" w:lineRule="auto"/>
              <w:rPr>
                <w:color w:val="auto"/>
                <w:sz w:val="24"/>
                <w:szCs w:val="24"/>
              </w:rPr>
            </w:pPr>
            <w:r>
              <w:rPr>
                <w:color w:val="auto"/>
                <w:sz w:val="24"/>
                <w:szCs w:val="24"/>
              </w:rPr>
              <w:t>2</w:t>
            </w:r>
            <w:r>
              <w:rPr>
                <w:rFonts w:hAnsi="宋体"/>
                <w:color w:val="auto"/>
                <w:sz w:val="24"/>
                <w:szCs w:val="24"/>
              </w:rPr>
              <w:t>、</w:t>
            </w:r>
            <w:r>
              <w:rPr>
                <w:rFonts w:hint="eastAsia" w:hAnsi="宋体"/>
                <w:color w:val="auto"/>
                <w:sz w:val="24"/>
                <w:szCs w:val="24"/>
              </w:rPr>
              <w:t>危废暂存间、原料库2要有专人定期巡查检查。一旦出现泄漏、火灾和爆炸及环保治理设施故障等环境事件，立即启动相应突发环境事件应急预案，按照事件的大小进行相应的处置，控制环境事件的发生和发展，避免产生二次灾害和环境污染</w:t>
            </w:r>
            <w:r>
              <w:rPr>
                <w:color w:val="auto"/>
                <w:sz w:val="24"/>
                <w:szCs w:val="24"/>
              </w:rPr>
              <w:t>；</w:t>
            </w:r>
          </w:p>
          <w:p w14:paraId="70F8C8B5">
            <w:pPr>
              <w:pStyle w:val="108"/>
              <w:adjustRightInd/>
              <w:spacing w:line="276" w:lineRule="auto"/>
              <w:rPr>
                <w:color w:val="auto"/>
              </w:rPr>
            </w:pPr>
            <w:r>
              <w:rPr>
                <w:color w:val="auto"/>
              </w:rPr>
              <w:t>3、</w:t>
            </w:r>
            <w:r>
              <w:rPr>
                <w:rFonts w:hint="eastAsia"/>
                <w:color w:val="auto"/>
              </w:rPr>
              <w:t>保证设备的正常运行，同时对其它涉及到的运行部位经常进行检查、维修，保证其正常运转。一旦发生系统失效，应立即停止设备运行，通知厂家进行维修，维修正常后再行运行。</w:t>
            </w:r>
          </w:p>
          <w:p w14:paraId="228A35B3">
            <w:pPr>
              <w:pStyle w:val="108"/>
              <w:adjustRightInd/>
              <w:spacing w:line="276" w:lineRule="auto"/>
              <w:rPr>
                <w:color w:val="auto"/>
              </w:rPr>
            </w:pPr>
            <w:r>
              <w:rPr>
                <w:rFonts w:hint="eastAsia"/>
                <w:color w:val="auto"/>
              </w:rPr>
              <w:t>4、做好厂区日常环境风险应急措施和演练工作，确保事故状态下，厂区风险应急体系能够有效运转。</w:t>
            </w:r>
          </w:p>
          <w:p w14:paraId="313BD788">
            <w:pPr>
              <w:pStyle w:val="108"/>
              <w:adjustRightInd/>
              <w:spacing w:line="276" w:lineRule="auto"/>
              <w:rPr>
                <w:color w:val="auto"/>
              </w:rPr>
            </w:pPr>
            <w:r>
              <w:rPr>
                <w:rFonts w:hint="eastAsia"/>
                <w:color w:val="auto"/>
              </w:rPr>
              <w:t>5、危险废物由专人负责收集、贮存及运输，采取技术和管理措施防止无关人员进入。</w:t>
            </w:r>
          </w:p>
        </w:tc>
      </w:tr>
      <w:tr w14:paraId="70EA2B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530" w:type="pct"/>
            <w:tcBorders>
              <w:left w:val="single" w:color="000000" w:sz="6" w:space="0"/>
            </w:tcBorders>
            <w:vAlign w:val="center"/>
          </w:tcPr>
          <w:p w14:paraId="7652AD87">
            <w:pPr>
              <w:widowControl/>
              <w:spacing w:line="276" w:lineRule="auto"/>
              <w:jc w:val="center"/>
              <w:rPr>
                <w:color w:val="auto"/>
                <w:kern w:val="0"/>
                <w:sz w:val="24"/>
                <w:szCs w:val="24"/>
              </w:rPr>
            </w:pPr>
            <w:r>
              <w:rPr>
                <w:rFonts w:hint="eastAsia"/>
                <w:color w:val="auto"/>
                <w:kern w:val="0"/>
                <w:sz w:val="24"/>
                <w:szCs w:val="24"/>
              </w:rPr>
              <w:t>其他</w:t>
            </w:r>
            <w:r>
              <w:rPr>
                <w:color w:val="auto"/>
                <w:kern w:val="0"/>
                <w:sz w:val="24"/>
                <w:szCs w:val="24"/>
              </w:rPr>
              <w:t>环境管理要求</w:t>
            </w:r>
          </w:p>
        </w:tc>
        <w:tc>
          <w:tcPr>
            <w:tcW w:w="4470" w:type="pct"/>
            <w:gridSpan w:val="4"/>
            <w:tcBorders>
              <w:right w:val="single" w:color="000000" w:sz="6" w:space="0"/>
            </w:tcBorders>
            <w:vAlign w:val="center"/>
          </w:tcPr>
          <w:p w14:paraId="4B623776">
            <w:pPr>
              <w:pStyle w:val="108"/>
              <w:spacing w:line="276" w:lineRule="auto"/>
              <w:rPr>
                <w:color w:val="auto"/>
              </w:rPr>
            </w:pPr>
            <w:r>
              <w:rPr>
                <w:rFonts w:hint="eastAsia"/>
                <w:color w:val="auto"/>
              </w:rPr>
              <w:t>项目需遵守下列要求：</w:t>
            </w:r>
          </w:p>
          <w:p w14:paraId="76C35B3D">
            <w:pPr>
              <w:pStyle w:val="108"/>
              <w:spacing w:line="276" w:lineRule="auto"/>
              <w:rPr>
                <w:color w:val="auto"/>
              </w:rPr>
            </w:pPr>
            <w:r>
              <w:rPr>
                <w:rFonts w:hint="eastAsia"/>
                <w:color w:val="auto"/>
              </w:rPr>
              <w:t>1、在实际排污之前，应根据《排污许可管理办法（试行）》、《固定污染源排污许可分类管理名录》依法登记管理排污许可。</w:t>
            </w:r>
          </w:p>
          <w:p w14:paraId="0125172A">
            <w:pPr>
              <w:pStyle w:val="108"/>
              <w:spacing w:line="276" w:lineRule="auto"/>
              <w:rPr>
                <w:color w:val="auto"/>
              </w:rPr>
            </w:pPr>
            <w:r>
              <w:rPr>
                <w:rFonts w:hint="eastAsia"/>
                <w:color w:val="auto"/>
              </w:rPr>
              <w:t>2、项目建设必须严格执行配套的环境保护设施与主体工程同时设计、同时施工、同时投产使用的环境保护“三同时”制度。</w:t>
            </w:r>
          </w:p>
          <w:p w14:paraId="750E37EB">
            <w:pPr>
              <w:spacing w:line="276" w:lineRule="auto"/>
              <w:rPr>
                <w:color w:val="auto"/>
                <w:sz w:val="24"/>
                <w:szCs w:val="24"/>
              </w:rPr>
            </w:pPr>
            <w:r>
              <w:rPr>
                <w:rFonts w:hint="eastAsia" w:hAnsi="宋体"/>
                <w:color w:val="auto"/>
                <w:sz w:val="24"/>
                <w:szCs w:val="24"/>
              </w:rPr>
              <w:t>3、项目实际的生产地点、主要生产单元、生产工艺、生产设施、污染防治设施应与排污许可证相符，实际情况与排污许可证载明的规模、参数等信息基本相符。所有有组织排放口个数、类别、排放方式和去向等与排污许可证载明信息一致。</w:t>
            </w:r>
          </w:p>
          <w:p w14:paraId="3A50B7E1">
            <w:pPr>
              <w:spacing w:line="276" w:lineRule="auto"/>
              <w:rPr>
                <w:color w:val="auto"/>
                <w:sz w:val="24"/>
                <w:szCs w:val="24"/>
              </w:rPr>
            </w:pPr>
            <w:r>
              <w:rPr>
                <w:rFonts w:hint="eastAsia" w:hAnsi="宋体"/>
                <w:color w:val="auto"/>
                <w:sz w:val="24"/>
                <w:szCs w:val="24"/>
              </w:rPr>
              <w:t>4、企业应强化对环保设施运行监督、管理的职能，建立全厂完善的环保设施运行、维护、维修等技术档案，以及加强对环保设施操作人员的技术培训，确保环保设施处于正常运行情况，污染物排放连续达标。</w:t>
            </w:r>
          </w:p>
          <w:p w14:paraId="3246A61F">
            <w:pPr>
              <w:spacing w:line="276" w:lineRule="auto"/>
              <w:rPr>
                <w:rFonts w:hAnsi="宋体"/>
                <w:color w:val="auto"/>
                <w:sz w:val="24"/>
                <w:szCs w:val="24"/>
              </w:rPr>
            </w:pPr>
            <w:r>
              <w:rPr>
                <w:rFonts w:hint="eastAsia" w:hAnsi="宋体"/>
                <w:color w:val="auto"/>
                <w:sz w:val="24"/>
                <w:szCs w:val="24"/>
              </w:rPr>
              <w:t>5、企业应参照《排污单位自行监测技术指南 总则》（</w:t>
            </w:r>
            <w:r>
              <w:rPr>
                <w:color w:val="auto"/>
                <w:sz w:val="24"/>
                <w:szCs w:val="24"/>
              </w:rPr>
              <w:t>H</w:t>
            </w:r>
            <w:r>
              <w:rPr>
                <w:rFonts w:hint="eastAsia"/>
                <w:color w:val="auto"/>
                <w:sz w:val="24"/>
                <w:szCs w:val="24"/>
              </w:rPr>
              <w:t>J</w:t>
            </w:r>
            <w:r>
              <w:rPr>
                <w:color w:val="auto"/>
                <w:sz w:val="24"/>
                <w:szCs w:val="24"/>
              </w:rPr>
              <w:t>819-2017</w:t>
            </w:r>
            <w:r>
              <w:rPr>
                <w:rFonts w:hint="eastAsia" w:hAnsi="宋体"/>
                <w:color w:val="auto"/>
                <w:sz w:val="24"/>
                <w:szCs w:val="24"/>
              </w:rPr>
              <w:t>）</w:t>
            </w:r>
            <w:r>
              <w:rPr>
                <w:rFonts w:hint="eastAsia"/>
                <w:color w:val="auto"/>
                <w:sz w:val="24"/>
                <w:szCs w:val="24"/>
              </w:rPr>
              <w:t>、</w:t>
            </w:r>
            <w:r>
              <w:rPr>
                <w:rFonts w:hint="eastAsia" w:hAnsi="宋体"/>
                <w:color w:val="auto"/>
                <w:sz w:val="24"/>
                <w:szCs w:val="24"/>
              </w:rPr>
              <w:t>《排污单位自行监测技术指南 涂装》（</w:t>
            </w:r>
            <w:r>
              <w:rPr>
                <w:color w:val="auto"/>
                <w:sz w:val="24"/>
                <w:szCs w:val="24"/>
              </w:rPr>
              <w:t>H</w:t>
            </w:r>
            <w:r>
              <w:rPr>
                <w:rFonts w:hint="eastAsia"/>
                <w:color w:val="auto"/>
                <w:sz w:val="24"/>
                <w:szCs w:val="24"/>
              </w:rPr>
              <w:t>J1086</w:t>
            </w:r>
            <w:r>
              <w:rPr>
                <w:color w:val="auto"/>
                <w:sz w:val="24"/>
                <w:szCs w:val="24"/>
              </w:rPr>
              <w:t>-20</w:t>
            </w:r>
            <w:r>
              <w:rPr>
                <w:rFonts w:hint="eastAsia"/>
                <w:color w:val="auto"/>
                <w:sz w:val="24"/>
                <w:szCs w:val="24"/>
              </w:rPr>
              <w:t>20</w:t>
            </w:r>
            <w:r>
              <w:rPr>
                <w:rFonts w:hint="eastAsia" w:hAnsi="宋体"/>
                <w:color w:val="auto"/>
                <w:sz w:val="24"/>
                <w:szCs w:val="24"/>
              </w:rPr>
              <w:t>）中的要求落实运营期自行监测计划，主动公开项目环评文件和验收报告，接受社会监督。</w:t>
            </w:r>
          </w:p>
          <w:p w14:paraId="488C80BF">
            <w:pPr>
              <w:spacing w:line="276" w:lineRule="auto"/>
              <w:rPr>
                <w:rFonts w:hAnsi="宋体"/>
                <w:color w:val="auto"/>
                <w:sz w:val="24"/>
                <w:szCs w:val="24"/>
              </w:rPr>
            </w:pPr>
          </w:p>
          <w:p w14:paraId="03CFECF1">
            <w:pPr>
              <w:spacing w:line="276" w:lineRule="auto"/>
              <w:rPr>
                <w:rFonts w:hAnsi="宋体"/>
                <w:color w:val="auto"/>
                <w:sz w:val="24"/>
                <w:szCs w:val="24"/>
              </w:rPr>
            </w:pPr>
          </w:p>
          <w:p w14:paraId="56A8F927">
            <w:pPr>
              <w:spacing w:line="276" w:lineRule="auto"/>
              <w:rPr>
                <w:rFonts w:hAnsi="宋体"/>
                <w:color w:val="auto"/>
                <w:sz w:val="24"/>
                <w:szCs w:val="24"/>
              </w:rPr>
            </w:pPr>
          </w:p>
          <w:p w14:paraId="39426B82">
            <w:pPr>
              <w:spacing w:line="276" w:lineRule="auto"/>
              <w:rPr>
                <w:rFonts w:hAnsi="宋体"/>
                <w:color w:val="auto"/>
                <w:sz w:val="24"/>
                <w:szCs w:val="24"/>
              </w:rPr>
            </w:pPr>
          </w:p>
          <w:p w14:paraId="4E3DC048">
            <w:pPr>
              <w:spacing w:line="276" w:lineRule="auto"/>
              <w:rPr>
                <w:rFonts w:hAnsi="宋体"/>
                <w:color w:val="auto"/>
                <w:sz w:val="24"/>
                <w:szCs w:val="24"/>
              </w:rPr>
            </w:pPr>
          </w:p>
          <w:p w14:paraId="30EEDD06">
            <w:pPr>
              <w:spacing w:line="276" w:lineRule="auto"/>
              <w:rPr>
                <w:rFonts w:hAnsi="宋体"/>
                <w:color w:val="auto"/>
                <w:sz w:val="24"/>
                <w:szCs w:val="24"/>
              </w:rPr>
            </w:pPr>
          </w:p>
          <w:p w14:paraId="516E52B2">
            <w:pPr>
              <w:spacing w:line="276" w:lineRule="auto"/>
              <w:rPr>
                <w:rFonts w:hAnsi="宋体"/>
                <w:color w:val="auto"/>
                <w:sz w:val="24"/>
                <w:szCs w:val="24"/>
              </w:rPr>
            </w:pPr>
          </w:p>
          <w:p w14:paraId="3BC0C10E">
            <w:pPr>
              <w:spacing w:line="276" w:lineRule="auto"/>
              <w:rPr>
                <w:rFonts w:hAnsi="宋体"/>
                <w:color w:val="auto"/>
                <w:sz w:val="24"/>
                <w:szCs w:val="24"/>
              </w:rPr>
            </w:pPr>
          </w:p>
          <w:p w14:paraId="35C31813">
            <w:pPr>
              <w:spacing w:line="276" w:lineRule="auto"/>
              <w:rPr>
                <w:rFonts w:hAnsi="宋体"/>
                <w:color w:val="auto"/>
                <w:sz w:val="24"/>
                <w:szCs w:val="24"/>
              </w:rPr>
            </w:pPr>
          </w:p>
          <w:p w14:paraId="7D3A0CB1">
            <w:pPr>
              <w:spacing w:line="276" w:lineRule="auto"/>
              <w:rPr>
                <w:rFonts w:hAnsi="宋体"/>
                <w:color w:val="auto"/>
                <w:sz w:val="24"/>
                <w:szCs w:val="24"/>
              </w:rPr>
            </w:pPr>
          </w:p>
          <w:p w14:paraId="7A1D9254">
            <w:pPr>
              <w:spacing w:line="276" w:lineRule="auto"/>
              <w:rPr>
                <w:rFonts w:hAnsi="宋体"/>
                <w:color w:val="auto"/>
                <w:sz w:val="24"/>
                <w:szCs w:val="24"/>
              </w:rPr>
            </w:pPr>
          </w:p>
          <w:p w14:paraId="1261EB8B">
            <w:pPr>
              <w:spacing w:line="276" w:lineRule="auto"/>
              <w:rPr>
                <w:rFonts w:hAnsi="宋体"/>
                <w:color w:val="auto"/>
                <w:sz w:val="24"/>
                <w:szCs w:val="24"/>
              </w:rPr>
            </w:pPr>
          </w:p>
          <w:p w14:paraId="2F85554A">
            <w:pPr>
              <w:spacing w:line="276" w:lineRule="auto"/>
              <w:rPr>
                <w:rFonts w:hAnsi="宋体"/>
                <w:color w:val="auto"/>
                <w:sz w:val="24"/>
                <w:szCs w:val="24"/>
              </w:rPr>
            </w:pPr>
          </w:p>
          <w:p w14:paraId="35390757">
            <w:pPr>
              <w:spacing w:line="276" w:lineRule="auto"/>
              <w:rPr>
                <w:rFonts w:hAnsi="宋体"/>
                <w:color w:val="auto"/>
                <w:sz w:val="24"/>
                <w:szCs w:val="24"/>
              </w:rPr>
            </w:pPr>
          </w:p>
          <w:p w14:paraId="6E4F17FB">
            <w:pPr>
              <w:spacing w:line="276" w:lineRule="auto"/>
              <w:rPr>
                <w:rFonts w:hAnsi="宋体"/>
                <w:color w:val="auto"/>
                <w:sz w:val="24"/>
                <w:szCs w:val="24"/>
              </w:rPr>
            </w:pPr>
          </w:p>
          <w:p w14:paraId="07C23C6C">
            <w:pPr>
              <w:spacing w:line="276" w:lineRule="auto"/>
              <w:rPr>
                <w:rFonts w:hAnsi="宋体"/>
                <w:color w:val="auto"/>
                <w:sz w:val="24"/>
                <w:szCs w:val="24"/>
              </w:rPr>
            </w:pPr>
          </w:p>
          <w:p w14:paraId="1DFECC75">
            <w:pPr>
              <w:spacing w:line="276" w:lineRule="auto"/>
              <w:rPr>
                <w:rFonts w:hAnsi="宋体"/>
                <w:color w:val="auto"/>
                <w:sz w:val="24"/>
                <w:szCs w:val="24"/>
              </w:rPr>
            </w:pPr>
          </w:p>
          <w:p w14:paraId="2D57FE9A">
            <w:pPr>
              <w:spacing w:line="276" w:lineRule="auto"/>
              <w:rPr>
                <w:rFonts w:hAnsi="宋体"/>
                <w:color w:val="auto"/>
                <w:sz w:val="24"/>
                <w:szCs w:val="24"/>
              </w:rPr>
            </w:pPr>
          </w:p>
          <w:p w14:paraId="1F49D405">
            <w:pPr>
              <w:spacing w:line="276" w:lineRule="auto"/>
              <w:rPr>
                <w:rFonts w:hAnsi="宋体"/>
                <w:color w:val="auto"/>
                <w:sz w:val="24"/>
                <w:szCs w:val="24"/>
              </w:rPr>
            </w:pPr>
          </w:p>
          <w:p w14:paraId="3B422399">
            <w:pPr>
              <w:spacing w:line="276" w:lineRule="auto"/>
              <w:rPr>
                <w:rFonts w:hAnsi="宋体"/>
                <w:color w:val="auto"/>
                <w:sz w:val="24"/>
                <w:szCs w:val="24"/>
              </w:rPr>
            </w:pPr>
          </w:p>
          <w:p w14:paraId="798DD5B2">
            <w:pPr>
              <w:spacing w:line="276" w:lineRule="auto"/>
              <w:rPr>
                <w:rFonts w:hAnsi="宋体"/>
                <w:color w:val="auto"/>
                <w:sz w:val="24"/>
                <w:szCs w:val="24"/>
              </w:rPr>
            </w:pPr>
          </w:p>
          <w:p w14:paraId="6590C897">
            <w:pPr>
              <w:spacing w:line="276" w:lineRule="auto"/>
              <w:rPr>
                <w:rFonts w:hAnsi="宋体"/>
                <w:color w:val="auto"/>
                <w:sz w:val="24"/>
                <w:szCs w:val="24"/>
              </w:rPr>
            </w:pPr>
          </w:p>
          <w:p w14:paraId="5700DCB0">
            <w:pPr>
              <w:spacing w:line="276" w:lineRule="auto"/>
              <w:rPr>
                <w:rFonts w:hAnsi="宋体"/>
                <w:color w:val="auto"/>
                <w:sz w:val="24"/>
                <w:szCs w:val="24"/>
              </w:rPr>
            </w:pPr>
          </w:p>
          <w:p w14:paraId="1A6B9880">
            <w:pPr>
              <w:spacing w:line="276" w:lineRule="auto"/>
              <w:rPr>
                <w:rFonts w:hAnsi="宋体"/>
                <w:color w:val="auto"/>
                <w:sz w:val="24"/>
                <w:szCs w:val="24"/>
              </w:rPr>
            </w:pPr>
          </w:p>
          <w:p w14:paraId="3B7BB695">
            <w:pPr>
              <w:spacing w:line="276" w:lineRule="auto"/>
              <w:rPr>
                <w:rFonts w:hAnsi="宋体"/>
                <w:color w:val="auto"/>
                <w:sz w:val="24"/>
                <w:szCs w:val="24"/>
              </w:rPr>
            </w:pPr>
          </w:p>
          <w:p w14:paraId="404E01CC">
            <w:pPr>
              <w:spacing w:line="276" w:lineRule="auto"/>
              <w:rPr>
                <w:rFonts w:hAnsi="宋体"/>
                <w:color w:val="auto"/>
                <w:sz w:val="24"/>
                <w:szCs w:val="24"/>
              </w:rPr>
            </w:pPr>
          </w:p>
          <w:p w14:paraId="0DCD4A02">
            <w:pPr>
              <w:spacing w:line="276" w:lineRule="auto"/>
              <w:rPr>
                <w:color w:val="auto"/>
                <w:sz w:val="24"/>
                <w:szCs w:val="24"/>
              </w:rPr>
            </w:pPr>
          </w:p>
        </w:tc>
      </w:tr>
    </w:tbl>
    <w:p w14:paraId="0F82FA95">
      <w:pPr>
        <w:widowControl/>
        <w:outlineLvl w:val="0"/>
        <w:rPr>
          <w:b/>
          <w:bCs/>
          <w:color w:val="auto"/>
          <w:kern w:val="0"/>
          <w:sz w:val="24"/>
          <w:szCs w:val="24"/>
        </w:rPr>
        <w:sectPr>
          <w:pgSz w:w="11906" w:h="16838"/>
          <w:pgMar w:top="1440" w:right="1508" w:bottom="1440" w:left="1797" w:header="851" w:footer="992" w:gutter="0"/>
          <w:cols w:space="720" w:num="1"/>
          <w:docGrid w:type="lines" w:linePitch="312" w:charSpace="0"/>
        </w:sectPr>
      </w:pPr>
    </w:p>
    <w:p w14:paraId="7F78D80F">
      <w:pPr>
        <w:widowControl/>
        <w:jc w:val="center"/>
        <w:outlineLvl w:val="0"/>
        <w:rPr>
          <w:rFonts w:ascii="宋体" w:hAnsi="宋体"/>
          <w:b/>
          <w:bCs/>
          <w:color w:val="auto"/>
          <w:kern w:val="0"/>
          <w:sz w:val="30"/>
          <w:szCs w:val="30"/>
        </w:rPr>
      </w:pPr>
      <w:r>
        <w:rPr>
          <w:rFonts w:hint="eastAsia" w:ascii="宋体" w:hAnsi="宋体"/>
          <w:b/>
          <w:bCs/>
          <w:color w:val="auto"/>
          <w:kern w:val="0"/>
          <w:sz w:val="30"/>
          <w:szCs w:val="30"/>
        </w:rPr>
        <w:t>六、结论</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17"/>
      </w:tblGrid>
      <w:tr w14:paraId="79405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70" w:hRule="atLeast"/>
        </w:trPr>
        <w:tc>
          <w:tcPr>
            <w:tcW w:w="8817" w:type="dxa"/>
          </w:tcPr>
          <w:p w14:paraId="5054553B">
            <w:pPr>
              <w:spacing w:line="360" w:lineRule="auto"/>
              <w:ind w:firstLine="480" w:firstLineChars="200"/>
              <w:jc w:val="left"/>
              <w:rPr>
                <w:rFonts w:hAnsi="宋体"/>
                <w:color w:val="auto"/>
                <w:sz w:val="24"/>
              </w:rPr>
            </w:pPr>
            <w:r>
              <w:rPr>
                <w:rFonts w:hAnsi="宋体"/>
                <w:color w:val="auto"/>
                <w:sz w:val="24"/>
              </w:rPr>
              <w:t>综上所述，本项目符合国家产业政策，符合当地规划，选址可行。项目</w:t>
            </w:r>
            <w:r>
              <w:rPr>
                <w:rFonts w:hint="eastAsia" w:hAnsi="宋体"/>
                <w:color w:val="auto"/>
                <w:sz w:val="24"/>
              </w:rPr>
              <w:t>施工期和</w:t>
            </w:r>
            <w:r>
              <w:rPr>
                <w:rFonts w:hAnsi="宋体"/>
                <w:color w:val="auto"/>
                <w:sz w:val="24"/>
              </w:rPr>
              <w:t>营运期产生的各类污染对区域环境质量会产生一定影响，但只要认真落实各项环境保护措施，各类污染物均可实现达标排放，并且不会对周围环境产生显著影响，不会造成区域环境功能级别的改变。</w:t>
            </w:r>
          </w:p>
          <w:p w14:paraId="7CA4CC23">
            <w:pPr>
              <w:spacing w:line="360" w:lineRule="auto"/>
              <w:ind w:firstLine="480" w:firstLineChars="200"/>
              <w:jc w:val="left"/>
              <w:rPr>
                <w:rFonts w:hAnsi="宋体"/>
                <w:color w:val="auto"/>
                <w:sz w:val="24"/>
              </w:rPr>
            </w:pPr>
            <w:r>
              <w:rPr>
                <w:rFonts w:hAnsi="宋体"/>
                <w:color w:val="auto"/>
                <w:sz w:val="24"/>
              </w:rPr>
              <w:t>因此，从环</w:t>
            </w:r>
            <w:r>
              <w:rPr>
                <w:rFonts w:hint="eastAsia" w:hAnsi="宋体"/>
                <w:color w:val="auto"/>
                <w:sz w:val="24"/>
              </w:rPr>
              <w:t>境保护</w:t>
            </w:r>
            <w:r>
              <w:rPr>
                <w:rFonts w:hAnsi="宋体"/>
                <w:color w:val="auto"/>
                <w:sz w:val="24"/>
              </w:rPr>
              <w:t>角度考虑，该项目的建设是可行的。</w:t>
            </w:r>
          </w:p>
        </w:tc>
      </w:tr>
    </w:tbl>
    <w:p w14:paraId="04770230">
      <w:pPr>
        <w:pStyle w:val="108"/>
        <w:rPr>
          <w:color w:val="auto"/>
        </w:rPr>
        <w:sectPr>
          <w:pgSz w:w="11906" w:h="16838"/>
          <w:pgMar w:top="1440" w:right="1508" w:bottom="1440" w:left="1797" w:header="851" w:footer="992" w:gutter="0"/>
          <w:cols w:space="720" w:num="1"/>
          <w:docGrid w:type="lines" w:linePitch="312" w:charSpace="0"/>
        </w:sectPr>
      </w:pPr>
    </w:p>
    <w:p w14:paraId="3DA9B9AE">
      <w:pPr>
        <w:spacing w:line="379" w:lineRule="exact"/>
        <w:ind w:left="111"/>
        <w:rPr>
          <w:rFonts w:ascii="宋体" w:hAnsi="宋体" w:cs="黑体"/>
          <w:b/>
          <w:color w:val="auto"/>
          <w:sz w:val="30"/>
          <w:szCs w:val="30"/>
        </w:rPr>
      </w:pPr>
      <w:r>
        <w:rPr>
          <w:rFonts w:ascii="宋体" w:hAnsi="宋体" w:cs="黑体"/>
          <w:b/>
          <w:color w:val="auto"/>
          <w:sz w:val="30"/>
          <w:szCs w:val="30"/>
        </w:rPr>
        <w:t>附表</w:t>
      </w:r>
    </w:p>
    <w:p w14:paraId="187EB611">
      <w:pPr>
        <w:spacing w:line="360" w:lineRule="auto"/>
        <w:jc w:val="center"/>
        <w:rPr>
          <w:rFonts w:ascii="宋体" w:hAnsi="宋体" w:cs="微软雅黑"/>
          <w:color w:val="auto"/>
          <w:sz w:val="30"/>
          <w:szCs w:val="30"/>
        </w:rPr>
      </w:pPr>
      <w:r>
        <w:rPr>
          <w:rFonts w:ascii="宋体" w:hAnsi="宋体" w:cs="微软雅黑"/>
          <w:color w:val="auto"/>
          <w:sz w:val="30"/>
          <w:szCs w:val="30"/>
        </w:rPr>
        <w:t>建设项目污染物排放量汇总表</w:t>
      </w:r>
    </w:p>
    <w:tbl>
      <w:tblPr>
        <w:tblStyle w:val="3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418"/>
        <w:gridCol w:w="1707"/>
        <w:gridCol w:w="1357"/>
        <w:gridCol w:w="1707"/>
        <w:gridCol w:w="1707"/>
        <w:gridCol w:w="1564"/>
        <w:gridCol w:w="1707"/>
        <w:gridCol w:w="1544"/>
      </w:tblGrid>
      <w:tr w14:paraId="53009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65" w:type="pct"/>
            <w:tcBorders>
              <w:tl2br w:val="single" w:color="auto" w:sz="4" w:space="0"/>
            </w:tcBorders>
            <w:tcMar>
              <w:left w:w="28" w:type="dxa"/>
              <w:right w:w="28" w:type="dxa"/>
            </w:tcMar>
            <w:vAlign w:val="center"/>
          </w:tcPr>
          <w:p w14:paraId="6253CA00">
            <w:pPr>
              <w:pStyle w:val="157"/>
              <w:spacing w:line="360" w:lineRule="auto"/>
              <w:jc w:val="right"/>
              <w:rPr>
                <w:rFonts w:hAnsi="宋体"/>
                <w:snapToGrid w:val="0"/>
                <w:color w:val="auto"/>
                <w:spacing w:val="-6"/>
                <w:kern w:val="21"/>
                <w:szCs w:val="24"/>
              </w:rPr>
            </w:pPr>
            <w:r>
              <w:rPr>
                <w:rFonts w:hAnsi="宋体"/>
                <w:snapToGrid w:val="0"/>
                <w:color w:val="auto"/>
                <w:spacing w:val="-6"/>
                <w:kern w:val="21"/>
                <w:szCs w:val="24"/>
              </w:rPr>
              <w:t>项目</w:t>
            </w:r>
          </w:p>
          <w:p w14:paraId="3109AF68">
            <w:pPr>
              <w:pStyle w:val="157"/>
              <w:spacing w:line="360" w:lineRule="auto"/>
              <w:jc w:val="left"/>
              <w:rPr>
                <w:rFonts w:hAnsi="宋体"/>
                <w:snapToGrid w:val="0"/>
                <w:color w:val="auto"/>
                <w:spacing w:val="-6"/>
                <w:kern w:val="21"/>
                <w:szCs w:val="24"/>
              </w:rPr>
            </w:pPr>
            <w:r>
              <w:rPr>
                <w:rFonts w:hAnsi="宋体"/>
                <w:snapToGrid w:val="0"/>
                <w:color w:val="auto"/>
                <w:spacing w:val="-6"/>
                <w:kern w:val="21"/>
                <w:szCs w:val="24"/>
              </w:rPr>
              <w:t>分类</w:t>
            </w:r>
          </w:p>
        </w:tc>
        <w:tc>
          <w:tcPr>
            <w:tcW w:w="506" w:type="pct"/>
            <w:tcMar>
              <w:left w:w="28" w:type="dxa"/>
              <w:right w:w="28" w:type="dxa"/>
            </w:tcMar>
            <w:vAlign w:val="center"/>
          </w:tcPr>
          <w:p w14:paraId="3204646A">
            <w:pPr>
              <w:pStyle w:val="157"/>
              <w:spacing w:line="360" w:lineRule="auto"/>
              <w:rPr>
                <w:rFonts w:hAnsi="宋体"/>
                <w:snapToGrid w:val="0"/>
                <w:color w:val="auto"/>
                <w:spacing w:val="-6"/>
                <w:kern w:val="21"/>
                <w:szCs w:val="24"/>
              </w:rPr>
            </w:pPr>
            <w:r>
              <w:rPr>
                <w:rFonts w:hAnsi="宋体"/>
                <w:snapToGrid w:val="0"/>
                <w:color w:val="auto"/>
                <w:spacing w:val="-6"/>
                <w:kern w:val="21"/>
                <w:szCs w:val="24"/>
              </w:rPr>
              <w:t>污染物名称</w:t>
            </w:r>
          </w:p>
        </w:tc>
        <w:tc>
          <w:tcPr>
            <w:tcW w:w="609" w:type="pct"/>
            <w:tcMar>
              <w:left w:w="28" w:type="dxa"/>
              <w:right w:w="28" w:type="dxa"/>
            </w:tcMar>
            <w:vAlign w:val="center"/>
          </w:tcPr>
          <w:p w14:paraId="5E6A99EB">
            <w:pPr>
              <w:pStyle w:val="157"/>
              <w:spacing w:line="360" w:lineRule="auto"/>
              <w:rPr>
                <w:rFonts w:hAnsi="宋体"/>
                <w:snapToGrid w:val="0"/>
                <w:color w:val="auto"/>
                <w:spacing w:val="-6"/>
                <w:kern w:val="21"/>
                <w:szCs w:val="24"/>
              </w:rPr>
            </w:pPr>
            <w:r>
              <w:rPr>
                <w:rFonts w:hAnsi="宋体"/>
                <w:snapToGrid w:val="0"/>
                <w:color w:val="auto"/>
                <w:spacing w:val="-6"/>
                <w:kern w:val="21"/>
                <w:szCs w:val="24"/>
              </w:rPr>
              <w:t>现有工程</w:t>
            </w:r>
          </w:p>
          <w:p w14:paraId="6C477EE1">
            <w:pPr>
              <w:pStyle w:val="157"/>
              <w:spacing w:line="360" w:lineRule="auto"/>
              <w:rPr>
                <w:rFonts w:hAnsi="宋体"/>
                <w:snapToGrid w:val="0"/>
                <w:color w:val="auto"/>
                <w:spacing w:val="-6"/>
                <w:kern w:val="21"/>
                <w:szCs w:val="24"/>
              </w:rPr>
            </w:pPr>
            <w:r>
              <w:rPr>
                <w:rFonts w:hAnsi="宋体"/>
                <w:snapToGrid w:val="0"/>
                <w:color w:val="auto"/>
                <w:spacing w:val="-6"/>
                <w:kern w:val="21"/>
                <w:szCs w:val="24"/>
              </w:rPr>
              <w:t>排放量（固体废物产生量）</w:t>
            </w:r>
            <w:r>
              <w:rPr>
                <w:rFonts w:hAnsi="宋体"/>
                <w:snapToGrid w:val="0"/>
                <w:color w:val="auto"/>
                <w:spacing w:val="-6"/>
                <w:kern w:val="21"/>
                <w:szCs w:val="24"/>
              </w:rPr>
              <w:fldChar w:fldCharType="begin"/>
            </w:r>
            <w:r>
              <w:rPr>
                <w:rFonts w:hAnsi="宋体"/>
                <w:snapToGrid w:val="0"/>
                <w:color w:val="auto"/>
                <w:spacing w:val="-6"/>
                <w:kern w:val="21"/>
                <w:szCs w:val="24"/>
              </w:rPr>
              <w:instrText xml:space="preserve"> = 1 \* GB3 \* MERGEFORMAT </w:instrText>
            </w:r>
            <w:r>
              <w:rPr>
                <w:rFonts w:hAnsi="宋体"/>
                <w:snapToGrid w:val="0"/>
                <w:color w:val="auto"/>
                <w:spacing w:val="-6"/>
                <w:kern w:val="21"/>
                <w:szCs w:val="24"/>
              </w:rPr>
              <w:fldChar w:fldCharType="separate"/>
            </w:r>
            <w:r>
              <w:rPr>
                <w:rFonts w:hAnsi="宋体"/>
                <w:color w:val="auto"/>
                <w:szCs w:val="24"/>
              </w:rPr>
              <w:t>①</w:t>
            </w:r>
            <w:r>
              <w:rPr>
                <w:rFonts w:hAnsi="宋体"/>
                <w:snapToGrid w:val="0"/>
                <w:color w:val="auto"/>
                <w:spacing w:val="-6"/>
                <w:kern w:val="21"/>
                <w:szCs w:val="24"/>
              </w:rPr>
              <w:fldChar w:fldCharType="end"/>
            </w:r>
          </w:p>
        </w:tc>
        <w:tc>
          <w:tcPr>
            <w:tcW w:w="484" w:type="pct"/>
            <w:tcMar>
              <w:left w:w="28" w:type="dxa"/>
              <w:right w:w="28" w:type="dxa"/>
            </w:tcMar>
            <w:vAlign w:val="center"/>
          </w:tcPr>
          <w:p w14:paraId="7B73B2D3">
            <w:pPr>
              <w:pStyle w:val="157"/>
              <w:spacing w:line="360" w:lineRule="auto"/>
              <w:rPr>
                <w:rFonts w:hAnsi="宋体"/>
                <w:snapToGrid w:val="0"/>
                <w:color w:val="auto"/>
                <w:spacing w:val="-6"/>
                <w:kern w:val="21"/>
                <w:szCs w:val="24"/>
              </w:rPr>
            </w:pPr>
            <w:r>
              <w:rPr>
                <w:rFonts w:hAnsi="宋体"/>
                <w:snapToGrid w:val="0"/>
                <w:color w:val="auto"/>
                <w:spacing w:val="-6"/>
                <w:kern w:val="21"/>
                <w:szCs w:val="24"/>
              </w:rPr>
              <w:t>现有工程</w:t>
            </w:r>
          </w:p>
          <w:p w14:paraId="228CC627">
            <w:pPr>
              <w:pStyle w:val="157"/>
              <w:spacing w:line="360" w:lineRule="auto"/>
              <w:rPr>
                <w:rFonts w:hAnsi="宋体"/>
                <w:snapToGrid w:val="0"/>
                <w:color w:val="auto"/>
                <w:spacing w:val="-6"/>
                <w:kern w:val="21"/>
                <w:szCs w:val="24"/>
              </w:rPr>
            </w:pPr>
            <w:r>
              <w:rPr>
                <w:rFonts w:hAnsi="宋体"/>
                <w:snapToGrid w:val="0"/>
                <w:color w:val="auto"/>
                <w:spacing w:val="-6"/>
                <w:kern w:val="21"/>
                <w:szCs w:val="24"/>
              </w:rPr>
              <w:t>许可排放量</w:t>
            </w:r>
          </w:p>
          <w:p w14:paraId="49EAB33C">
            <w:pPr>
              <w:pStyle w:val="157"/>
              <w:spacing w:line="360" w:lineRule="auto"/>
              <w:rPr>
                <w:rFonts w:hAnsi="宋体"/>
                <w:snapToGrid w:val="0"/>
                <w:color w:val="auto"/>
                <w:spacing w:val="-6"/>
                <w:kern w:val="21"/>
                <w:szCs w:val="24"/>
              </w:rPr>
            </w:pPr>
            <w:r>
              <w:rPr>
                <w:rFonts w:hAnsi="宋体"/>
                <w:snapToGrid w:val="0"/>
                <w:color w:val="auto"/>
                <w:spacing w:val="-6"/>
                <w:kern w:val="21"/>
                <w:szCs w:val="24"/>
              </w:rPr>
              <w:fldChar w:fldCharType="begin"/>
            </w:r>
            <w:r>
              <w:rPr>
                <w:rFonts w:hAnsi="宋体"/>
                <w:snapToGrid w:val="0"/>
                <w:color w:val="auto"/>
                <w:spacing w:val="-6"/>
                <w:kern w:val="21"/>
                <w:szCs w:val="24"/>
              </w:rPr>
              <w:instrText xml:space="preserve"> = 2 \* GB3 \* MERGEFORMAT </w:instrText>
            </w:r>
            <w:r>
              <w:rPr>
                <w:rFonts w:hAnsi="宋体"/>
                <w:snapToGrid w:val="0"/>
                <w:color w:val="auto"/>
                <w:spacing w:val="-6"/>
                <w:kern w:val="21"/>
                <w:szCs w:val="24"/>
              </w:rPr>
              <w:fldChar w:fldCharType="separate"/>
            </w:r>
            <w:r>
              <w:rPr>
                <w:rFonts w:hAnsi="宋体"/>
                <w:snapToGrid w:val="0"/>
                <w:color w:val="auto"/>
                <w:spacing w:val="-6"/>
                <w:kern w:val="21"/>
                <w:szCs w:val="24"/>
              </w:rPr>
              <w:t>②</w:t>
            </w:r>
            <w:r>
              <w:rPr>
                <w:rFonts w:hAnsi="宋体"/>
                <w:snapToGrid w:val="0"/>
                <w:color w:val="auto"/>
                <w:spacing w:val="-6"/>
                <w:kern w:val="21"/>
                <w:szCs w:val="24"/>
              </w:rPr>
              <w:fldChar w:fldCharType="end"/>
            </w:r>
          </w:p>
        </w:tc>
        <w:tc>
          <w:tcPr>
            <w:tcW w:w="609" w:type="pct"/>
            <w:tcMar>
              <w:left w:w="28" w:type="dxa"/>
              <w:right w:w="28" w:type="dxa"/>
            </w:tcMar>
            <w:vAlign w:val="center"/>
          </w:tcPr>
          <w:p w14:paraId="7F1D0C0A">
            <w:pPr>
              <w:pStyle w:val="157"/>
              <w:spacing w:line="360" w:lineRule="auto"/>
              <w:rPr>
                <w:rFonts w:hAnsi="宋体"/>
                <w:snapToGrid w:val="0"/>
                <w:color w:val="auto"/>
                <w:spacing w:val="-6"/>
                <w:kern w:val="21"/>
                <w:szCs w:val="24"/>
              </w:rPr>
            </w:pPr>
            <w:r>
              <w:rPr>
                <w:rFonts w:hAnsi="宋体"/>
                <w:snapToGrid w:val="0"/>
                <w:color w:val="auto"/>
                <w:spacing w:val="-6"/>
                <w:kern w:val="21"/>
                <w:szCs w:val="24"/>
              </w:rPr>
              <w:t>在建工程</w:t>
            </w:r>
          </w:p>
          <w:p w14:paraId="2F83D90D">
            <w:pPr>
              <w:pStyle w:val="157"/>
              <w:spacing w:line="360" w:lineRule="auto"/>
              <w:rPr>
                <w:rFonts w:hAnsi="宋体"/>
                <w:snapToGrid w:val="0"/>
                <w:color w:val="auto"/>
                <w:spacing w:val="-6"/>
                <w:kern w:val="21"/>
                <w:szCs w:val="24"/>
              </w:rPr>
            </w:pPr>
            <w:r>
              <w:rPr>
                <w:rFonts w:hAnsi="宋体"/>
                <w:snapToGrid w:val="0"/>
                <w:color w:val="auto"/>
                <w:spacing w:val="-6"/>
                <w:kern w:val="21"/>
                <w:szCs w:val="24"/>
              </w:rPr>
              <w:t>排放量（固体废物产生量）</w:t>
            </w:r>
            <w:r>
              <w:rPr>
                <w:rFonts w:hAnsi="宋体"/>
                <w:snapToGrid w:val="0"/>
                <w:color w:val="auto"/>
                <w:spacing w:val="-6"/>
                <w:kern w:val="21"/>
                <w:szCs w:val="24"/>
              </w:rPr>
              <w:fldChar w:fldCharType="begin"/>
            </w:r>
            <w:r>
              <w:rPr>
                <w:rFonts w:hAnsi="宋体"/>
                <w:snapToGrid w:val="0"/>
                <w:color w:val="auto"/>
                <w:spacing w:val="-6"/>
                <w:kern w:val="21"/>
                <w:szCs w:val="24"/>
              </w:rPr>
              <w:instrText xml:space="preserve"> = 3 \* GB3 \* MERGEFORMAT </w:instrText>
            </w:r>
            <w:r>
              <w:rPr>
                <w:rFonts w:hAnsi="宋体"/>
                <w:snapToGrid w:val="0"/>
                <w:color w:val="auto"/>
                <w:spacing w:val="-6"/>
                <w:kern w:val="21"/>
                <w:szCs w:val="24"/>
              </w:rPr>
              <w:fldChar w:fldCharType="separate"/>
            </w:r>
            <w:r>
              <w:rPr>
                <w:rFonts w:hAnsi="宋体"/>
                <w:color w:val="auto"/>
                <w:szCs w:val="24"/>
              </w:rPr>
              <w:t>③</w:t>
            </w:r>
            <w:r>
              <w:rPr>
                <w:rFonts w:hAnsi="宋体"/>
                <w:snapToGrid w:val="0"/>
                <w:color w:val="auto"/>
                <w:spacing w:val="-6"/>
                <w:kern w:val="21"/>
                <w:szCs w:val="24"/>
              </w:rPr>
              <w:fldChar w:fldCharType="end"/>
            </w:r>
          </w:p>
        </w:tc>
        <w:tc>
          <w:tcPr>
            <w:tcW w:w="609" w:type="pct"/>
            <w:tcMar>
              <w:left w:w="28" w:type="dxa"/>
              <w:right w:w="28" w:type="dxa"/>
            </w:tcMar>
            <w:vAlign w:val="center"/>
          </w:tcPr>
          <w:p w14:paraId="0467277E">
            <w:pPr>
              <w:pStyle w:val="157"/>
              <w:spacing w:line="360" w:lineRule="auto"/>
              <w:rPr>
                <w:rFonts w:hAnsi="宋体"/>
                <w:snapToGrid w:val="0"/>
                <w:color w:val="auto"/>
                <w:spacing w:val="-6"/>
                <w:kern w:val="21"/>
                <w:szCs w:val="24"/>
              </w:rPr>
            </w:pPr>
            <w:r>
              <w:rPr>
                <w:rFonts w:hAnsi="宋体"/>
                <w:snapToGrid w:val="0"/>
                <w:color w:val="auto"/>
                <w:spacing w:val="-6"/>
                <w:kern w:val="21"/>
                <w:szCs w:val="24"/>
              </w:rPr>
              <w:t>本项目</w:t>
            </w:r>
          </w:p>
          <w:p w14:paraId="23A8337E">
            <w:pPr>
              <w:pStyle w:val="157"/>
              <w:spacing w:line="360" w:lineRule="auto"/>
              <w:rPr>
                <w:rFonts w:hAnsi="宋体"/>
                <w:snapToGrid w:val="0"/>
                <w:color w:val="auto"/>
                <w:spacing w:val="-6"/>
                <w:kern w:val="21"/>
                <w:szCs w:val="24"/>
              </w:rPr>
            </w:pPr>
            <w:r>
              <w:rPr>
                <w:rFonts w:hAnsi="宋体"/>
                <w:snapToGrid w:val="0"/>
                <w:color w:val="auto"/>
                <w:spacing w:val="-6"/>
                <w:kern w:val="21"/>
                <w:szCs w:val="24"/>
              </w:rPr>
              <w:t>排放量（固体废物产生量）</w:t>
            </w:r>
            <w:r>
              <w:rPr>
                <w:rFonts w:hAnsi="宋体"/>
                <w:snapToGrid w:val="0"/>
                <w:color w:val="auto"/>
                <w:spacing w:val="-6"/>
                <w:kern w:val="21"/>
                <w:szCs w:val="24"/>
              </w:rPr>
              <w:fldChar w:fldCharType="begin"/>
            </w:r>
            <w:r>
              <w:rPr>
                <w:rFonts w:hAnsi="宋体"/>
                <w:snapToGrid w:val="0"/>
                <w:color w:val="auto"/>
                <w:spacing w:val="-6"/>
                <w:kern w:val="21"/>
                <w:szCs w:val="24"/>
              </w:rPr>
              <w:instrText xml:space="preserve"> = 4 \* GB3 \* MERGEFORMAT </w:instrText>
            </w:r>
            <w:r>
              <w:rPr>
                <w:rFonts w:hAnsi="宋体"/>
                <w:snapToGrid w:val="0"/>
                <w:color w:val="auto"/>
                <w:spacing w:val="-6"/>
                <w:kern w:val="21"/>
                <w:szCs w:val="24"/>
              </w:rPr>
              <w:fldChar w:fldCharType="separate"/>
            </w:r>
            <w:r>
              <w:rPr>
                <w:rFonts w:hAnsi="宋体"/>
                <w:color w:val="auto"/>
                <w:szCs w:val="24"/>
              </w:rPr>
              <w:t>④</w:t>
            </w:r>
            <w:r>
              <w:rPr>
                <w:rFonts w:hAnsi="宋体"/>
                <w:snapToGrid w:val="0"/>
                <w:color w:val="auto"/>
                <w:spacing w:val="-6"/>
                <w:kern w:val="21"/>
                <w:szCs w:val="24"/>
              </w:rPr>
              <w:fldChar w:fldCharType="end"/>
            </w:r>
          </w:p>
        </w:tc>
        <w:tc>
          <w:tcPr>
            <w:tcW w:w="558" w:type="pct"/>
            <w:tcMar>
              <w:left w:w="28" w:type="dxa"/>
              <w:right w:w="28" w:type="dxa"/>
            </w:tcMar>
            <w:vAlign w:val="center"/>
          </w:tcPr>
          <w:p w14:paraId="5F2AA469">
            <w:pPr>
              <w:pStyle w:val="157"/>
              <w:spacing w:line="360" w:lineRule="auto"/>
              <w:rPr>
                <w:rFonts w:hAnsi="宋体"/>
                <w:snapToGrid w:val="0"/>
                <w:color w:val="auto"/>
                <w:spacing w:val="-16"/>
                <w:kern w:val="21"/>
                <w:szCs w:val="24"/>
              </w:rPr>
            </w:pPr>
            <w:r>
              <w:rPr>
                <w:rFonts w:hAnsi="宋体"/>
                <w:snapToGrid w:val="0"/>
                <w:color w:val="auto"/>
                <w:spacing w:val="-16"/>
                <w:kern w:val="21"/>
                <w:szCs w:val="24"/>
              </w:rPr>
              <w:t>以新带老削减量</w:t>
            </w:r>
          </w:p>
          <w:p w14:paraId="0FC20658">
            <w:pPr>
              <w:pStyle w:val="157"/>
              <w:spacing w:line="360" w:lineRule="auto"/>
              <w:rPr>
                <w:rFonts w:hAnsi="宋体"/>
                <w:snapToGrid w:val="0"/>
                <w:color w:val="auto"/>
                <w:spacing w:val="-16"/>
                <w:kern w:val="21"/>
                <w:szCs w:val="24"/>
              </w:rPr>
            </w:pPr>
            <w:r>
              <w:rPr>
                <w:rFonts w:hAnsi="宋体"/>
                <w:snapToGrid w:val="0"/>
                <w:color w:val="auto"/>
                <w:spacing w:val="-16"/>
                <w:kern w:val="21"/>
                <w:szCs w:val="24"/>
              </w:rPr>
              <w:t>（新建项目不填）</w:t>
            </w:r>
            <w:r>
              <w:rPr>
                <w:rFonts w:hAnsi="宋体"/>
                <w:snapToGrid w:val="0"/>
                <w:color w:val="auto"/>
                <w:spacing w:val="-16"/>
                <w:kern w:val="21"/>
                <w:szCs w:val="24"/>
              </w:rPr>
              <w:fldChar w:fldCharType="begin"/>
            </w:r>
            <w:r>
              <w:rPr>
                <w:rFonts w:hAnsi="宋体"/>
                <w:snapToGrid w:val="0"/>
                <w:color w:val="auto"/>
                <w:spacing w:val="-16"/>
                <w:kern w:val="21"/>
                <w:szCs w:val="24"/>
              </w:rPr>
              <w:instrText xml:space="preserve"> = 5 \* GB3 \* MERGEFORMAT </w:instrText>
            </w:r>
            <w:r>
              <w:rPr>
                <w:rFonts w:hAnsi="宋体"/>
                <w:snapToGrid w:val="0"/>
                <w:color w:val="auto"/>
                <w:spacing w:val="-16"/>
                <w:kern w:val="21"/>
                <w:szCs w:val="24"/>
              </w:rPr>
              <w:fldChar w:fldCharType="separate"/>
            </w:r>
            <w:r>
              <w:rPr>
                <w:rFonts w:hAnsi="宋体"/>
                <w:color w:val="auto"/>
                <w:szCs w:val="24"/>
              </w:rPr>
              <w:t>⑤</w:t>
            </w:r>
            <w:r>
              <w:rPr>
                <w:rFonts w:hAnsi="宋体"/>
                <w:snapToGrid w:val="0"/>
                <w:color w:val="auto"/>
                <w:spacing w:val="-16"/>
                <w:kern w:val="21"/>
                <w:szCs w:val="24"/>
              </w:rPr>
              <w:fldChar w:fldCharType="end"/>
            </w:r>
          </w:p>
        </w:tc>
        <w:tc>
          <w:tcPr>
            <w:tcW w:w="609" w:type="pct"/>
            <w:tcMar>
              <w:left w:w="28" w:type="dxa"/>
              <w:right w:w="28" w:type="dxa"/>
            </w:tcMar>
            <w:vAlign w:val="center"/>
          </w:tcPr>
          <w:p w14:paraId="4F8447FA">
            <w:pPr>
              <w:pStyle w:val="157"/>
              <w:spacing w:line="360" w:lineRule="auto"/>
              <w:rPr>
                <w:rFonts w:hAnsi="宋体"/>
                <w:snapToGrid w:val="0"/>
                <w:color w:val="auto"/>
                <w:spacing w:val="-16"/>
                <w:kern w:val="21"/>
                <w:szCs w:val="24"/>
              </w:rPr>
            </w:pPr>
            <w:r>
              <w:rPr>
                <w:rFonts w:hAnsi="宋体"/>
                <w:snapToGrid w:val="0"/>
                <w:color w:val="auto"/>
                <w:spacing w:val="-16"/>
                <w:kern w:val="21"/>
                <w:szCs w:val="24"/>
              </w:rPr>
              <w:t>本项目建成后</w:t>
            </w:r>
          </w:p>
          <w:p w14:paraId="01C93F4C">
            <w:pPr>
              <w:pStyle w:val="157"/>
              <w:spacing w:line="360" w:lineRule="auto"/>
              <w:rPr>
                <w:rFonts w:hAnsi="宋体"/>
                <w:snapToGrid w:val="0"/>
                <w:color w:val="auto"/>
                <w:spacing w:val="-16"/>
                <w:kern w:val="21"/>
                <w:szCs w:val="24"/>
              </w:rPr>
            </w:pPr>
            <w:r>
              <w:rPr>
                <w:rFonts w:hAnsi="宋体"/>
                <w:snapToGrid w:val="0"/>
                <w:color w:val="auto"/>
                <w:spacing w:val="-16"/>
                <w:kern w:val="21"/>
                <w:szCs w:val="24"/>
              </w:rPr>
              <w:t>全厂排放量（固体废物产生量）</w:t>
            </w:r>
            <w:r>
              <w:rPr>
                <w:rFonts w:hAnsi="宋体"/>
                <w:snapToGrid w:val="0"/>
                <w:color w:val="auto"/>
                <w:spacing w:val="-16"/>
                <w:kern w:val="21"/>
                <w:szCs w:val="24"/>
              </w:rPr>
              <w:fldChar w:fldCharType="begin"/>
            </w:r>
            <w:r>
              <w:rPr>
                <w:rFonts w:hAnsi="宋体"/>
                <w:snapToGrid w:val="0"/>
                <w:color w:val="auto"/>
                <w:spacing w:val="-16"/>
                <w:kern w:val="21"/>
                <w:szCs w:val="24"/>
              </w:rPr>
              <w:instrText xml:space="preserve"> = 6 \* GB3 \* MERGEFORMAT </w:instrText>
            </w:r>
            <w:r>
              <w:rPr>
                <w:rFonts w:hAnsi="宋体"/>
                <w:snapToGrid w:val="0"/>
                <w:color w:val="auto"/>
                <w:spacing w:val="-16"/>
                <w:kern w:val="21"/>
                <w:szCs w:val="24"/>
              </w:rPr>
              <w:fldChar w:fldCharType="separate"/>
            </w:r>
            <w:r>
              <w:rPr>
                <w:rFonts w:hAnsi="宋体"/>
                <w:color w:val="auto"/>
                <w:szCs w:val="24"/>
              </w:rPr>
              <w:t>⑥</w:t>
            </w:r>
            <w:r>
              <w:rPr>
                <w:rFonts w:hAnsi="宋体"/>
                <w:snapToGrid w:val="0"/>
                <w:color w:val="auto"/>
                <w:spacing w:val="-16"/>
                <w:kern w:val="21"/>
                <w:szCs w:val="24"/>
              </w:rPr>
              <w:fldChar w:fldCharType="end"/>
            </w:r>
          </w:p>
        </w:tc>
        <w:tc>
          <w:tcPr>
            <w:tcW w:w="551" w:type="pct"/>
            <w:tcMar>
              <w:left w:w="28" w:type="dxa"/>
              <w:right w:w="28" w:type="dxa"/>
            </w:tcMar>
            <w:vAlign w:val="center"/>
          </w:tcPr>
          <w:p w14:paraId="469E4E11">
            <w:pPr>
              <w:pStyle w:val="157"/>
              <w:spacing w:line="360" w:lineRule="auto"/>
              <w:rPr>
                <w:rFonts w:hAnsi="宋体"/>
                <w:snapToGrid w:val="0"/>
                <w:color w:val="auto"/>
                <w:spacing w:val="-6"/>
                <w:kern w:val="21"/>
                <w:szCs w:val="24"/>
              </w:rPr>
            </w:pPr>
            <w:r>
              <w:rPr>
                <w:rFonts w:hAnsi="宋体"/>
                <w:snapToGrid w:val="0"/>
                <w:color w:val="auto"/>
                <w:spacing w:val="-6"/>
                <w:kern w:val="21"/>
                <w:szCs w:val="24"/>
              </w:rPr>
              <w:t>变化量</w:t>
            </w:r>
          </w:p>
          <w:p w14:paraId="615F002B">
            <w:pPr>
              <w:pStyle w:val="157"/>
              <w:spacing w:line="360" w:lineRule="auto"/>
              <w:rPr>
                <w:rFonts w:hAnsi="宋体"/>
                <w:snapToGrid w:val="0"/>
                <w:color w:val="auto"/>
                <w:spacing w:val="-6"/>
                <w:kern w:val="21"/>
                <w:szCs w:val="24"/>
              </w:rPr>
            </w:pPr>
            <w:r>
              <w:rPr>
                <w:rFonts w:hAnsi="宋体"/>
                <w:snapToGrid w:val="0"/>
                <w:color w:val="auto"/>
                <w:spacing w:val="-6"/>
                <w:kern w:val="21"/>
                <w:szCs w:val="24"/>
              </w:rPr>
              <w:fldChar w:fldCharType="begin"/>
            </w:r>
            <w:r>
              <w:rPr>
                <w:rFonts w:hAnsi="宋体"/>
                <w:snapToGrid w:val="0"/>
                <w:color w:val="auto"/>
                <w:spacing w:val="-6"/>
                <w:kern w:val="21"/>
                <w:szCs w:val="24"/>
              </w:rPr>
              <w:instrText xml:space="preserve"> = 7 \* GB3 \* MERGEFORMAT </w:instrText>
            </w:r>
            <w:r>
              <w:rPr>
                <w:rFonts w:hAnsi="宋体"/>
                <w:snapToGrid w:val="0"/>
                <w:color w:val="auto"/>
                <w:spacing w:val="-6"/>
                <w:kern w:val="21"/>
                <w:szCs w:val="24"/>
              </w:rPr>
              <w:fldChar w:fldCharType="separate"/>
            </w:r>
            <w:r>
              <w:rPr>
                <w:rFonts w:hAnsi="宋体"/>
                <w:color w:val="auto"/>
                <w:szCs w:val="24"/>
              </w:rPr>
              <w:t>⑦</w:t>
            </w:r>
            <w:r>
              <w:rPr>
                <w:rFonts w:hAnsi="宋体"/>
                <w:snapToGrid w:val="0"/>
                <w:color w:val="auto"/>
                <w:spacing w:val="-6"/>
                <w:kern w:val="21"/>
                <w:szCs w:val="24"/>
              </w:rPr>
              <w:fldChar w:fldCharType="end"/>
            </w:r>
          </w:p>
        </w:tc>
      </w:tr>
      <w:tr w14:paraId="5D2379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5" w:type="pct"/>
            <w:vMerge w:val="restart"/>
            <w:vAlign w:val="center"/>
          </w:tcPr>
          <w:p w14:paraId="548C698F">
            <w:pPr>
              <w:pStyle w:val="157"/>
              <w:spacing w:line="360" w:lineRule="auto"/>
              <w:rPr>
                <w:snapToGrid w:val="0"/>
                <w:color w:val="auto"/>
                <w:kern w:val="21"/>
                <w:szCs w:val="24"/>
              </w:rPr>
            </w:pPr>
            <w:r>
              <w:rPr>
                <w:rFonts w:hAnsi="宋体"/>
                <w:snapToGrid w:val="0"/>
                <w:color w:val="auto"/>
                <w:kern w:val="21"/>
                <w:szCs w:val="24"/>
              </w:rPr>
              <w:t>废气</w:t>
            </w:r>
          </w:p>
        </w:tc>
        <w:tc>
          <w:tcPr>
            <w:tcW w:w="506" w:type="pct"/>
            <w:vAlign w:val="center"/>
          </w:tcPr>
          <w:p w14:paraId="5D9372E7">
            <w:pPr>
              <w:pStyle w:val="157"/>
              <w:spacing w:line="360" w:lineRule="auto"/>
              <w:rPr>
                <w:snapToGrid w:val="0"/>
                <w:color w:val="auto"/>
                <w:kern w:val="21"/>
                <w:szCs w:val="24"/>
              </w:rPr>
            </w:pPr>
            <w:r>
              <w:rPr>
                <w:rFonts w:hint="eastAsia" w:hAnsi="宋体"/>
                <w:snapToGrid w:val="0"/>
                <w:color w:val="auto"/>
                <w:kern w:val="21"/>
                <w:szCs w:val="24"/>
              </w:rPr>
              <w:t>颗粒物</w:t>
            </w:r>
          </w:p>
        </w:tc>
        <w:tc>
          <w:tcPr>
            <w:tcW w:w="609" w:type="pct"/>
            <w:vAlign w:val="center"/>
          </w:tcPr>
          <w:p w14:paraId="13A365DD">
            <w:pPr>
              <w:pStyle w:val="157"/>
              <w:spacing w:line="360" w:lineRule="auto"/>
              <w:rPr>
                <w:snapToGrid w:val="0"/>
                <w:color w:val="auto"/>
                <w:kern w:val="21"/>
                <w:szCs w:val="24"/>
              </w:rPr>
            </w:pPr>
            <w:r>
              <w:rPr>
                <w:rFonts w:hint="eastAsia"/>
                <w:snapToGrid w:val="0"/>
                <w:color w:val="auto"/>
                <w:kern w:val="21"/>
                <w:szCs w:val="24"/>
              </w:rPr>
              <w:t>11.972t/a</w:t>
            </w:r>
          </w:p>
        </w:tc>
        <w:tc>
          <w:tcPr>
            <w:tcW w:w="484" w:type="pct"/>
            <w:vAlign w:val="center"/>
          </w:tcPr>
          <w:p w14:paraId="34CA8EF9">
            <w:pPr>
              <w:pStyle w:val="157"/>
              <w:spacing w:line="360" w:lineRule="auto"/>
              <w:rPr>
                <w:snapToGrid w:val="0"/>
                <w:color w:val="auto"/>
                <w:kern w:val="21"/>
                <w:szCs w:val="24"/>
              </w:rPr>
            </w:pPr>
            <w:r>
              <w:rPr>
                <w:rFonts w:hint="eastAsia"/>
                <w:snapToGrid w:val="0"/>
                <w:color w:val="auto"/>
                <w:kern w:val="21"/>
                <w:szCs w:val="24"/>
              </w:rPr>
              <w:t>179.5452t/a</w:t>
            </w:r>
          </w:p>
        </w:tc>
        <w:tc>
          <w:tcPr>
            <w:tcW w:w="609" w:type="pct"/>
            <w:vAlign w:val="center"/>
          </w:tcPr>
          <w:p w14:paraId="028CB676">
            <w:pPr>
              <w:pStyle w:val="157"/>
              <w:spacing w:line="360" w:lineRule="auto"/>
              <w:rPr>
                <w:snapToGrid w:val="0"/>
                <w:color w:val="auto"/>
                <w:kern w:val="21"/>
                <w:szCs w:val="24"/>
              </w:rPr>
            </w:pPr>
            <w:r>
              <w:rPr>
                <w:snapToGrid w:val="0"/>
                <w:color w:val="auto"/>
                <w:kern w:val="21"/>
                <w:szCs w:val="24"/>
              </w:rPr>
              <w:t>0</w:t>
            </w:r>
          </w:p>
        </w:tc>
        <w:tc>
          <w:tcPr>
            <w:tcW w:w="609" w:type="pct"/>
            <w:vAlign w:val="center"/>
          </w:tcPr>
          <w:p w14:paraId="01B9F71B">
            <w:pPr>
              <w:spacing w:line="360" w:lineRule="auto"/>
              <w:jc w:val="center"/>
              <w:rPr>
                <w:color w:val="auto"/>
                <w:sz w:val="24"/>
                <w:szCs w:val="24"/>
              </w:rPr>
            </w:pPr>
            <w:r>
              <w:rPr>
                <w:rFonts w:hint="eastAsia"/>
                <w:color w:val="auto"/>
                <w:sz w:val="24"/>
                <w:szCs w:val="24"/>
              </w:rPr>
              <w:t>0</w:t>
            </w:r>
          </w:p>
        </w:tc>
        <w:tc>
          <w:tcPr>
            <w:tcW w:w="558" w:type="pct"/>
            <w:vAlign w:val="center"/>
          </w:tcPr>
          <w:p w14:paraId="4F8DE397">
            <w:pPr>
              <w:pStyle w:val="157"/>
              <w:spacing w:line="360" w:lineRule="auto"/>
              <w:rPr>
                <w:snapToGrid w:val="0"/>
                <w:color w:val="auto"/>
                <w:kern w:val="21"/>
                <w:szCs w:val="24"/>
              </w:rPr>
            </w:pPr>
            <w:r>
              <w:rPr>
                <w:rFonts w:hint="eastAsia"/>
                <w:snapToGrid w:val="0"/>
                <w:color w:val="auto"/>
                <w:kern w:val="21"/>
                <w:szCs w:val="24"/>
              </w:rPr>
              <w:t>/</w:t>
            </w:r>
          </w:p>
        </w:tc>
        <w:tc>
          <w:tcPr>
            <w:tcW w:w="609" w:type="pct"/>
            <w:vAlign w:val="center"/>
          </w:tcPr>
          <w:p w14:paraId="6862CD3F">
            <w:pPr>
              <w:spacing w:line="360" w:lineRule="auto"/>
              <w:jc w:val="center"/>
              <w:rPr>
                <w:color w:val="auto"/>
                <w:sz w:val="24"/>
                <w:szCs w:val="24"/>
              </w:rPr>
            </w:pPr>
            <w:r>
              <w:rPr>
                <w:rFonts w:hint="eastAsia"/>
                <w:color w:val="auto"/>
                <w:sz w:val="24"/>
                <w:szCs w:val="24"/>
              </w:rPr>
              <w:t>11.972t/a</w:t>
            </w:r>
          </w:p>
        </w:tc>
        <w:tc>
          <w:tcPr>
            <w:tcW w:w="552" w:type="pct"/>
            <w:vAlign w:val="center"/>
          </w:tcPr>
          <w:p w14:paraId="4B7084E1">
            <w:pPr>
              <w:spacing w:line="360" w:lineRule="auto"/>
              <w:jc w:val="center"/>
              <w:rPr>
                <w:color w:val="auto"/>
                <w:sz w:val="24"/>
                <w:szCs w:val="24"/>
              </w:rPr>
            </w:pPr>
            <w:r>
              <w:rPr>
                <w:rFonts w:hint="eastAsia"/>
                <w:color w:val="auto"/>
                <w:sz w:val="24"/>
                <w:szCs w:val="24"/>
              </w:rPr>
              <w:t>0</w:t>
            </w:r>
          </w:p>
        </w:tc>
      </w:tr>
      <w:tr w14:paraId="3C0F93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5" w:type="pct"/>
            <w:vMerge w:val="continue"/>
            <w:vAlign w:val="center"/>
          </w:tcPr>
          <w:p w14:paraId="769DBA52">
            <w:pPr>
              <w:pStyle w:val="157"/>
              <w:spacing w:line="360" w:lineRule="auto"/>
              <w:rPr>
                <w:rFonts w:hAnsi="宋体"/>
                <w:snapToGrid w:val="0"/>
                <w:color w:val="auto"/>
                <w:kern w:val="21"/>
                <w:szCs w:val="24"/>
              </w:rPr>
            </w:pPr>
          </w:p>
        </w:tc>
        <w:tc>
          <w:tcPr>
            <w:tcW w:w="506" w:type="pct"/>
            <w:vAlign w:val="center"/>
          </w:tcPr>
          <w:p w14:paraId="1E5BC869">
            <w:pPr>
              <w:pStyle w:val="157"/>
              <w:spacing w:line="360" w:lineRule="auto"/>
              <w:rPr>
                <w:rFonts w:hAnsi="宋体"/>
                <w:snapToGrid w:val="0"/>
                <w:color w:val="auto"/>
                <w:kern w:val="21"/>
                <w:szCs w:val="24"/>
              </w:rPr>
            </w:pPr>
            <w:r>
              <w:rPr>
                <w:rFonts w:hint="eastAsia" w:hAnsi="宋体"/>
                <w:snapToGrid w:val="0"/>
                <w:color w:val="auto"/>
                <w:kern w:val="21"/>
                <w:szCs w:val="24"/>
              </w:rPr>
              <w:t>非甲烷总烃</w:t>
            </w:r>
          </w:p>
        </w:tc>
        <w:tc>
          <w:tcPr>
            <w:tcW w:w="609" w:type="pct"/>
            <w:vAlign w:val="center"/>
          </w:tcPr>
          <w:p w14:paraId="1C7BA05A">
            <w:pPr>
              <w:pStyle w:val="157"/>
              <w:spacing w:line="360" w:lineRule="auto"/>
              <w:rPr>
                <w:snapToGrid w:val="0"/>
                <w:color w:val="auto"/>
                <w:kern w:val="21"/>
                <w:szCs w:val="24"/>
              </w:rPr>
            </w:pPr>
            <w:r>
              <w:rPr>
                <w:rFonts w:hint="eastAsia"/>
                <w:snapToGrid w:val="0"/>
                <w:color w:val="auto"/>
                <w:kern w:val="21"/>
                <w:szCs w:val="24"/>
              </w:rPr>
              <w:t>0.4137t/a</w:t>
            </w:r>
          </w:p>
        </w:tc>
        <w:tc>
          <w:tcPr>
            <w:tcW w:w="484" w:type="pct"/>
            <w:vAlign w:val="center"/>
          </w:tcPr>
          <w:p w14:paraId="4EA3690D">
            <w:pPr>
              <w:pStyle w:val="157"/>
              <w:spacing w:line="360" w:lineRule="auto"/>
              <w:rPr>
                <w:snapToGrid w:val="0"/>
                <w:color w:val="auto"/>
                <w:kern w:val="21"/>
                <w:szCs w:val="24"/>
              </w:rPr>
            </w:pPr>
            <w:r>
              <w:rPr>
                <w:rFonts w:hint="eastAsia"/>
                <w:snapToGrid w:val="0"/>
                <w:color w:val="auto"/>
                <w:kern w:val="21"/>
                <w:szCs w:val="24"/>
              </w:rPr>
              <w:t>1.0676t/a</w:t>
            </w:r>
          </w:p>
        </w:tc>
        <w:tc>
          <w:tcPr>
            <w:tcW w:w="609" w:type="pct"/>
            <w:vAlign w:val="center"/>
          </w:tcPr>
          <w:p w14:paraId="76738281">
            <w:pPr>
              <w:pStyle w:val="157"/>
              <w:spacing w:line="360" w:lineRule="auto"/>
              <w:rPr>
                <w:snapToGrid w:val="0"/>
                <w:color w:val="auto"/>
                <w:kern w:val="21"/>
                <w:szCs w:val="24"/>
              </w:rPr>
            </w:pPr>
            <w:r>
              <w:rPr>
                <w:snapToGrid w:val="0"/>
                <w:color w:val="auto"/>
                <w:kern w:val="21"/>
                <w:szCs w:val="24"/>
              </w:rPr>
              <w:t>0</w:t>
            </w:r>
          </w:p>
        </w:tc>
        <w:tc>
          <w:tcPr>
            <w:tcW w:w="609" w:type="pct"/>
            <w:vAlign w:val="center"/>
          </w:tcPr>
          <w:p w14:paraId="1A5EAE75">
            <w:pPr>
              <w:spacing w:line="360" w:lineRule="auto"/>
              <w:jc w:val="center"/>
              <w:rPr>
                <w:color w:val="auto"/>
                <w:sz w:val="24"/>
                <w:szCs w:val="24"/>
              </w:rPr>
            </w:pPr>
            <w:r>
              <w:rPr>
                <w:rFonts w:hint="eastAsia"/>
                <w:color w:val="auto"/>
                <w:sz w:val="24"/>
                <w:szCs w:val="24"/>
              </w:rPr>
              <w:t>1.795t/a</w:t>
            </w:r>
          </w:p>
        </w:tc>
        <w:tc>
          <w:tcPr>
            <w:tcW w:w="558" w:type="pct"/>
            <w:vAlign w:val="center"/>
          </w:tcPr>
          <w:p w14:paraId="2005B6D8">
            <w:pPr>
              <w:pStyle w:val="157"/>
              <w:spacing w:line="360" w:lineRule="auto"/>
              <w:rPr>
                <w:snapToGrid w:val="0"/>
                <w:color w:val="auto"/>
                <w:kern w:val="21"/>
                <w:szCs w:val="24"/>
              </w:rPr>
            </w:pPr>
            <w:r>
              <w:rPr>
                <w:rFonts w:hint="eastAsia"/>
                <w:snapToGrid w:val="0"/>
                <w:color w:val="auto"/>
                <w:kern w:val="21"/>
                <w:szCs w:val="24"/>
              </w:rPr>
              <w:t>/</w:t>
            </w:r>
          </w:p>
        </w:tc>
        <w:tc>
          <w:tcPr>
            <w:tcW w:w="609" w:type="pct"/>
            <w:vAlign w:val="center"/>
          </w:tcPr>
          <w:p w14:paraId="67117AA3">
            <w:pPr>
              <w:spacing w:line="360" w:lineRule="auto"/>
              <w:jc w:val="center"/>
              <w:rPr>
                <w:color w:val="auto"/>
                <w:sz w:val="24"/>
                <w:szCs w:val="24"/>
              </w:rPr>
            </w:pPr>
            <w:r>
              <w:rPr>
                <w:rFonts w:hint="eastAsia"/>
                <w:color w:val="auto"/>
                <w:sz w:val="24"/>
                <w:szCs w:val="24"/>
              </w:rPr>
              <w:t>2.2087t/a</w:t>
            </w:r>
          </w:p>
        </w:tc>
        <w:tc>
          <w:tcPr>
            <w:tcW w:w="552" w:type="pct"/>
            <w:vAlign w:val="center"/>
          </w:tcPr>
          <w:p w14:paraId="288BE30F">
            <w:pPr>
              <w:spacing w:line="360" w:lineRule="auto"/>
              <w:jc w:val="center"/>
              <w:rPr>
                <w:color w:val="auto"/>
                <w:sz w:val="24"/>
                <w:szCs w:val="24"/>
              </w:rPr>
            </w:pPr>
            <w:r>
              <w:rPr>
                <w:rFonts w:hint="eastAsia"/>
                <w:color w:val="auto"/>
                <w:sz w:val="24"/>
                <w:szCs w:val="24"/>
              </w:rPr>
              <w:t>+1.795t/a</w:t>
            </w:r>
          </w:p>
        </w:tc>
      </w:tr>
      <w:tr w14:paraId="52E606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65" w:type="pct"/>
            <w:vMerge w:val="continue"/>
            <w:vAlign w:val="center"/>
          </w:tcPr>
          <w:p w14:paraId="394455E3">
            <w:pPr>
              <w:pStyle w:val="157"/>
              <w:spacing w:line="360" w:lineRule="auto"/>
              <w:rPr>
                <w:rFonts w:hAnsi="宋体"/>
                <w:snapToGrid w:val="0"/>
                <w:color w:val="auto"/>
                <w:kern w:val="21"/>
                <w:szCs w:val="24"/>
              </w:rPr>
            </w:pPr>
          </w:p>
        </w:tc>
        <w:tc>
          <w:tcPr>
            <w:tcW w:w="506" w:type="pct"/>
            <w:vAlign w:val="center"/>
          </w:tcPr>
          <w:p w14:paraId="7D2057EB">
            <w:pPr>
              <w:pStyle w:val="105"/>
              <w:spacing w:line="360" w:lineRule="auto"/>
              <w:rPr>
                <w:color w:val="auto"/>
                <w:sz w:val="24"/>
                <w:szCs w:val="24"/>
              </w:rPr>
            </w:pPr>
            <w:r>
              <w:rPr>
                <w:rFonts w:hint="eastAsia"/>
                <w:color w:val="auto"/>
                <w:sz w:val="24"/>
                <w:szCs w:val="24"/>
              </w:rPr>
              <w:t>SO</w:t>
            </w:r>
            <w:r>
              <w:rPr>
                <w:rFonts w:hint="eastAsia"/>
                <w:color w:val="auto"/>
                <w:sz w:val="24"/>
                <w:szCs w:val="24"/>
                <w:vertAlign w:val="subscript"/>
              </w:rPr>
              <w:t>2</w:t>
            </w:r>
          </w:p>
        </w:tc>
        <w:tc>
          <w:tcPr>
            <w:tcW w:w="609" w:type="pct"/>
            <w:vAlign w:val="center"/>
          </w:tcPr>
          <w:p w14:paraId="3CC3FBC5">
            <w:pPr>
              <w:pStyle w:val="157"/>
              <w:spacing w:line="360" w:lineRule="auto"/>
              <w:rPr>
                <w:snapToGrid w:val="0"/>
                <w:color w:val="auto"/>
                <w:kern w:val="21"/>
                <w:szCs w:val="24"/>
              </w:rPr>
            </w:pPr>
            <w:r>
              <w:rPr>
                <w:rFonts w:hint="eastAsia"/>
                <w:snapToGrid w:val="0"/>
                <w:color w:val="auto"/>
                <w:kern w:val="21"/>
                <w:szCs w:val="24"/>
              </w:rPr>
              <w:t>4.219t/a</w:t>
            </w:r>
          </w:p>
        </w:tc>
        <w:tc>
          <w:tcPr>
            <w:tcW w:w="484" w:type="pct"/>
            <w:vAlign w:val="center"/>
          </w:tcPr>
          <w:p w14:paraId="1C2B12A3">
            <w:pPr>
              <w:pStyle w:val="157"/>
              <w:spacing w:line="360" w:lineRule="auto"/>
              <w:rPr>
                <w:snapToGrid w:val="0"/>
                <w:color w:val="auto"/>
                <w:kern w:val="21"/>
                <w:szCs w:val="24"/>
              </w:rPr>
            </w:pPr>
            <w:r>
              <w:rPr>
                <w:rFonts w:hint="eastAsia"/>
                <w:snapToGrid w:val="0"/>
                <w:color w:val="auto"/>
                <w:kern w:val="21"/>
                <w:szCs w:val="24"/>
              </w:rPr>
              <w:t>26.9024t/a</w:t>
            </w:r>
          </w:p>
        </w:tc>
        <w:tc>
          <w:tcPr>
            <w:tcW w:w="609" w:type="pct"/>
            <w:vAlign w:val="center"/>
          </w:tcPr>
          <w:p w14:paraId="571AAD75">
            <w:pPr>
              <w:pStyle w:val="157"/>
              <w:spacing w:line="360" w:lineRule="auto"/>
              <w:rPr>
                <w:snapToGrid w:val="0"/>
                <w:color w:val="auto"/>
                <w:kern w:val="21"/>
                <w:szCs w:val="24"/>
              </w:rPr>
            </w:pPr>
            <w:r>
              <w:rPr>
                <w:snapToGrid w:val="0"/>
                <w:color w:val="auto"/>
                <w:kern w:val="21"/>
                <w:szCs w:val="24"/>
              </w:rPr>
              <w:t>0</w:t>
            </w:r>
          </w:p>
        </w:tc>
        <w:tc>
          <w:tcPr>
            <w:tcW w:w="609" w:type="pct"/>
            <w:vAlign w:val="center"/>
          </w:tcPr>
          <w:p w14:paraId="4F2CC87D">
            <w:pPr>
              <w:pStyle w:val="157"/>
              <w:spacing w:line="360" w:lineRule="auto"/>
              <w:rPr>
                <w:snapToGrid w:val="0"/>
                <w:color w:val="auto"/>
                <w:kern w:val="21"/>
                <w:szCs w:val="24"/>
              </w:rPr>
            </w:pPr>
            <w:r>
              <w:rPr>
                <w:rFonts w:hint="eastAsia"/>
                <w:snapToGrid w:val="0"/>
                <w:color w:val="auto"/>
                <w:kern w:val="21"/>
                <w:szCs w:val="24"/>
              </w:rPr>
              <w:t>0</w:t>
            </w:r>
          </w:p>
        </w:tc>
        <w:tc>
          <w:tcPr>
            <w:tcW w:w="558" w:type="pct"/>
            <w:vAlign w:val="center"/>
          </w:tcPr>
          <w:p w14:paraId="2D829A7C">
            <w:pPr>
              <w:pStyle w:val="157"/>
              <w:spacing w:line="360" w:lineRule="auto"/>
              <w:rPr>
                <w:snapToGrid w:val="0"/>
                <w:color w:val="auto"/>
                <w:kern w:val="21"/>
                <w:szCs w:val="24"/>
              </w:rPr>
            </w:pPr>
            <w:r>
              <w:rPr>
                <w:rFonts w:hint="eastAsia"/>
                <w:snapToGrid w:val="0"/>
                <w:color w:val="auto"/>
                <w:kern w:val="21"/>
                <w:szCs w:val="24"/>
              </w:rPr>
              <w:t>/</w:t>
            </w:r>
          </w:p>
        </w:tc>
        <w:tc>
          <w:tcPr>
            <w:tcW w:w="609" w:type="pct"/>
            <w:vAlign w:val="center"/>
          </w:tcPr>
          <w:p w14:paraId="031766EC">
            <w:pPr>
              <w:pStyle w:val="157"/>
              <w:spacing w:line="360" w:lineRule="auto"/>
              <w:rPr>
                <w:snapToGrid w:val="0"/>
                <w:color w:val="auto"/>
                <w:kern w:val="21"/>
                <w:szCs w:val="24"/>
              </w:rPr>
            </w:pPr>
            <w:r>
              <w:rPr>
                <w:rFonts w:hint="eastAsia"/>
                <w:snapToGrid w:val="0"/>
                <w:color w:val="auto"/>
                <w:kern w:val="21"/>
                <w:szCs w:val="24"/>
              </w:rPr>
              <w:t>4.219t/a</w:t>
            </w:r>
          </w:p>
        </w:tc>
        <w:tc>
          <w:tcPr>
            <w:tcW w:w="552" w:type="pct"/>
            <w:vAlign w:val="center"/>
          </w:tcPr>
          <w:p w14:paraId="648D5C12">
            <w:pPr>
              <w:pStyle w:val="157"/>
              <w:spacing w:line="360" w:lineRule="auto"/>
              <w:rPr>
                <w:snapToGrid w:val="0"/>
                <w:color w:val="auto"/>
                <w:kern w:val="21"/>
                <w:szCs w:val="24"/>
              </w:rPr>
            </w:pPr>
            <w:r>
              <w:rPr>
                <w:rFonts w:hint="eastAsia"/>
                <w:snapToGrid w:val="0"/>
                <w:color w:val="auto"/>
                <w:kern w:val="21"/>
                <w:szCs w:val="24"/>
              </w:rPr>
              <w:t>0</w:t>
            </w:r>
          </w:p>
        </w:tc>
      </w:tr>
      <w:tr w14:paraId="172DF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65" w:type="pct"/>
            <w:vMerge w:val="continue"/>
            <w:vAlign w:val="center"/>
          </w:tcPr>
          <w:p w14:paraId="1329A1FC">
            <w:pPr>
              <w:pStyle w:val="157"/>
              <w:spacing w:line="360" w:lineRule="auto"/>
              <w:rPr>
                <w:rFonts w:hAnsi="宋体"/>
                <w:snapToGrid w:val="0"/>
                <w:color w:val="auto"/>
                <w:kern w:val="21"/>
                <w:szCs w:val="24"/>
              </w:rPr>
            </w:pPr>
          </w:p>
        </w:tc>
        <w:tc>
          <w:tcPr>
            <w:tcW w:w="506" w:type="pct"/>
            <w:vAlign w:val="center"/>
          </w:tcPr>
          <w:p w14:paraId="3C4D92CB">
            <w:pPr>
              <w:pStyle w:val="105"/>
              <w:spacing w:line="360" w:lineRule="auto"/>
              <w:rPr>
                <w:color w:val="auto"/>
                <w:sz w:val="24"/>
                <w:szCs w:val="24"/>
              </w:rPr>
            </w:pPr>
            <w:r>
              <w:rPr>
                <w:rFonts w:hint="eastAsia"/>
                <w:color w:val="auto"/>
                <w:sz w:val="24"/>
                <w:szCs w:val="24"/>
              </w:rPr>
              <w:t>NO</w:t>
            </w:r>
            <w:r>
              <w:rPr>
                <w:rFonts w:hint="eastAsia"/>
                <w:color w:val="auto"/>
                <w:sz w:val="24"/>
                <w:szCs w:val="24"/>
                <w:vertAlign w:val="subscript"/>
              </w:rPr>
              <w:t>2</w:t>
            </w:r>
          </w:p>
        </w:tc>
        <w:tc>
          <w:tcPr>
            <w:tcW w:w="609" w:type="pct"/>
            <w:vAlign w:val="center"/>
          </w:tcPr>
          <w:p w14:paraId="024BC34A">
            <w:pPr>
              <w:pStyle w:val="157"/>
              <w:spacing w:line="360" w:lineRule="auto"/>
              <w:rPr>
                <w:snapToGrid w:val="0"/>
                <w:color w:val="auto"/>
                <w:kern w:val="21"/>
                <w:szCs w:val="24"/>
              </w:rPr>
            </w:pPr>
            <w:r>
              <w:rPr>
                <w:rFonts w:hint="eastAsia"/>
                <w:snapToGrid w:val="0"/>
                <w:color w:val="auto"/>
                <w:kern w:val="21"/>
                <w:szCs w:val="24"/>
              </w:rPr>
              <w:t>11.01t/a</w:t>
            </w:r>
          </w:p>
        </w:tc>
        <w:tc>
          <w:tcPr>
            <w:tcW w:w="484" w:type="pct"/>
            <w:vAlign w:val="center"/>
          </w:tcPr>
          <w:p w14:paraId="5587E16B">
            <w:pPr>
              <w:pStyle w:val="157"/>
              <w:spacing w:line="360" w:lineRule="auto"/>
              <w:rPr>
                <w:snapToGrid w:val="0"/>
                <w:color w:val="auto"/>
                <w:kern w:val="21"/>
                <w:szCs w:val="24"/>
              </w:rPr>
            </w:pPr>
            <w:r>
              <w:rPr>
                <w:rFonts w:hint="eastAsia"/>
                <w:snapToGrid w:val="0"/>
                <w:color w:val="auto"/>
                <w:kern w:val="21"/>
                <w:szCs w:val="24"/>
              </w:rPr>
              <w:t>54.457t/a</w:t>
            </w:r>
          </w:p>
        </w:tc>
        <w:tc>
          <w:tcPr>
            <w:tcW w:w="609" w:type="pct"/>
            <w:vAlign w:val="center"/>
          </w:tcPr>
          <w:p w14:paraId="348EDE72">
            <w:pPr>
              <w:pStyle w:val="157"/>
              <w:spacing w:line="360" w:lineRule="auto"/>
              <w:rPr>
                <w:snapToGrid w:val="0"/>
                <w:color w:val="auto"/>
                <w:kern w:val="21"/>
                <w:szCs w:val="24"/>
              </w:rPr>
            </w:pPr>
            <w:r>
              <w:rPr>
                <w:rFonts w:hint="eastAsia"/>
                <w:snapToGrid w:val="0"/>
                <w:color w:val="auto"/>
                <w:kern w:val="21"/>
                <w:szCs w:val="24"/>
              </w:rPr>
              <w:t>0</w:t>
            </w:r>
          </w:p>
        </w:tc>
        <w:tc>
          <w:tcPr>
            <w:tcW w:w="609" w:type="pct"/>
            <w:vAlign w:val="center"/>
          </w:tcPr>
          <w:p w14:paraId="0D356B61">
            <w:pPr>
              <w:pStyle w:val="157"/>
              <w:spacing w:line="360" w:lineRule="auto"/>
              <w:rPr>
                <w:snapToGrid w:val="0"/>
                <w:color w:val="auto"/>
                <w:kern w:val="21"/>
                <w:szCs w:val="24"/>
              </w:rPr>
            </w:pPr>
            <w:r>
              <w:rPr>
                <w:rFonts w:hint="eastAsia"/>
                <w:snapToGrid w:val="0"/>
                <w:color w:val="auto"/>
                <w:kern w:val="21"/>
                <w:szCs w:val="24"/>
              </w:rPr>
              <w:t>0</w:t>
            </w:r>
          </w:p>
        </w:tc>
        <w:tc>
          <w:tcPr>
            <w:tcW w:w="558" w:type="pct"/>
            <w:vAlign w:val="center"/>
          </w:tcPr>
          <w:p w14:paraId="0A7812C9">
            <w:pPr>
              <w:pStyle w:val="157"/>
              <w:spacing w:line="360" w:lineRule="auto"/>
              <w:rPr>
                <w:snapToGrid w:val="0"/>
                <w:color w:val="auto"/>
                <w:kern w:val="21"/>
                <w:szCs w:val="24"/>
              </w:rPr>
            </w:pPr>
            <w:r>
              <w:rPr>
                <w:rFonts w:hint="eastAsia"/>
                <w:snapToGrid w:val="0"/>
                <w:color w:val="auto"/>
                <w:kern w:val="21"/>
                <w:szCs w:val="24"/>
              </w:rPr>
              <w:t>/</w:t>
            </w:r>
          </w:p>
        </w:tc>
        <w:tc>
          <w:tcPr>
            <w:tcW w:w="609" w:type="pct"/>
            <w:vAlign w:val="center"/>
          </w:tcPr>
          <w:p w14:paraId="2ABEA8F4">
            <w:pPr>
              <w:pStyle w:val="157"/>
              <w:spacing w:line="360" w:lineRule="auto"/>
              <w:rPr>
                <w:snapToGrid w:val="0"/>
                <w:color w:val="auto"/>
                <w:kern w:val="21"/>
                <w:szCs w:val="24"/>
              </w:rPr>
            </w:pPr>
            <w:r>
              <w:rPr>
                <w:rFonts w:hint="eastAsia"/>
                <w:snapToGrid w:val="0"/>
                <w:color w:val="auto"/>
                <w:kern w:val="21"/>
                <w:szCs w:val="24"/>
              </w:rPr>
              <w:t>11.01t/a</w:t>
            </w:r>
          </w:p>
        </w:tc>
        <w:tc>
          <w:tcPr>
            <w:tcW w:w="552" w:type="pct"/>
            <w:vAlign w:val="center"/>
          </w:tcPr>
          <w:p w14:paraId="05B81445">
            <w:pPr>
              <w:pStyle w:val="157"/>
              <w:spacing w:line="360" w:lineRule="auto"/>
              <w:rPr>
                <w:snapToGrid w:val="0"/>
                <w:color w:val="auto"/>
                <w:kern w:val="21"/>
                <w:szCs w:val="24"/>
              </w:rPr>
            </w:pPr>
            <w:r>
              <w:rPr>
                <w:rFonts w:hint="eastAsia"/>
                <w:snapToGrid w:val="0"/>
                <w:color w:val="auto"/>
                <w:kern w:val="21"/>
                <w:szCs w:val="24"/>
              </w:rPr>
              <w:t>0</w:t>
            </w:r>
          </w:p>
        </w:tc>
      </w:tr>
      <w:tr w14:paraId="4CDA70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5" w:type="pct"/>
            <w:vMerge w:val="restart"/>
            <w:vAlign w:val="center"/>
          </w:tcPr>
          <w:p w14:paraId="55F79CD9">
            <w:pPr>
              <w:pStyle w:val="157"/>
              <w:spacing w:line="360" w:lineRule="auto"/>
              <w:rPr>
                <w:snapToGrid w:val="0"/>
                <w:color w:val="auto"/>
                <w:kern w:val="21"/>
                <w:szCs w:val="24"/>
              </w:rPr>
            </w:pPr>
            <w:r>
              <w:rPr>
                <w:rFonts w:hAnsi="宋体"/>
                <w:snapToGrid w:val="0"/>
                <w:color w:val="auto"/>
                <w:kern w:val="21"/>
                <w:szCs w:val="24"/>
              </w:rPr>
              <w:t>废水</w:t>
            </w:r>
          </w:p>
        </w:tc>
        <w:tc>
          <w:tcPr>
            <w:tcW w:w="506" w:type="pct"/>
            <w:vAlign w:val="center"/>
          </w:tcPr>
          <w:p w14:paraId="1C0D96A3">
            <w:pPr>
              <w:pStyle w:val="157"/>
              <w:spacing w:line="360" w:lineRule="auto"/>
              <w:rPr>
                <w:snapToGrid w:val="0"/>
                <w:color w:val="auto"/>
                <w:kern w:val="21"/>
                <w:szCs w:val="24"/>
              </w:rPr>
            </w:pPr>
            <w:r>
              <w:rPr>
                <w:rFonts w:hint="eastAsia"/>
                <w:snapToGrid w:val="0"/>
                <w:color w:val="auto"/>
                <w:kern w:val="21"/>
                <w:szCs w:val="24"/>
              </w:rPr>
              <w:t>COD</w:t>
            </w:r>
          </w:p>
        </w:tc>
        <w:tc>
          <w:tcPr>
            <w:tcW w:w="609" w:type="pct"/>
            <w:vAlign w:val="center"/>
          </w:tcPr>
          <w:p w14:paraId="50AC0043">
            <w:pPr>
              <w:pStyle w:val="157"/>
              <w:spacing w:line="360" w:lineRule="auto"/>
              <w:rPr>
                <w:snapToGrid w:val="0"/>
                <w:color w:val="auto"/>
                <w:kern w:val="21"/>
                <w:szCs w:val="24"/>
              </w:rPr>
            </w:pPr>
            <w:r>
              <w:rPr>
                <w:snapToGrid w:val="0"/>
                <w:color w:val="auto"/>
                <w:kern w:val="21"/>
                <w:szCs w:val="24"/>
              </w:rPr>
              <w:t>0</w:t>
            </w:r>
          </w:p>
        </w:tc>
        <w:tc>
          <w:tcPr>
            <w:tcW w:w="484" w:type="pct"/>
            <w:vAlign w:val="center"/>
          </w:tcPr>
          <w:p w14:paraId="74CEAA32">
            <w:pPr>
              <w:pStyle w:val="157"/>
              <w:spacing w:line="360" w:lineRule="auto"/>
              <w:rPr>
                <w:snapToGrid w:val="0"/>
                <w:color w:val="auto"/>
                <w:kern w:val="21"/>
                <w:szCs w:val="24"/>
              </w:rPr>
            </w:pPr>
            <w:r>
              <w:rPr>
                <w:snapToGrid w:val="0"/>
                <w:color w:val="auto"/>
                <w:kern w:val="21"/>
                <w:szCs w:val="24"/>
              </w:rPr>
              <w:t>0</w:t>
            </w:r>
          </w:p>
        </w:tc>
        <w:tc>
          <w:tcPr>
            <w:tcW w:w="609" w:type="pct"/>
            <w:vAlign w:val="center"/>
          </w:tcPr>
          <w:p w14:paraId="50A86E7C">
            <w:pPr>
              <w:pStyle w:val="157"/>
              <w:spacing w:line="360" w:lineRule="auto"/>
              <w:rPr>
                <w:snapToGrid w:val="0"/>
                <w:color w:val="auto"/>
                <w:kern w:val="21"/>
                <w:szCs w:val="24"/>
              </w:rPr>
            </w:pPr>
            <w:r>
              <w:rPr>
                <w:snapToGrid w:val="0"/>
                <w:color w:val="auto"/>
                <w:kern w:val="21"/>
                <w:szCs w:val="24"/>
              </w:rPr>
              <w:t>0</w:t>
            </w:r>
          </w:p>
        </w:tc>
        <w:tc>
          <w:tcPr>
            <w:tcW w:w="609" w:type="pct"/>
            <w:vAlign w:val="center"/>
          </w:tcPr>
          <w:p w14:paraId="6084CFF6">
            <w:pPr>
              <w:pStyle w:val="105"/>
              <w:spacing w:line="360" w:lineRule="auto"/>
              <w:rPr>
                <w:color w:val="auto"/>
                <w:sz w:val="24"/>
                <w:szCs w:val="24"/>
              </w:rPr>
            </w:pPr>
            <w:r>
              <w:rPr>
                <w:rFonts w:hint="eastAsia"/>
                <w:color w:val="auto"/>
                <w:sz w:val="24"/>
                <w:szCs w:val="24"/>
              </w:rPr>
              <w:t>0</w:t>
            </w:r>
          </w:p>
        </w:tc>
        <w:tc>
          <w:tcPr>
            <w:tcW w:w="558" w:type="pct"/>
            <w:vAlign w:val="center"/>
          </w:tcPr>
          <w:p w14:paraId="5C448EBF">
            <w:pPr>
              <w:pStyle w:val="157"/>
              <w:spacing w:line="360" w:lineRule="auto"/>
              <w:rPr>
                <w:snapToGrid w:val="0"/>
                <w:color w:val="auto"/>
                <w:kern w:val="21"/>
                <w:szCs w:val="24"/>
              </w:rPr>
            </w:pPr>
            <w:r>
              <w:rPr>
                <w:rFonts w:hint="eastAsia"/>
                <w:snapToGrid w:val="0"/>
                <w:color w:val="auto"/>
                <w:kern w:val="21"/>
                <w:szCs w:val="24"/>
              </w:rPr>
              <w:t>/</w:t>
            </w:r>
          </w:p>
        </w:tc>
        <w:tc>
          <w:tcPr>
            <w:tcW w:w="609" w:type="pct"/>
            <w:vAlign w:val="center"/>
          </w:tcPr>
          <w:p w14:paraId="180B149C">
            <w:pPr>
              <w:pStyle w:val="105"/>
              <w:spacing w:line="360" w:lineRule="auto"/>
              <w:rPr>
                <w:color w:val="auto"/>
                <w:sz w:val="24"/>
                <w:szCs w:val="24"/>
              </w:rPr>
            </w:pPr>
            <w:r>
              <w:rPr>
                <w:rFonts w:hint="eastAsia"/>
                <w:color w:val="auto"/>
                <w:sz w:val="24"/>
                <w:szCs w:val="24"/>
              </w:rPr>
              <w:t>0</w:t>
            </w:r>
          </w:p>
        </w:tc>
        <w:tc>
          <w:tcPr>
            <w:tcW w:w="552" w:type="pct"/>
            <w:vAlign w:val="center"/>
          </w:tcPr>
          <w:p w14:paraId="3240A265">
            <w:pPr>
              <w:pStyle w:val="105"/>
              <w:spacing w:line="360" w:lineRule="auto"/>
              <w:rPr>
                <w:color w:val="auto"/>
                <w:sz w:val="24"/>
                <w:szCs w:val="24"/>
              </w:rPr>
            </w:pPr>
            <w:r>
              <w:rPr>
                <w:rFonts w:hint="eastAsia"/>
                <w:color w:val="auto"/>
                <w:sz w:val="24"/>
                <w:szCs w:val="24"/>
              </w:rPr>
              <w:t>0</w:t>
            </w:r>
          </w:p>
        </w:tc>
      </w:tr>
      <w:tr w14:paraId="42D4F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5" w:type="pct"/>
            <w:vMerge w:val="continue"/>
            <w:vAlign w:val="center"/>
          </w:tcPr>
          <w:p w14:paraId="657C95DC">
            <w:pPr>
              <w:pStyle w:val="157"/>
              <w:spacing w:line="360" w:lineRule="auto"/>
              <w:rPr>
                <w:rFonts w:hAnsi="宋体"/>
                <w:snapToGrid w:val="0"/>
                <w:color w:val="auto"/>
                <w:kern w:val="21"/>
                <w:szCs w:val="24"/>
              </w:rPr>
            </w:pPr>
          </w:p>
        </w:tc>
        <w:tc>
          <w:tcPr>
            <w:tcW w:w="506" w:type="pct"/>
            <w:vAlign w:val="center"/>
          </w:tcPr>
          <w:p w14:paraId="63DF0367">
            <w:pPr>
              <w:pStyle w:val="157"/>
              <w:spacing w:line="360" w:lineRule="auto"/>
              <w:rPr>
                <w:snapToGrid w:val="0"/>
                <w:color w:val="auto"/>
                <w:kern w:val="21"/>
                <w:szCs w:val="24"/>
              </w:rPr>
            </w:pPr>
            <w:r>
              <w:rPr>
                <w:rFonts w:hint="eastAsia"/>
                <w:snapToGrid w:val="0"/>
                <w:color w:val="auto"/>
                <w:kern w:val="21"/>
                <w:szCs w:val="24"/>
              </w:rPr>
              <w:t>BOD</w:t>
            </w:r>
            <w:r>
              <w:rPr>
                <w:rFonts w:hint="eastAsia"/>
                <w:snapToGrid w:val="0"/>
                <w:color w:val="auto"/>
                <w:kern w:val="21"/>
                <w:szCs w:val="24"/>
                <w:vertAlign w:val="subscript"/>
              </w:rPr>
              <w:t>5</w:t>
            </w:r>
          </w:p>
        </w:tc>
        <w:tc>
          <w:tcPr>
            <w:tcW w:w="609" w:type="pct"/>
            <w:vAlign w:val="center"/>
          </w:tcPr>
          <w:p w14:paraId="29D89AE3">
            <w:pPr>
              <w:pStyle w:val="157"/>
              <w:spacing w:line="360" w:lineRule="auto"/>
              <w:rPr>
                <w:snapToGrid w:val="0"/>
                <w:color w:val="auto"/>
                <w:kern w:val="21"/>
                <w:szCs w:val="24"/>
              </w:rPr>
            </w:pPr>
            <w:r>
              <w:rPr>
                <w:snapToGrid w:val="0"/>
                <w:color w:val="auto"/>
                <w:kern w:val="21"/>
                <w:szCs w:val="24"/>
              </w:rPr>
              <w:t>0</w:t>
            </w:r>
          </w:p>
        </w:tc>
        <w:tc>
          <w:tcPr>
            <w:tcW w:w="484" w:type="pct"/>
            <w:vAlign w:val="center"/>
          </w:tcPr>
          <w:p w14:paraId="0894BE3F">
            <w:pPr>
              <w:pStyle w:val="157"/>
              <w:spacing w:line="360" w:lineRule="auto"/>
              <w:rPr>
                <w:snapToGrid w:val="0"/>
                <w:color w:val="auto"/>
                <w:kern w:val="21"/>
                <w:szCs w:val="24"/>
              </w:rPr>
            </w:pPr>
            <w:r>
              <w:rPr>
                <w:snapToGrid w:val="0"/>
                <w:color w:val="auto"/>
                <w:kern w:val="21"/>
                <w:szCs w:val="24"/>
              </w:rPr>
              <w:t>0</w:t>
            </w:r>
          </w:p>
        </w:tc>
        <w:tc>
          <w:tcPr>
            <w:tcW w:w="609" w:type="pct"/>
            <w:vAlign w:val="center"/>
          </w:tcPr>
          <w:p w14:paraId="5E5977D9">
            <w:pPr>
              <w:pStyle w:val="157"/>
              <w:spacing w:line="360" w:lineRule="auto"/>
              <w:rPr>
                <w:snapToGrid w:val="0"/>
                <w:color w:val="auto"/>
                <w:kern w:val="21"/>
                <w:szCs w:val="24"/>
              </w:rPr>
            </w:pPr>
            <w:r>
              <w:rPr>
                <w:snapToGrid w:val="0"/>
                <w:color w:val="auto"/>
                <w:kern w:val="21"/>
                <w:szCs w:val="24"/>
              </w:rPr>
              <w:t>0</w:t>
            </w:r>
          </w:p>
        </w:tc>
        <w:tc>
          <w:tcPr>
            <w:tcW w:w="609" w:type="pct"/>
            <w:vAlign w:val="center"/>
          </w:tcPr>
          <w:p w14:paraId="2ED36AB3">
            <w:pPr>
              <w:pStyle w:val="105"/>
              <w:spacing w:line="360" w:lineRule="auto"/>
              <w:rPr>
                <w:color w:val="auto"/>
                <w:sz w:val="24"/>
                <w:szCs w:val="24"/>
              </w:rPr>
            </w:pPr>
            <w:r>
              <w:rPr>
                <w:rFonts w:hint="eastAsia"/>
                <w:color w:val="auto"/>
                <w:sz w:val="24"/>
                <w:szCs w:val="24"/>
              </w:rPr>
              <w:t>0</w:t>
            </w:r>
          </w:p>
        </w:tc>
        <w:tc>
          <w:tcPr>
            <w:tcW w:w="558" w:type="pct"/>
            <w:vAlign w:val="center"/>
          </w:tcPr>
          <w:p w14:paraId="5A97AC45">
            <w:pPr>
              <w:pStyle w:val="157"/>
              <w:spacing w:line="360" w:lineRule="auto"/>
              <w:rPr>
                <w:snapToGrid w:val="0"/>
                <w:color w:val="auto"/>
                <w:kern w:val="21"/>
                <w:szCs w:val="24"/>
              </w:rPr>
            </w:pPr>
            <w:r>
              <w:rPr>
                <w:rFonts w:hint="eastAsia"/>
                <w:snapToGrid w:val="0"/>
                <w:color w:val="auto"/>
                <w:kern w:val="21"/>
                <w:szCs w:val="24"/>
              </w:rPr>
              <w:t>/</w:t>
            </w:r>
          </w:p>
        </w:tc>
        <w:tc>
          <w:tcPr>
            <w:tcW w:w="609" w:type="pct"/>
            <w:vAlign w:val="center"/>
          </w:tcPr>
          <w:p w14:paraId="7DC434AB">
            <w:pPr>
              <w:pStyle w:val="105"/>
              <w:spacing w:line="360" w:lineRule="auto"/>
              <w:rPr>
                <w:color w:val="auto"/>
                <w:sz w:val="24"/>
                <w:szCs w:val="24"/>
              </w:rPr>
            </w:pPr>
            <w:r>
              <w:rPr>
                <w:rFonts w:hint="eastAsia"/>
                <w:color w:val="auto"/>
                <w:sz w:val="24"/>
                <w:szCs w:val="24"/>
              </w:rPr>
              <w:t>0</w:t>
            </w:r>
          </w:p>
        </w:tc>
        <w:tc>
          <w:tcPr>
            <w:tcW w:w="552" w:type="pct"/>
            <w:vAlign w:val="center"/>
          </w:tcPr>
          <w:p w14:paraId="468B1522">
            <w:pPr>
              <w:pStyle w:val="105"/>
              <w:spacing w:line="360" w:lineRule="auto"/>
              <w:rPr>
                <w:color w:val="auto"/>
                <w:sz w:val="24"/>
                <w:szCs w:val="24"/>
              </w:rPr>
            </w:pPr>
            <w:r>
              <w:rPr>
                <w:rFonts w:hint="eastAsia"/>
                <w:color w:val="auto"/>
                <w:sz w:val="24"/>
                <w:szCs w:val="24"/>
              </w:rPr>
              <w:t>0</w:t>
            </w:r>
          </w:p>
        </w:tc>
      </w:tr>
      <w:tr w14:paraId="757BE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5" w:type="pct"/>
            <w:vMerge w:val="continue"/>
            <w:vAlign w:val="center"/>
          </w:tcPr>
          <w:p w14:paraId="57CA3411">
            <w:pPr>
              <w:pStyle w:val="157"/>
              <w:spacing w:line="360" w:lineRule="auto"/>
              <w:rPr>
                <w:rFonts w:hAnsi="宋体"/>
                <w:snapToGrid w:val="0"/>
                <w:color w:val="auto"/>
                <w:kern w:val="21"/>
                <w:szCs w:val="24"/>
              </w:rPr>
            </w:pPr>
          </w:p>
        </w:tc>
        <w:tc>
          <w:tcPr>
            <w:tcW w:w="506" w:type="pct"/>
            <w:vAlign w:val="center"/>
          </w:tcPr>
          <w:p w14:paraId="7594FDA2">
            <w:pPr>
              <w:pStyle w:val="157"/>
              <w:spacing w:line="360" w:lineRule="auto"/>
              <w:rPr>
                <w:snapToGrid w:val="0"/>
                <w:color w:val="auto"/>
                <w:kern w:val="21"/>
                <w:szCs w:val="24"/>
              </w:rPr>
            </w:pPr>
            <w:r>
              <w:rPr>
                <w:rFonts w:hint="eastAsia"/>
                <w:snapToGrid w:val="0"/>
                <w:color w:val="auto"/>
                <w:kern w:val="21"/>
                <w:szCs w:val="24"/>
              </w:rPr>
              <w:t>NH</w:t>
            </w:r>
            <w:r>
              <w:rPr>
                <w:rFonts w:hint="eastAsia"/>
                <w:snapToGrid w:val="0"/>
                <w:color w:val="auto"/>
                <w:kern w:val="21"/>
                <w:szCs w:val="24"/>
                <w:vertAlign w:val="subscript"/>
              </w:rPr>
              <w:t>3</w:t>
            </w:r>
            <w:r>
              <w:rPr>
                <w:rFonts w:hint="eastAsia"/>
                <w:snapToGrid w:val="0"/>
                <w:color w:val="auto"/>
                <w:kern w:val="21"/>
                <w:szCs w:val="24"/>
              </w:rPr>
              <w:t>-N</w:t>
            </w:r>
          </w:p>
        </w:tc>
        <w:tc>
          <w:tcPr>
            <w:tcW w:w="609" w:type="pct"/>
            <w:vAlign w:val="center"/>
          </w:tcPr>
          <w:p w14:paraId="062D251C">
            <w:pPr>
              <w:pStyle w:val="157"/>
              <w:spacing w:line="360" w:lineRule="auto"/>
              <w:rPr>
                <w:snapToGrid w:val="0"/>
                <w:color w:val="auto"/>
                <w:kern w:val="21"/>
                <w:szCs w:val="24"/>
              </w:rPr>
            </w:pPr>
            <w:r>
              <w:rPr>
                <w:snapToGrid w:val="0"/>
                <w:color w:val="auto"/>
                <w:kern w:val="21"/>
                <w:szCs w:val="24"/>
              </w:rPr>
              <w:t>0</w:t>
            </w:r>
          </w:p>
        </w:tc>
        <w:tc>
          <w:tcPr>
            <w:tcW w:w="484" w:type="pct"/>
            <w:vAlign w:val="center"/>
          </w:tcPr>
          <w:p w14:paraId="74CE5B02">
            <w:pPr>
              <w:pStyle w:val="157"/>
              <w:spacing w:line="360" w:lineRule="auto"/>
              <w:rPr>
                <w:snapToGrid w:val="0"/>
                <w:color w:val="auto"/>
                <w:kern w:val="21"/>
                <w:szCs w:val="24"/>
              </w:rPr>
            </w:pPr>
            <w:r>
              <w:rPr>
                <w:snapToGrid w:val="0"/>
                <w:color w:val="auto"/>
                <w:kern w:val="21"/>
                <w:szCs w:val="24"/>
              </w:rPr>
              <w:t>0</w:t>
            </w:r>
          </w:p>
        </w:tc>
        <w:tc>
          <w:tcPr>
            <w:tcW w:w="609" w:type="pct"/>
            <w:vAlign w:val="center"/>
          </w:tcPr>
          <w:p w14:paraId="06E3303D">
            <w:pPr>
              <w:pStyle w:val="157"/>
              <w:spacing w:line="360" w:lineRule="auto"/>
              <w:rPr>
                <w:snapToGrid w:val="0"/>
                <w:color w:val="auto"/>
                <w:kern w:val="21"/>
                <w:szCs w:val="24"/>
              </w:rPr>
            </w:pPr>
            <w:r>
              <w:rPr>
                <w:snapToGrid w:val="0"/>
                <w:color w:val="auto"/>
                <w:kern w:val="21"/>
                <w:szCs w:val="24"/>
              </w:rPr>
              <w:t>0</w:t>
            </w:r>
          </w:p>
        </w:tc>
        <w:tc>
          <w:tcPr>
            <w:tcW w:w="609" w:type="pct"/>
            <w:vAlign w:val="center"/>
          </w:tcPr>
          <w:p w14:paraId="7F0C241E">
            <w:pPr>
              <w:pStyle w:val="105"/>
              <w:spacing w:line="360" w:lineRule="auto"/>
              <w:rPr>
                <w:color w:val="auto"/>
                <w:sz w:val="24"/>
                <w:szCs w:val="24"/>
              </w:rPr>
            </w:pPr>
            <w:r>
              <w:rPr>
                <w:rFonts w:hint="eastAsia"/>
                <w:color w:val="auto"/>
                <w:sz w:val="24"/>
                <w:szCs w:val="24"/>
              </w:rPr>
              <w:t>0</w:t>
            </w:r>
          </w:p>
        </w:tc>
        <w:tc>
          <w:tcPr>
            <w:tcW w:w="558" w:type="pct"/>
            <w:vAlign w:val="center"/>
          </w:tcPr>
          <w:p w14:paraId="4DE36B9B">
            <w:pPr>
              <w:pStyle w:val="157"/>
              <w:spacing w:line="360" w:lineRule="auto"/>
              <w:rPr>
                <w:snapToGrid w:val="0"/>
                <w:color w:val="auto"/>
                <w:kern w:val="21"/>
                <w:szCs w:val="24"/>
              </w:rPr>
            </w:pPr>
            <w:r>
              <w:rPr>
                <w:rFonts w:hint="eastAsia"/>
                <w:snapToGrid w:val="0"/>
                <w:color w:val="auto"/>
                <w:kern w:val="21"/>
                <w:szCs w:val="24"/>
              </w:rPr>
              <w:t>/</w:t>
            </w:r>
          </w:p>
        </w:tc>
        <w:tc>
          <w:tcPr>
            <w:tcW w:w="609" w:type="pct"/>
            <w:vAlign w:val="center"/>
          </w:tcPr>
          <w:p w14:paraId="248F3D55">
            <w:pPr>
              <w:pStyle w:val="105"/>
              <w:spacing w:line="360" w:lineRule="auto"/>
              <w:rPr>
                <w:color w:val="auto"/>
                <w:sz w:val="24"/>
                <w:szCs w:val="24"/>
              </w:rPr>
            </w:pPr>
            <w:r>
              <w:rPr>
                <w:rFonts w:hint="eastAsia"/>
                <w:color w:val="auto"/>
                <w:sz w:val="24"/>
                <w:szCs w:val="24"/>
              </w:rPr>
              <w:t>0</w:t>
            </w:r>
          </w:p>
        </w:tc>
        <w:tc>
          <w:tcPr>
            <w:tcW w:w="552" w:type="pct"/>
            <w:vAlign w:val="center"/>
          </w:tcPr>
          <w:p w14:paraId="1AD221B2">
            <w:pPr>
              <w:pStyle w:val="105"/>
              <w:spacing w:line="360" w:lineRule="auto"/>
              <w:rPr>
                <w:color w:val="auto"/>
                <w:sz w:val="24"/>
                <w:szCs w:val="24"/>
              </w:rPr>
            </w:pPr>
            <w:r>
              <w:rPr>
                <w:rFonts w:hint="eastAsia"/>
                <w:color w:val="auto"/>
                <w:sz w:val="24"/>
                <w:szCs w:val="24"/>
              </w:rPr>
              <w:t>0</w:t>
            </w:r>
          </w:p>
        </w:tc>
      </w:tr>
      <w:tr w14:paraId="7D617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5" w:type="pct"/>
            <w:vMerge w:val="continue"/>
            <w:vAlign w:val="center"/>
          </w:tcPr>
          <w:p w14:paraId="61FF2C53">
            <w:pPr>
              <w:pStyle w:val="157"/>
              <w:spacing w:line="360" w:lineRule="auto"/>
              <w:rPr>
                <w:rFonts w:hAnsi="宋体"/>
                <w:snapToGrid w:val="0"/>
                <w:color w:val="auto"/>
                <w:kern w:val="21"/>
                <w:szCs w:val="24"/>
              </w:rPr>
            </w:pPr>
          </w:p>
        </w:tc>
        <w:tc>
          <w:tcPr>
            <w:tcW w:w="506" w:type="pct"/>
            <w:vAlign w:val="center"/>
          </w:tcPr>
          <w:p w14:paraId="077DC85D">
            <w:pPr>
              <w:pStyle w:val="157"/>
              <w:spacing w:line="360" w:lineRule="auto"/>
              <w:rPr>
                <w:snapToGrid w:val="0"/>
                <w:color w:val="auto"/>
                <w:kern w:val="21"/>
                <w:szCs w:val="24"/>
              </w:rPr>
            </w:pPr>
            <w:r>
              <w:rPr>
                <w:rFonts w:hint="eastAsia"/>
                <w:snapToGrid w:val="0"/>
                <w:color w:val="auto"/>
                <w:kern w:val="21"/>
                <w:szCs w:val="24"/>
              </w:rPr>
              <w:t>SS</w:t>
            </w:r>
          </w:p>
        </w:tc>
        <w:tc>
          <w:tcPr>
            <w:tcW w:w="609" w:type="pct"/>
            <w:vAlign w:val="center"/>
          </w:tcPr>
          <w:p w14:paraId="5D6262D6">
            <w:pPr>
              <w:pStyle w:val="157"/>
              <w:spacing w:line="360" w:lineRule="auto"/>
              <w:rPr>
                <w:snapToGrid w:val="0"/>
                <w:color w:val="auto"/>
                <w:kern w:val="21"/>
                <w:szCs w:val="24"/>
              </w:rPr>
            </w:pPr>
            <w:r>
              <w:rPr>
                <w:snapToGrid w:val="0"/>
                <w:color w:val="auto"/>
                <w:kern w:val="21"/>
                <w:szCs w:val="24"/>
              </w:rPr>
              <w:t>0</w:t>
            </w:r>
          </w:p>
        </w:tc>
        <w:tc>
          <w:tcPr>
            <w:tcW w:w="484" w:type="pct"/>
            <w:vAlign w:val="center"/>
          </w:tcPr>
          <w:p w14:paraId="1E59FEC2">
            <w:pPr>
              <w:pStyle w:val="157"/>
              <w:spacing w:line="360" w:lineRule="auto"/>
              <w:rPr>
                <w:snapToGrid w:val="0"/>
                <w:color w:val="auto"/>
                <w:kern w:val="21"/>
                <w:szCs w:val="24"/>
              </w:rPr>
            </w:pPr>
            <w:r>
              <w:rPr>
                <w:snapToGrid w:val="0"/>
                <w:color w:val="auto"/>
                <w:kern w:val="21"/>
                <w:szCs w:val="24"/>
              </w:rPr>
              <w:t>0</w:t>
            </w:r>
          </w:p>
        </w:tc>
        <w:tc>
          <w:tcPr>
            <w:tcW w:w="609" w:type="pct"/>
            <w:vAlign w:val="center"/>
          </w:tcPr>
          <w:p w14:paraId="0456C94D">
            <w:pPr>
              <w:pStyle w:val="157"/>
              <w:spacing w:line="360" w:lineRule="auto"/>
              <w:rPr>
                <w:snapToGrid w:val="0"/>
                <w:color w:val="auto"/>
                <w:kern w:val="21"/>
                <w:szCs w:val="24"/>
              </w:rPr>
            </w:pPr>
            <w:r>
              <w:rPr>
                <w:snapToGrid w:val="0"/>
                <w:color w:val="auto"/>
                <w:kern w:val="21"/>
                <w:szCs w:val="24"/>
              </w:rPr>
              <w:t>0</w:t>
            </w:r>
          </w:p>
        </w:tc>
        <w:tc>
          <w:tcPr>
            <w:tcW w:w="609" w:type="pct"/>
            <w:vAlign w:val="center"/>
          </w:tcPr>
          <w:p w14:paraId="596FB9DA">
            <w:pPr>
              <w:pStyle w:val="105"/>
              <w:spacing w:line="360" w:lineRule="auto"/>
              <w:rPr>
                <w:color w:val="auto"/>
                <w:sz w:val="24"/>
                <w:szCs w:val="24"/>
              </w:rPr>
            </w:pPr>
            <w:r>
              <w:rPr>
                <w:rFonts w:hint="eastAsia"/>
                <w:color w:val="auto"/>
                <w:sz w:val="24"/>
                <w:szCs w:val="24"/>
              </w:rPr>
              <w:t>0</w:t>
            </w:r>
          </w:p>
        </w:tc>
        <w:tc>
          <w:tcPr>
            <w:tcW w:w="558" w:type="pct"/>
            <w:vAlign w:val="center"/>
          </w:tcPr>
          <w:p w14:paraId="7FD4D94F">
            <w:pPr>
              <w:pStyle w:val="157"/>
              <w:spacing w:line="360" w:lineRule="auto"/>
              <w:rPr>
                <w:snapToGrid w:val="0"/>
                <w:color w:val="auto"/>
                <w:kern w:val="21"/>
                <w:szCs w:val="24"/>
              </w:rPr>
            </w:pPr>
            <w:r>
              <w:rPr>
                <w:rFonts w:hint="eastAsia"/>
                <w:snapToGrid w:val="0"/>
                <w:color w:val="auto"/>
                <w:kern w:val="21"/>
                <w:szCs w:val="24"/>
              </w:rPr>
              <w:t>/</w:t>
            </w:r>
          </w:p>
        </w:tc>
        <w:tc>
          <w:tcPr>
            <w:tcW w:w="609" w:type="pct"/>
            <w:vAlign w:val="center"/>
          </w:tcPr>
          <w:p w14:paraId="2A514C61">
            <w:pPr>
              <w:pStyle w:val="105"/>
              <w:spacing w:line="360" w:lineRule="auto"/>
              <w:rPr>
                <w:color w:val="auto"/>
                <w:sz w:val="24"/>
                <w:szCs w:val="24"/>
              </w:rPr>
            </w:pPr>
            <w:r>
              <w:rPr>
                <w:rFonts w:hint="eastAsia"/>
                <w:color w:val="auto"/>
                <w:sz w:val="24"/>
                <w:szCs w:val="24"/>
              </w:rPr>
              <w:t>0</w:t>
            </w:r>
          </w:p>
        </w:tc>
        <w:tc>
          <w:tcPr>
            <w:tcW w:w="552" w:type="pct"/>
            <w:vAlign w:val="center"/>
          </w:tcPr>
          <w:p w14:paraId="25154BBD">
            <w:pPr>
              <w:pStyle w:val="105"/>
              <w:spacing w:line="360" w:lineRule="auto"/>
              <w:rPr>
                <w:color w:val="auto"/>
                <w:sz w:val="24"/>
                <w:szCs w:val="24"/>
              </w:rPr>
            </w:pPr>
            <w:r>
              <w:rPr>
                <w:rFonts w:hint="eastAsia"/>
                <w:color w:val="auto"/>
                <w:sz w:val="24"/>
                <w:szCs w:val="24"/>
              </w:rPr>
              <w:t>0</w:t>
            </w:r>
          </w:p>
        </w:tc>
      </w:tr>
      <w:tr w14:paraId="5FD96E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5" w:type="pct"/>
            <w:vMerge w:val="restart"/>
            <w:vAlign w:val="center"/>
          </w:tcPr>
          <w:p w14:paraId="05214E55">
            <w:pPr>
              <w:pStyle w:val="105"/>
              <w:spacing w:line="360" w:lineRule="auto"/>
              <w:rPr>
                <w:rFonts w:hAnsi="宋体"/>
                <w:color w:val="auto"/>
                <w:sz w:val="24"/>
                <w:szCs w:val="24"/>
              </w:rPr>
            </w:pPr>
            <w:r>
              <w:rPr>
                <w:rFonts w:hAnsi="宋体"/>
                <w:color w:val="auto"/>
                <w:sz w:val="24"/>
                <w:szCs w:val="24"/>
              </w:rPr>
              <w:t>一般工业固废</w:t>
            </w:r>
          </w:p>
        </w:tc>
        <w:tc>
          <w:tcPr>
            <w:tcW w:w="506" w:type="pct"/>
            <w:vAlign w:val="center"/>
          </w:tcPr>
          <w:p w14:paraId="772C10B4">
            <w:pPr>
              <w:spacing w:line="276" w:lineRule="auto"/>
              <w:jc w:val="center"/>
              <w:rPr>
                <w:color w:val="auto"/>
                <w:sz w:val="24"/>
                <w:szCs w:val="24"/>
              </w:rPr>
            </w:pPr>
            <w:r>
              <w:rPr>
                <w:rFonts w:hint="eastAsia" w:hAnsi="宋体"/>
                <w:color w:val="auto"/>
                <w:sz w:val="24"/>
                <w:szCs w:val="24"/>
              </w:rPr>
              <w:t>废花纸</w:t>
            </w:r>
          </w:p>
        </w:tc>
        <w:tc>
          <w:tcPr>
            <w:tcW w:w="609" w:type="pct"/>
            <w:vAlign w:val="center"/>
          </w:tcPr>
          <w:p w14:paraId="347EE6C8">
            <w:pPr>
              <w:pStyle w:val="157"/>
              <w:spacing w:line="360" w:lineRule="auto"/>
              <w:rPr>
                <w:snapToGrid w:val="0"/>
                <w:color w:val="auto"/>
                <w:kern w:val="21"/>
                <w:szCs w:val="24"/>
              </w:rPr>
            </w:pPr>
            <w:r>
              <w:rPr>
                <w:rFonts w:hint="eastAsia"/>
                <w:snapToGrid w:val="0"/>
                <w:color w:val="auto"/>
                <w:kern w:val="21"/>
                <w:szCs w:val="24"/>
              </w:rPr>
              <w:t>1.5t/a</w:t>
            </w:r>
          </w:p>
        </w:tc>
        <w:tc>
          <w:tcPr>
            <w:tcW w:w="484" w:type="pct"/>
            <w:vAlign w:val="center"/>
          </w:tcPr>
          <w:p w14:paraId="460279CD">
            <w:pPr>
              <w:pStyle w:val="157"/>
              <w:spacing w:line="360" w:lineRule="auto"/>
              <w:rPr>
                <w:snapToGrid w:val="0"/>
                <w:color w:val="auto"/>
                <w:kern w:val="21"/>
                <w:szCs w:val="24"/>
              </w:rPr>
            </w:pPr>
            <w:r>
              <w:rPr>
                <w:rFonts w:hint="eastAsia"/>
                <w:snapToGrid w:val="0"/>
                <w:color w:val="auto"/>
                <w:kern w:val="21"/>
                <w:szCs w:val="24"/>
              </w:rPr>
              <w:t>0</w:t>
            </w:r>
          </w:p>
        </w:tc>
        <w:tc>
          <w:tcPr>
            <w:tcW w:w="609" w:type="pct"/>
            <w:vAlign w:val="center"/>
          </w:tcPr>
          <w:p w14:paraId="58E1482C">
            <w:pPr>
              <w:pStyle w:val="157"/>
              <w:spacing w:line="360" w:lineRule="auto"/>
              <w:rPr>
                <w:snapToGrid w:val="0"/>
                <w:color w:val="auto"/>
                <w:kern w:val="21"/>
                <w:szCs w:val="24"/>
              </w:rPr>
            </w:pPr>
            <w:r>
              <w:rPr>
                <w:rFonts w:hint="eastAsia"/>
                <w:snapToGrid w:val="0"/>
                <w:color w:val="auto"/>
                <w:kern w:val="21"/>
                <w:szCs w:val="24"/>
              </w:rPr>
              <w:t>0</w:t>
            </w:r>
          </w:p>
        </w:tc>
        <w:tc>
          <w:tcPr>
            <w:tcW w:w="609" w:type="pct"/>
            <w:vAlign w:val="center"/>
          </w:tcPr>
          <w:p w14:paraId="058F174C">
            <w:pPr>
              <w:pStyle w:val="157"/>
              <w:spacing w:line="360" w:lineRule="auto"/>
              <w:rPr>
                <w:snapToGrid w:val="0"/>
                <w:color w:val="auto"/>
                <w:kern w:val="21"/>
                <w:szCs w:val="24"/>
              </w:rPr>
            </w:pPr>
            <w:r>
              <w:rPr>
                <w:rFonts w:hint="eastAsia"/>
                <w:snapToGrid w:val="0"/>
                <w:color w:val="auto"/>
                <w:kern w:val="21"/>
                <w:szCs w:val="24"/>
              </w:rPr>
              <w:t>0</w:t>
            </w:r>
          </w:p>
        </w:tc>
        <w:tc>
          <w:tcPr>
            <w:tcW w:w="558" w:type="pct"/>
            <w:vAlign w:val="center"/>
          </w:tcPr>
          <w:p w14:paraId="7AA40BBF">
            <w:pPr>
              <w:pStyle w:val="157"/>
              <w:spacing w:line="360" w:lineRule="auto"/>
              <w:rPr>
                <w:snapToGrid w:val="0"/>
                <w:color w:val="auto"/>
                <w:kern w:val="21"/>
                <w:szCs w:val="24"/>
              </w:rPr>
            </w:pPr>
            <w:r>
              <w:rPr>
                <w:rFonts w:hint="eastAsia"/>
                <w:snapToGrid w:val="0"/>
                <w:color w:val="auto"/>
                <w:kern w:val="21"/>
                <w:szCs w:val="24"/>
              </w:rPr>
              <w:t>/</w:t>
            </w:r>
          </w:p>
        </w:tc>
        <w:tc>
          <w:tcPr>
            <w:tcW w:w="609" w:type="pct"/>
            <w:vAlign w:val="center"/>
          </w:tcPr>
          <w:p w14:paraId="2AC223E0">
            <w:pPr>
              <w:pStyle w:val="157"/>
              <w:spacing w:line="360" w:lineRule="auto"/>
              <w:rPr>
                <w:snapToGrid w:val="0"/>
                <w:color w:val="auto"/>
                <w:kern w:val="21"/>
                <w:szCs w:val="24"/>
              </w:rPr>
            </w:pPr>
            <w:r>
              <w:rPr>
                <w:rFonts w:hint="eastAsia"/>
                <w:snapToGrid w:val="0"/>
                <w:color w:val="auto"/>
                <w:kern w:val="21"/>
                <w:szCs w:val="24"/>
              </w:rPr>
              <w:t>1.5t/a</w:t>
            </w:r>
          </w:p>
        </w:tc>
        <w:tc>
          <w:tcPr>
            <w:tcW w:w="552" w:type="pct"/>
            <w:vAlign w:val="center"/>
          </w:tcPr>
          <w:p w14:paraId="588B656C">
            <w:pPr>
              <w:pStyle w:val="157"/>
              <w:spacing w:line="360" w:lineRule="auto"/>
              <w:rPr>
                <w:snapToGrid w:val="0"/>
                <w:color w:val="auto"/>
                <w:kern w:val="21"/>
                <w:szCs w:val="24"/>
              </w:rPr>
            </w:pPr>
            <w:r>
              <w:rPr>
                <w:rFonts w:hint="eastAsia"/>
                <w:snapToGrid w:val="0"/>
                <w:color w:val="auto"/>
                <w:kern w:val="21"/>
                <w:szCs w:val="24"/>
              </w:rPr>
              <w:t>0</w:t>
            </w:r>
          </w:p>
        </w:tc>
      </w:tr>
      <w:tr w14:paraId="09D7E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465" w:type="pct"/>
            <w:vMerge w:val="continue"/>
            <w:vAlign w:val="center"/>
          </w:tcPr>
          <w:p w14:paraId="6314B6A4">
            <w:pPr>
              <w:pStyle w:val="105"/>
              <w:spacing w:line="360" w:lineRule="auto"/>
              <w:rPr>
                <w:rFonts w:hAnsi="宋体"/>
                <w:color w:val="auto"/>
                <w:sz w:val="24"/>
                <w:szCs w:val="24"/>
              </w:rPr>
            </w:pPr>
          </w:p>
        </w:tc>
        <w:tc>
          <w:tcPr>
            <w:tcW w:w="506" w:type="pct"/>
            <w:vAlign w:val="center"/>
          </w:tcPr>
          <w:p w14:paraId="23C7A53B">
            <w:pPr>
              <w:spacing w:line="276" w:lineRule="auto"/>
              <w:jc w:val="center"/>
              <w:rPr>
                <w:color w:val="auto"/>
                <w:sz w:val="24"/>
                <w:szCs w:val="24"/>
              </w:rPr>
            </w:pPr>
            <w:r>
              <w:rPr>
                <w:rFonts w:hint="eastAsia" w:hAnsi="宋体"/>
                <w:color w:val="auto"/>
                <w:sz w:val="24"/>
                <w:szCs w:val="24"/>
              </w:rPr>
              <w:t>废过滤材料（废滤筒、废分子筛吸附剂）</w:t>
            </w:r>
          </w:p>
        </w:tc>
        <w:tc>
          <w:tcPr>
            <w:tcW w:w="609" w:type="pct"/>
            <w:vAlign w:val="center"/>
          </w:tcPr>
          <w:p w14:paraId="7C185F23">
            <w:pPr>
              <w:pStyle w:val="157"/>
              <w:spacing w:line="360" w:lineRule="auto"/>
              <w:rPr>
                <w:snapToGrid w:val="0"/>
                <w:color w:val="auto"/>
                <w:kern w:val="21"/>
                <w:szCs w:val="24"/>
              </w:rPr>
            </w:pPr>
            <w:r>
              <w:rPr>
                <w:rFonts w:hint="eastAsia"/>
                <w:snapToGrid w:val="0"/>
                <w:color w:val="auto"/>
                <w:kern w:val="21"/>
                <w:szCs w:val="24"/>
              </w:rPr>
              <w:t>3.5t/a</w:t>
            </w:r>
          </w:p>
        </w:tc>
        <w:tc>
          <w:tcPr>
            <w:tcW w:w="484" w:type="pct"/>
            <w:vAlign w:val="center"/>
          </w:tcPr>
          <w:p w14:paraId="48960EB6">
            <w:pPr>
              <w:pStyle w:val="157"/>
              <w:spacing w:line="360" w:lineRule="auto"/>
              <w:rPr>
                <w:snapToGrid w:val="0"/>
                <w:color w:val="auto"/>
                <w:kern w:val="21"/>
                <w:szCs w:val="24"/>
              </w:rPr>
            </w:pPr>
            <w:r>
              <w:rPr>
                <w:rFonts w:hint="eastAsia"/>
                <w:snapToGrid w:val="0"/>
                <w:color w:val="auto"/>
                <w:kern w:val="21"/>
                <w:szCs w:val="24"/>
              </w:rPr>
              <w:t>0</w:t>
            </w:r>
          </w:p>
        </w:tc>
        <w:tc>
          <w:tcPr>
            <w:tcW w:w="609" w:type="pct"/>
            <w:vAlign w:val="center"/>
          </w:tcPr>
          <w:p w14:paraId="52B695AC">
            <w:pPr>
              <w:pStyle w:val="157"/>
              <w:spacing w:line="360" w:lineRule="auto"/>
              <w:rPr>
                <w:snapToGrid w:val="0"/>
                <w:color w:val="auto"/>
                <w:kern w:val="21"/>
                <w:szCs w:val="24"/>
              </w:rPr>
            </w:pPr>
            <w:r>
              <w:rPr>
                <w:rFonts w:hint="eastAsia"/>
                <w:snapToGrid w:val="0"/>
                <w:color w:val="auto"/>
                <w:kern w:val="21"/>
                <w:szCs w:val="24"/>
              </w:rPr>
              <w:t>0</w:t>
            </w:r>
          </w:p>
        </w:tc>
        <w:tc>
          <w:tcPr>
            <w:tcW w:w="609" w:type="pct"/>
            <w:vAlign w:val="center"/>
          </w:tcPr>
          <w:p w14:paraId="7429FA2D">
            <w:pPr>
              <w:pStyle w:val="157"/>
              <w:spacing w:line="360" w:lineRule="auto"/>
              <w:rPr>
                <w:snapToGrid w:val="0"/>
                <w:color w:val="auto"/>
                <w:kern w:val="21"/>
                <w:szCs w:val="24"/>
              </w:rPr>
            </w:pPr>
            <w:r>
              <w:rPr>
                <w:rFonts w:hint="eastAsia"/>
                <w:snapToGrid w:val="0"/>
                <w:color w:val="auto"/>
                <w:kern w:val="21"/>
                <w:szCs w:val="24"/>
              </w:rPr>
              <w:t>0</w:t>
            </w:r>
          </w:p>
        </w:tc>
        <w:tc>
          <w:tcPr>
            <w:tcW w:w="558" w:type="pct"/>
            <w:vAlign w:val="center"/>
          </w:tcPr>
          <w:p w14:paraId="1E873067">
            <w:pPr>
              <w:pStyle w:val="157"/>
              <w:spacing w:line="360" w:lineRule="auto"/>
              <w:rPr>
                <w:snapToGrid w:val="0"/>
                <w:color w:val="auto"/>
                <w:kern w:val="21"/>
                <w:szCs w:val="24"/>
              </w:rPr>
            </w:pPr>
            <w:r>
              <w:rPr>
                <w:rFonts w:hint="eastAsia"/>
                <w:snapToGrid w:val="0"/>
                <w:color w:val="auto"/>
                <w:kern w:val="21"/>
                <w:szCs w:val="24"/>
              </w:rPr>
              <w:t>/</w:t>
            </w:r>
          </w:p>
        </w:tc>
        <w:tc>
          <w:tcPr>
            <w:tcW w:w="609" w:type="pct"/>
            <w:vAlign w:val="center"/>
          </w:tcPr>
          <w:p w14:paraId="7254BB35">
            <w:pPr>
              <w:pStyle w:val="157"/>
              <w:spacing w:line="360" w:lineRule="auto"/>
              <w:rPr>
                <w:snapToGrid w:val="0"/>
                <w:color w:val="auto"/>
                <w:kern w:val="21"/>
                <w:szCs w:val="24"/>
              </w:rPr>
            </w:pPr>
            <w:r>
              <w:rPr>
                <w:rFonts w:hint="eastAsia"/>
                <w:snapToGrid w:val="0"/>
                <w:color w:val="auto"/>
                <w:kern w:val="21"/>
                <w:szCs w:val="24"/>
              </w:rPr>
              <w:t>3.5</w:t>
            </w:r>
            <w:r>
              <w:rPr>
                <w:rFonts w:hint="eastAsia"/>
                <w:color w:val="auto"/>
                <w:szCs w:val="24"/>
              </w:rPr>
              <w:t>t/a</w:t>
            </w:r>
          </w:p>
        </w:tc>
        <w:tc>
          <w:tcPr>
            <w:tcW w:w="551" w:type="pct"/>
            <w:vAlign w:val="center"/>
          </w:tcPr>
          <w:p w14:paraId="6FF7A74B">
            <w:pPr>
              <w:pStyle w:val="157"/>
              <w:spacing w:line="360" w:lineRule="auto"/>
              <w:rPr>
                <w:snapToGrid w:val="0"/>
                <w:color w:val="auto"/>
                <w:kern w:val="21"/>
                <w:szCs w:val="24"/>
              </w:rPr>
            </w:pPr>
            <w:r>
              <w:rPr>
                <w:rFonts w:hint="eastAsia"/>
                <w:snapToGrid w:val="0"/>
                <w:color w:val="auto"/>
                <w:kern w:val="21"/>
                <w:szCs w:val="24"/>
              </w:rPr>
              <w:t>0</w:t>
            </w:r>
          </w:p>
        </w:tc>
      </w:tr>
      <w:tr w14:paraId="26718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465" w:type="pct"/>
            <w:vMerge w:val="continue"/>
            <w:vAlign w:val="center"/>
          </w:tcPr>
          <w:p w14:paraId="332D6943">
            <w:pPr>
              <w:pStyle w:val="105"/>
              <w:spacing w:line="360" w:lineRule="auto"/>
              <w:rPr>
                <w:rFonts w:hAnsi="宋体"/>
                <w:color w:val="auto"/>
                <w:sz w:val="24"/>
                <w:szCs w:val="24"/>
              </w:rPr>
            </w:pPr>
          </w:p>
        </w:tc>
        <w:tc>
          <w:tcPr>
            <w:tcW w:w="506" w:type="pct"/>
            <w:vAlign w:val="center"/>
          </w:tcPr>
          <w:p w14:paraId="7B4B9D0F">
            <w:pPr>
              <w:spacing w:line="276" w:lineRule="auto"/>
              <w:jc w:val="center"/>
              <w:rPr>
                <w:color w:val="auto"/>
                <w:sz w:val="24"/>
                <w:szCs w:val="24"/>
              </w:rPr>
            </w:pPr>
            <w:r>
              <w:rPr>
                <w:rFonts w:hint="eastAsia" w:hAnsi="宋体"/>
                <w:color w:val="auto"/>
                <w:sz w:val="24"/>
                <w:szCs w:val="24"/>
              </w:rPr>
              <w:t>不合格品</w:t>
            </w:r>
          </w:p>
        </w:tc>
        <w:tc>
          <w:tcPr>
            <w:tcW w:w="609" w:type="pct"/>
            <w:vAlign w:val="center"/>
          </w:tcPr>
          <w:p w14:paraId="6E4E56EC">
            <w:pPr>
              <w:pStyle w:val="157"/>
              <w:spacing w:line="360" w:lineRule="auto"/>
              <w:rPr>
                <w:snapToGrid w:val="0"/>
                <w:color w:val="auto"/>
                <w:kern w:val="21"/>
                <w:szCs w:val="24"/>
              </w:rPr>
            </w:pPr>
            <w:r>
              <w:rPr>
                <w:rFonts w:hint="eastAsia"/>
                <w:snapToGrid w:val="0"/>
                <w:color w:val="auto"/>
                <w:kern w:val="21"/>
                <w:szCs w:val="24"/>
              </w:rPr>
              <w:t>200t/a</w:t>
            </w:r>
          </w:p>
        </w:tc>
        <w:tc>
          <w:tcPr>
            <w:tcW w:w="484" w:type="pct"/>
            <w:vAlign w:val="center"/>
          </w:tcPr>
          <w:p w14:paraId="49539873">
            <w:pPr>
              <w:pStyle w:val="157"/>
              <w:spacing w:line="360" w:lineRule="auto"/>
              <w:rPr>
                <w:snapToGrid w:val="0"/>
                <w:color w:val="auto"/>
                <w:kern w:val="21"/>
                <w:szCs w:val="24"/>
              </w:rPr>
            </w:pPr>
            <w:r>
              <w:rPr>
                <w:rFonts w:hint="eastAsia"/>
                <w:snapToGrid w:val="0"/>
                <w:color w:val="auto"/>
                <w:kern w:val="21"/>
                <w:szCs w:val="24"/>
              </w:rPr>
              <w:t>0</w:t>
            </w:r>
          </w:p>
        </w:tc>
        <w:tc>
          <w:tcPr>
            <w:tcW w:w="609" w:type="pct"/>
            <w:vAlign w:val="center"/>
          </w:tcPr>
          <w:p w14:paraId="5AF51871">
            <w:pPr>
              <w:pStyle w:val="157"/>
              <w:spacing w:line="360" w:lineRule="auto"/>
              <w:rPr>
                <w:snapToGrid w:val="0"/>
                <w:color w:val="auto"/>
                <w:kern w:val="21"/>
                <w:szCs w:val="24"/>
              </w:rPr>
            </w:pPr>
            <w:r>
              <w:rPr>
                <w:rFonts w:hint="eastAsia"/>
                <w:snapToGrid w:val="0"/>
                <w:color w:val="auto"/>
                <w:kern w:val="21"/>
                <w:szCs w:val="24"/>
              </w:rPr>
              <w:t>0</w:t>
            </w:r>
          </w:p>
        </w:tc>
        <w:tc>
          <w:tcPr>
            <w:tcW w:w="609" w:type="pct"/>
            <w:vAlign w:val="center"/>
          </w:tcPr>
          <w:p w14:paraId="7C7176E3">
            <w:pPr>
              <w:pStyle w:val="157"/>
              <w:spacing w:line="360" w:lineRule="auto"/>
              <w:rPr>
                <w:snapToGrid w:val="0"/>
                <w:color w:val="auto"/>
                <w:kern w:val="21"/>
                <w:szCs w:val="24"/>
              </w:rPr>
            </w:pPr>
            <w:r>
              <w:rPr>
                <w:rFonts w:hint="eastAsia"/>
                <w:snapToGrid w:val="0"/>
                <w:color w:val="auto"/>
                <w:kern w:val="21"/>
                <w:szCs w:val="24"/>
              </w:rPr>
              <w:t>3.004</w:t>
            </w:r>
            <w:r>
              <w:rPr>
                <w:rFonts w:hint="eastAsia"/>
                <w:color w:val="auto"/>
                <w:szCs w:val="24"/>
              </w:rPr>
              <w:t>t/a</w:t>
            </w:r>
          </w:p>
        </w:tc>
        <w:tc>
          <w:tcPr>
            <w:tcW w:w="558" w:type="pct"/>
            <w:vAlign w:val="center"/>
          </w:tcPr>
          <w:p w14:paraId="3CA8B67D">
            <w:pPr>
              <w:pStyle w:val="157"/>
              <w:spacing w:line="360" w:lineRule="auto"/>
              <w:rPr>
                <w:snapToGrid w:val="0"/>
                <w:color w:val="auto"/>
                <w:kern w:val="21"/>
                <w:szCs w:val="24"/>
              </w:rPr>
            </w:pPr>
            <w:r>
              <w:rPr>
                <w:rFonts w:hint="eastAsia"/>
                <w:snapToGrid w:val="0"/>
                <w:color w:val="auto"/>
                <w:kern w:val="21"/>
                <w:szCs w:val="24"/>
              </w:rPr>
              <w:t>/</w:t>
            </w:r>
          </w:p>
        </w:tc>
        <w:tc>
          <w:tcPr>
            <w:tcW w:w="609" w:type="pct"/>
            <w:vAlign w:val="center"/>
          </w:tcPr>
          <w:p w14:paraId="408ACEBA">
            <w:pPr>
              <w:pStyle w:val="157"/>
              <w:spacing w:line="360" w:lineRule="auto"/>
              <w:rPr>
                <w:snapToGrid w:val="0"/>
                <w:color w:val="auto"/>
                <w:kern w:val="21"/>
                <w:szCs w:val="24"/>
              </w:rPr>
            </w:pPr>
            <w:r>
              <w:rPr>
                <w:rFonts w:hint="eastAsia"/>
                <w:snapToGrid w:val="0"/>
                <w:color w:val="auto"/>
                <w:kern w:val="21"/>
                <w:szCs w:val="24"/>
              </w:rPr>
              <w:t>203.004</w:t>
            </w:r>
            <w:r>
              <w:rPr>
                <w:rFonts w:hint="eastAsia"/>
                <w:color w:val="auto"/>
                <w:szCs w:val="24"/>
              </w:rPr>
              <w:t>t/a</w:t>
            </w:r>
          </w:p>
        </w:tc>
        <w:tc>
          <w:tcPr>
            <w:tcW w:w="551" w:type="pct"/>
            <w:vAlign w:val="center"/>
          </w:tcPr>
          <w:p w14:paraId="1EEF5C4A">
            <w:pPr>
              <w:pStyle w:val="157"/>
              <w:spacing w:line="360" w:lineRule="auto"/>
              <w:rPr>
                <w:snapToGrid w:val="0"/>
                <w:color w:val="auto"/>
                <w:kern w:val="21"/>
                <w:szCs w:val="24"/>
              </w:rPr>
            </w:pPr>
            <w:r>
              <w:rPr>
                <w:rFonts w:hint="eastAsia"/>
                <w:snapToGrid w:val="0"/>
                <w:color w:val="auto"/>
                <w:kern w:val="21"/>
                <w:szCs w:val="24"/>
              </w:rPr>
              <w:t>+3.004</w:t>
            </w:r>
            <w:r>
              <w:rPr>
                <w:rFonts w:hint="eastAsia"/>
                <w:color w:val="auto"/>
                <w:szCs w:val="24"/>
              </w:rPr>
              <w:t>t/a</w:t>
            </w:r>
          </w:p>
        </w:tc>
      </w:tr>
      <w:tr w14:paraId="01068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5" w:type="pct"/>
            <w:vMerge w:val="restart"/>
            <w:vAlign w:val="center"/>
          </w:tcPr>
          <w:p w14:paraId="625082F1">
            <w:pPr>
              <w:pStyle w:val="105"/>
              <w:spacing w:line="360" w:lineRule="auto"/>
              <w:rPr>
                <w:rFonts w:hAnsi="宋体"/>
                <w:color w:val="auto"/>
                <w:sz w:val="24"/>
                <w:szCs w:val="24"/>
              </w:rPr>
            </w:pPr>
            <w:r>
              <w:rPr>
                <w:rFonts w:hAnsi="宋体"/>
                <w:color w:val="auto"/>
                <w:sz w:val="24"/>
                <w:szCs w:val="24"/>
              </w:rPr>
              <w:t>危险废物</w:t>
            </w:r>
          </w:p>
        </w:tc>
        <w:tc>
          <w:tcPr>
            <w:tcW w:w="506" w:type="pct"/>
            <w:vAlign w:val="center"/>
          </w:tcPr>
          <w:p w14:paraId="1C49A625">
            <w:pPr>
              <w:spacing w:line="276" w:lineRule="auto"/>
              <w:jc w:val="center"/>
              <w:rPr>
                <w:color w:val="auto"/>
                <w:sz w:val="24"/>
                <w:szCs w:val="24"/>
              </w:rPr>
            </w:pPr>
            <w:r>
              <w:rPr>
                <w:rFonts w:hint="eastAsia" w:hAnsi="宋体"/>
                <w:color w:val="auto"/>
                <w:sz w:val="24"/>
                <w:szCs w:val="24"/>
              </w:rPr>
              <w:t>废包装桶</w:t>
            </w:r>
          </w:p>
        </w:tc>
        <w:tc>
          <w:tcPr>
            <w:tcW w:w="609" w:type="pct"/>
            <w:vAlign w:val="center"/>
          </w:tcPr>
          <w:p w14:paraId="33A15147">
            <w:pPr>
              <w:pStyle w:val="157"/>
              <w:spacing w:line="360" w:lineRule="auto"/>
              <w:rPr>
                <w:snapToGrid w:val="0"/>
                <w:color w:val="auto"/>
                <w:kern w:val="21"/>
                <w:szCs w:val="24"/>
              </w:rPr>
            </w:pPr>
            <w:r>
              <w:rPr>
                <w:rFonts w:hint="eastAsia"/>
                <w:snapToGrid w:val="0"/>
                <w:color w:val="auto"/>
                <w:kern w:val="21"/>
                <w:szCs w:val="24"/>
              </w:rPr>
              <w:t>0.5t/a</w:t>
            </w:r>
          </w:p>
        </w:tc>
        <w:tc>
          <w:tcPr>
            <w:tcW w:w="484" w:type="pct"/>
            <w:vAlign w:val="center"/>
          </w:tcPr>
          <w:p w14:paraId="5CDA0C85">
            <w:pPr>
              <w:pStyle w:val="157"/>
              <w:spacing w:line="360" w:lineRule="auto"/>
              <w:rPr>
                <w:snapToGrid w:val="0"/>
                <w:color w:val="auto"/>
                <w:kern w:val="21"/>
                <w:szCs w:val="24"/>
              </w:rPr>
            </w:pPr>
            <w:r>
              <w:rPr>
                <w:rFonts w:hint="eastAsia"/>
                <w:snapToGrid w:val="0"/>
                <w:color w:val="auto"/>
                <w:kern w:val="21"/>
                <w:szCs w:val="24"/>
              </w:rPr>
              <w:t>0</w:t>
            </w:r>
          </w:p>
        </w:tc>
        <w:tc>
          <w:tcPr>
            <w:tcW w:w="609" w:type="pct"/>
            <w:vAlign w:val="center"/>
          </w:tcPr>
          <w:p w14:paraId="6425E688">
            <w:pPr>
              <w:pStyle w:val="157"/>
              <w:spacing w:line="360" w:lineRule="auto"/>
              <w:rPr>
                <w:snapToGrid w:val="0"/>
                <w:color w:val="auto"/>
                <w:kern w:val="21"/>
                <w:szCs w:val="24"/>
              </w:rPr>
            </w:pPr>
            <w:r>
              <w:rPr>
                <w:rFonts w:hint="eastAsia"/>
                <w:snapToGrid w:val="0"/>
                <w:color w:val="auto"/>
                <w:kern w:val="21"/>
                <w:szCs w:val="24"/>
              </w:rPr>
              <w:t>0</w:t>
            </w:r>
          </w:p>
        </w:tc>
        <w:tc>
          <w:tcPr>
            <w:tcW w:w="609" w:type="pct"/>
            <w:vAlign w:val="center"/>
          </w:tcPr>
          <w:p w14:paraId="6246AA40">
            <w:pPr>
              <w:pStyle w:val="157"/>
              <w:spacing w:line="360" w:lineRule="auto"/>
              <w:rPr>
                <w:snapToGrid w:val="0"/>
                <w:color w:val="auto"/>
                <w:kern w:val="21"/>
                <w:szCs w:val="24"/>
              </w:rPr>
            </w:pPr>
            <w:r>
              <w:rPr>
                <w:rFonts w:hint="eastAsia"/>
                <w:snapToGrid w:val="0"/>
                <w:color w:val="auto"/>
                <w:kern w:val="21"/>
                <w:szCs w:val="24"/>
              </w:rPr>
              <w:t>1.125</w:t>
            </w:r>
            <w:r>
              <w:rPr>
                <w:rFonts w:hint="eastAsia"/>
                <w:color w:val="auto"/>
                <w:szCs w:val="24"/>
              </w:rPr>
              <w:t>t/a</w:t>
            </w:r>
          </w:p>
        </w:tc>
        <w:tc>
          <w:tcPr>
            <w:tcW w:w="558" w:type="pct"/>
            <w:vAlign w:val="center"/>
          </w:tcPr>
          <w:p w14:paraId="5BFC3C74">
            <w:pPr>
              <w:pStyle w:val="157"/>
              <w:spacing w:line="360" w:lineRule="auto"/>
              <w:rPr>
                <w:snapToGrid w:val="0"/>
                <w:color w:val="auto"/>
                <w:kern w:val="21"/>
                <w:szCs w:val="24"/>
              </w:rPr>
            </w:pPr>
            <w:r>
              <w:rPr>
                <w:rFonts w:hint="eastAsia"/>
                <w:snapToGrid w:val="0"/>
                <w:color w:val="auto"/>
                <w:kern w:val="21"/>
                <w:szCs w:val="24"/>
              </w:rPr>
              <w:t>/</w:t>
            </w:r>
          </w:p>
        </w:tc>
        <w:tc>
          <w:tcPr>
            <w:tcW w:w="609" w:type="pct"/>
            <w:vAlign w:val="center"/>
          </w:tcPr>
          <w:p w14:paraId="614216F0">
            <w:pPr>
              <w:pStyle w:val="157"/>
              <w:spacing w:line="360" w:lineRule="auto"/>
              <w:rPr>
                <w:snapToGrid w:val="0"/>
                <w:color w:val="auto"/>
                <w:kern w:val="21"/>
                <w:szCs w:val="24"/>
              </w:rPr>
            </w:pPr>
            <w:r>
              <w:rPr>
                <w:rFonts w:hint="eastAsia"/>
                <w:snapToGrid w:val="0"/>
                <w:color w:val="auto"/>
                <w:kern w:val="21"/>
                <w:szCs w:val="24"/>
              </w:rPr>
              <w:t>1.625</w:t>
            </w:r>
            <w:r>
              <w:rPr>
                <w:rFonts w:hint="eastAsia"/>
                <w:color w:val="auto"/>
                <w:szCs w:val="24"/>
              </w:rPr>
              <w:t>t/a</w:t>
            </w:r>
          </w:p>
        </w:tc>
        <w:tc>
          <w:tcPr>
            <w:tcW w:w="551" w:type="pct"/>
            <w:vAlign w:val="center"/>
          </w:tcPr>
          <w:p w14:paraId="43142ED2">
            <w:pPr>
              <w:pStyle w:val="157"/>
              <w:spacing w:line="360" w:lineRule="auto"/>
              <w:rPr>
                <w:snapToGrid w:val="0"/>
                <w:color w:val="auto"/>
                <w:kern w:val="21"/>
                <w:szCs w:val="24"/>
              </w:rPr>
            </w:pPr>
            <w:r>
              <w:rPr>
                <w:rFonts w:hint="eastAsia"/>
                <w:snapToGrid w:val="0"/>
                <w:color w:val="auto"/>
                <w:kern w:val="21"/>
                <w:szCs w:val="24"/>
              </w:rPr>
              <w:t>+1.125t</w:t>
            </w:r>
            <w:r>
              <w:rPr>
                <w:rFonts w:hint="eastAsia"/>
                <w:color w:val="auto"/>
                <w:szCs w:val="24"/>
              </w:rPr>
              <w:t>/a</w:t>
            </w:r>
          </w:p>
        </w:tc>
      </w:tr>
      <w:tr w14:paraId="482F0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5" w:type="pct"/>
            <w:vMerge w:val="continue"/>
            <w:vAlign w:val="center"/>
          </w:tcPr>
          <w:p w14:paraId="03701C1E">
            <w:pPr>
              <w:pStyle w:val="105"/>
              <w:spacing w:line="360" w:lineRule="auto"/>
              <w:rPr>
                <w:rFonts w:hAnsi="宋体"/>
                <w:color w:val="auto"/>
                <w:sz w:val="24"/>
                <w:szCs w:val="24"/>
              </w:rPr>
            </w:pPr>
          </w:p>
        </w:tc>
        <w:tc>
          <w:tcPr>
            <w:tcW w:w="506" w:type="pct"/>
            <w:vAlign w:val="center"/>
          </w:tcPr>
          <w:p w14:paraId="21F230F4">
            <w:pPr>
              <w:spacing w:line="276" w:lineRule="auto"/>
              <w:jc w:val="center"/>
              <w:rPr>
                <w:color w:val="auto"/>
                <w:sz w:val="24"/>
                <w:szCs w:val="24"/>
              </w:rPr>
            </w:pPr>
            <w:r>
              <w:rPr>
                <w:color w:val="auto"/>
                <w:sz w:val="24"/>
                <w:szCs w:val="24"/>
              </w:rPr>
              <w:t>废漆料</w:t>
            </w:r>
          </w:p>
        </w:tc>
        <w:tc>
          <w:tcPr>
            <w:tcW w:w="609" w:type="pct"/>
            <w:vAlign w:val="center"/>
          </w:tcPr>
          <w:p w14:paraId="77CB47E9">
            <w:pPr>
              <w:pStyle w:val="157"/>
              <w:spacing w:line="360" w:lineRule="auto"/>
              <w:rPr>
                <w:snapToGrid w:val="0"/>
                <w:color w:val="auto"/>
                <w:kern w:val="21"/>
                <w:szCs w:val="24"/>
              </w:rPr>
            </w:pPr>
            <w:r>
              <w:rPr>
                <w:rFonts w:hint="eastAsia"/>
                <w:snapToGrid w:val="0"/>
                <w:color w:val="auto"/>
                <w:kern w:val="21"/>
                <w:szCs w:val="24"/>
              </w:rPr>
              <w:t>0t/a</w:t>
            </w:r>
          </w:p>
        </w:tc>
        <w:tc>
          <w:tcPr>
            <w:tcW w:w="484" w:type="pct"/>
            <w:vAlign w:val="center"/>
          </w:tcPr>
          <w:p w14:paraId="4E3DF2AD">
            <w:pPr>
              <w:pStyle w:val="157"/>
              <w:spacing w:line="360" w:lineRule="auto"/>
              <w:rPr>
                <w:snapToGrid w:val="0"/>
                <w:color w:val="auto"/>
                <w:kern w:val="21"/>
                <w:szCs w:val="24"/>
              </w:rPr>
            </w:pPr>
            <w:r>
              <w:rPr>
                <w:rFonts w:hint="eastAsia"/>
                <w:snapToGrid w:val="0"/>
                <w:color w:val="auto"/>
                <w:kern w:val="21"/>
                <w:szCs w:val="24"/>
              </w:rPr>
              <w:t>0</w:t>
            </w:r>
          </w:p>
        </w:tc>
        <w:tc>
          <w:tcPr>
            <w:tcW w:w="609" w:type="pct"/>
            <w:vAlign w:val="center"/>
          </w:tcPr>
          <w:p w14:paraId="310D31A5">
            <w:pPr>
              <w:pStyle w:val="157"/>
              <w:spacing w:line="360" w:lineRule="auto"/>
              <w:rPr>
                <w:snapToGrid w:val="0"/>
                <w:color w:val="auto"/>
                <w:kern w:val="21"/>
                <w:szCs w:val="24"/>
              </w:rPr>
            </w:pPr>
            <w:r>
              <w:rPr>
                <w:rFonts w:hint="eastAsia"/>
                <w:snapToGrid w:val="0"/>
                <w:color w:val="auto"/>
                <w:kern w:val="21"/>
                <w:szCs w:val="24"/>
              </w:rPr>
              <w:t>0</w:t>
            </w:r>
          </w:p>
        </w:tc>
        <w:tc>
          <w:tcPr>
            <w:tcW w:w="609" w:type="pct"/>
            <w:vAlign w:val="center"/>
          </w:tcPr>
          <w:p w14:paraId="486243D2">
            <w:pPr>
              <w:pStyle w:val="157"/>
              <w:spacing w:line="360" w:lineRule="auto"/>
              <w:rPr>
                <w:snapToGrid w:val="0"/>
                <w:color w:val="auto"/>
                <w:kern w:val="21"/>
                <w:szCs w:val="24"/>
              </w:rPr>
            </w:pPr>
            <w:r>
              <w:rPr>
                <w:rFonts w:hint="eastAsia"/>
                <w:snapToGrid w:val="0"/>
                <w:color w:val="auto"/>
                <w:kern w:val="21"/>
                <w:szCs w:val="24"/>
              </w:rPr>
              <w:t>4.275t/a</w:t>
            </w:r>
          </w:p>
        </w:tc>
        <w:tc>
          <w:tcPr>
            <w:tcW w:w="558" w:type="pct"/>
            <w:vAlign w:val="center"/>
          </w:tcPr>
          <w:p w14:paraId="5EB89569">
            <w:pPr>
              <w:pStyle w:val="157"/>
              <w:spacing w:line="360" w:lineRule="auto"/>
              <w:rPr>
                <w:snapToGrid w:val="0"/>
                <w:color w:val="auto"/>
                <w:kern w:val="21"/>
                <w:szCs w:val="24"/>
              </w:rPr>
            </w:pPr>
            <w:r>
              <w:rPr>
                <w:rFonts w:hint="eastAsia"/>
                <w:snapToGrid w:val="0"/>
                <w:color w:val="auto"/>
                <w:kern w:val="21"/>
                <w:szCs w:val="24"/>
              </w:rPr>
              <w:t>/</w:t>
            </w:r>
          </w:p>
        </w:tc>
        <w:tc>
          <w:tcPr>
            <w:tcW w:w="609" w:type="pct"/>
            <w:vAlign w:val="center"/>
          </w:tcPr>
          <w:p w14:paraId="212A9CBF">
            <w:pPr>
              <w:pStyle w:val="157"/>
              <w:spacing w:line="360" w:lineRule="auto"/>
              <w:rPr>
                <w:snapToGrid w:val="0"/>
                <w:color w:val="auto"/>
                <w:kern w:val="21"/>
                <w:szCs w:val="24"/>
              </w:rPr>
            </w:pPr>
            <w:r>
              <w:rPr>
                <w:rFonts w:hint="eastAsia"/>
                <w:snapToGrid w:val="0"/>
                <w:color w:val="auto"/>
                <w:kern w:val="21"/>
                <w:szCs w:val="24"/>
              </w:rPr>
              <w:t>4.275t/a</w:t>
            </w:r>
          </w:p>
        </w:tc>
        <w:tc>
          <w:tcPr>
            <w:tcW w:w="551" w:type="pct"/>
            <w:vAlign w:val="center"/>
          </w:tcPr>
          <w:p w14:paraId="2D14B97A">
            <w:pPr>
              <w:pStyle w:val="157"/>
              <w:spacing w:line="360" w:lineRule="auto"/>
              <w:rPr>
                <w:snapToGrid w:val="0"/>
                <w:color w:val="auto"/>
                <w:kern w:val="21"/>
                <w:szCs w:val="24"/>
              </w:rPr>
            </w:pPr>
            <w:r>
              <w:rPr>
                <w:rFonts w:hint="eastAsia"/>
                <w:snapToGrid w:val="0"/>
                <w:color w:val="auto"/>
                <w:kern w:val="21"/>
                <w:szCs w:val="24"/>
              </w:rPr>
              <w:t>+4.275t/a</w:t>
            </w:r>
          </w:p>
        </w:tc>
      </w:tr>
      <w:tr w14:paraId="76535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5" w:type="pct"/>
            <w:vMerge w:val="continue"/>
            <w:vAlign w:val="center"/>
          </w:tcPr>
          <w:p w14:paraId="6329BE10">
            <w:pPr>
              <w:pStyle w:val="105"/>
              <w:spacing w:line="360" w:lineRule="auto"/>
              <w:rPr>
                <w:rFonts w:hAnsi="宋体"/>
                <w:color w:val="auto"/>
                <w:sz w:val="24"/>
                <w:szCs w:val="24"/>
              </w:rPr>
            </w:pPr>
          </w:p>
        </w:tc>
        <w:tc>
          <w:tcPr>
            <w:tcW w:w="506" w:type="pct"/>
            <w:vAlign w:val="center"/>
          </w:tcPr>
          <w:p w14:paraId="2B65E232">
            <w:pPr>
              <w:spacing w:line="276" w:lineRule="auto"/>
              <w:jc w:val="center"/>
              <w:rPr>
                <w:rFonts w:hAnsi="宋体"/>
                <w:color w:val="auto"/>
                <w:sz w:val="24"/>
                <w:szCs w:val="24"/>
              </w:rPr>
            </w:pPr>
            <w:r>
              <w:rPr>
                <w:rFonts w:hint="eastAsia"/>
                <w:color w:val="auto"/>
                <w:sz w:val="24"/>
                <w:szCs w:val="24"/>
              </w:rPr>
              <w:t>废活性炭</w:t>
            </w:r>
          </w:p>
        </w:tc>
        <w:tc>
          <w:tcPr>
            <w:tcW w:w="609" w:type="pct"/>
            <w:vAlign w:val="center"/>
          </w:tcPr>
          <w:p w14:paraId="58E0482A">
            <w:pPr>
              <w:pStyle w:val="157"/>
              <w:spacing w:line="360" w:lineRule="auto"/>
              <w:rPr>
                <w:snapToGrid w:val="0"/>
                <w:color w:val="auto"/>
                <w:kern w:val="21"/>
                <w:szCs w:val="24"/>
              </w:rPr>
            </w:pPr>
            <w:r>
              <w:rPr>
                <w:rFonts w:hint="eastAsia"/>
                <w:snapToGrid w:val="0"/>
                <w:color w:val="auto"/>
                <w:kern w:val="21"/>
                <w:szCs w:val="24"/>
              </w:rPr>
              <w:t>1.54t/a</w:t>
            </w:r>
          </w:p>
        </w:tc>
        <w:tc>
          <w:tcPr>
            <w:tcW w:w="484" w:type="pct"/>
            <w:vAlign w:val="center"/>
          </w:tcPr>
          <w:p w14:paraId="04B2D685">
            <w:pPr>
              <w:pStyle w:val="157"/>
              <w:spacing w:line="360" w:lineRule="auto"/>
              <w:rPr>
                <w:snapToGrid w:val="0"/>
                <w:color w:val="auto"/>
                <w:kern w:val="21"/>
                <w:szCs w:val="24"/>
              </w:rPr>
            </w:pPr>
            <w:r>
              <w:rPr>
                <w:rFonts w:hint="eastAsia"/>
                <w:snapToGrid w:val="0"/>
                <w:color w:val="auto"/>
                <w:kern w:val="21"/>
                <w:szCs w:val="24"/>
              </w:rPr>
              <w:t>0</w:t>
            </w:r>
          </w:p>
        </w:tc>
        <w:tc>
          <w:tcPr>
            <w:tcW w:w="609" w:type="pct"/>
            <w:vAlign w:val="center"/>
          </w:tcPr>
          <w:p w14:paraId="07B30B52">
            <w:pPr>
              <w:pStyle w:val="157"/>
              <w:spacing w:line="360" w:lineRule="auto"/>
              <w:rPr>
                <w:snapToGrid w:val="0"/>
                <w:color w:val="auto"/>
                <w:kern w:val="21"/>
                <w:szCs w:val="24"/>
              </w:rPr>
            </w:pPr>
            <w:r>
              <w:rPr>
                <w:rFonts w:hint="eastAsia"/>
                <w:snapToGrid w:val="0"/>
                <w:color w:val="auto"/>
                <w:kern w:val="21"/>
                <w:szCs w:val="24"/>
              </w:rPr>
              <w:t>0</w:t>
            </w:r>
          </w:p>
        </w:tc>
        <w:tc>
          <w:tcPr>
            <w:tcW w:w="609" w:type="pct"/>
            <w:vAlign w:val="center"/>
          </w:tcPr>
          <w:p w14:paraId="0522A8D3">
            <w:pPr>
              <w:pStyle w:val="157"/>
              <w:spacing w:line="360" w:lineRule="auto"/>
              <w:rPr>
                <w:snapToGrid w:val="0"/>
                <w:color w:val="auto"/>
                <w:kern w:val="21"/>
                <w:szCs w:val="24"/>
              </w:rPr>
            </w:pPr>
            <w:r>
              <w:rPr>
                <w:rFonts w:hint="eastAsia"/>
                <w:snapToGrid w:val="0"/>
                <w:color w:val="auto"/>
                <w:kern w:val="21"/>
                <w:szCs w:val="24"/>
              </w:rPr>
              <w:t>15.047</w:t>
            </w:r>
            <w:r>
              <w:rPr>
                <w:rFonts w:hint="eastAsia"/>
                <w:color w:val="auto"/>
                <w:szCs w:val="24"/>
              </w:rPr>
              <w:t>t/a</w:t>
            </w:r>
          </w:p>
        </w:tc>
        <w:tc>
          <w:tcPr>
            <w:tcW w:w="558" w:type="pct"/>
            <w:vAlign w:val="center"/>
          </w:tcPr>
          <w:p w14:paraId="525B95E5">
            <w:pPr>
              <w:pStyle w:val="157"/>
              <w:spacing w:line="360" w:lineRule="auto"/>
              <w:rPr>
                <w:snapToGrid w:val="0"/>
                <w:color w:val="auto"/>
                <w:kern w:val="21"/>
                <w:szCs w:val="24"/>
              </w:rPr>
            </w:pPr>
            <w:r>
              <w:rPr>
                <w:rFonts w:hint="eastAsia"/>
                <w:snapToGrid w:val="0"/>
                <w:color w:val="auto"/>
                <w:kern w:val="21"/>
                <w:szCs w:val="24"/>
              </w:rPr>
              <w:t>/</w:t>
            </w:r>
          </w:p>
        </w:tc>
        <w:tc>
          <w:tcPr>
            <w:tcW w:w="609" w:type="pct"/>
            <w:vAlign w:val="center"/>
          </w:tcPr>
          <w:p w14:paraId="3425F93B">
            <w:pPr>
              <w:pStyle w:val="157"/>
              <w:spacing w:line="360" w:lineRule="auto"/>
              <w:rPr>
                <w:snapToGrid w:val="0"/>
                <w:color w:val="auto"/>
                <w:kern w:val="21"/>
                <w:szCs w:val="24"/>
              </w:rPr>
            </w:pPr>
            <w:r>
              <w:rPr>
                <w:rFonts w:hint="eastAsia"/>
                <w:snapToGrid w:val="0"/>
                <w:color w:val="auto"/>
                <w:kern w:val="21"/>
                <w:szCs w:val="24"/>
              </w:rPr>
              <w:t>16.587</w:t>
            </w:r>
            <w:r>
              <w:rPr>
                <w:rFonts w:hint="eastAsia"/>
                <w:color w:val="auto"/>
                <w:szCs w:val="24"/>
              </w:rPr>
              <w:t>t/a</w:t>
            </w:r>
          </w:p>
        </w:tc>
        <w:tc>
          <w:tcPr>
            <w:tcW w:w="551" w:type="pct"/>
            <w:vAlign w:val="center"/>
          </w:tcPr>
          <w:p w14:paraId="67C3BA69">
            <w:pPr>
              <w:pStyle w:val="157"/>
              <w:spacing w:line="360" w:lineRule="auto"/>
              <w:rPr>
                <w:snapToGrid w:val="0"/>
                <w:color w:val="auto"/>
                <w:kern w:val="21"/>
                <w:szCs w:val="24"/>
              </w:rPr>
            </w:pPr>
            <w:r>
              <w:rPr>
                <w:rFonts w:hint="eastAsia"/>
                <w:snapToGrid w:val="0"/>
                <w:color w:val="auto"/>
                <w:kern w:val="21"/>
                <w:szCs w:val="24"/>
              </w:rPr>
              <w:t>+15.047</w:t>
            </w:r>
            <w:r>
              <w:rPr>
                <w:rFonts w:hint="eastAsia"/>
                <w:color w:val="auto"/>
                <w:szCs w:val="24"/>
              </w:rPr>
              <w:t>t/a</w:t>
            </w:r>
          </w:p>
        </w:tc>
      </w:tr>
    </w:tbl>
    <w:p w14:paraId="1B38CFBB">
      <w:pPr>
        <w:pStyle w:val="157"/>
        <w:spacing w:beforeLines="80" w:after="24"/>
        <w:jc w:val="left"/>
        <w:rPr>
          <w:rFonts w:ascii="宋体" w:hAnsi="宋体"/>
          <w:snapToGrid w:val="0"/>
          <w:color w:val="auto"/>
          <w:spacing w:val="-6"/>
          <w:kern w:val="21"/>
        </w:rPr>
      </w:pPr>
      <w:r>
        <w:rPr>
          <w:rFonts w:ascii="宋体" w:hAnsi="宋体"/>
          <w:snapToGrid w:val="0"/>
          <w:color w:val="auto"/>
          <w:kern w:val="21"/>
        </w:rPr>
        <w:t>注：</w:t>
      </w:r>
      <w:r>
        <w:rPr>
          <w:rFonts w:ascii="宋体" w:hAnsi="宋体"/>
          <w:snapToGrid w:val="0"/>
          <w:color w:val="auto"/>
          <w:spacing w:val="-16"/>
          <w:kern w:val="21"/>
        </w:rPr>
        <w:fldChar w:fldCharType="begin"/>
      </w:r>
      <w:r>
        <w:rPr>
          <w:rFonts w:ascii="宋体" w:hAnsi="宋体"/>
          <w:snapToGrid w:val="0"/>
          <w:color w:val="auto"/>
          <w:spacing w:val="-16"/>
          <w:kern w:val="21"/>
        </w:rPr>
        <w:instrText xml:space="preserve"> = 6 \* GB3 \* MERGEFORMAT </w:instrText>
      </w:r>
      <w:r>
        <w:rPr>
          <w:rFonts w:ascii="宋体" w:hAnsi="宋体"/>
          <w:snapToGrid w:val="0"/>
          <w:color w:val="auto"/>
          <w:spacing w:val="-16"/>
          <w:kern w:val="21"/>
        </w:rPr>
        <w:fldChar w:fldCharType="separate"/>
      </w:r>
      <w:r>
        <w:rPr>
          <w:rFonts w:ascii="宋体" w:hAnsi="宋体"/>
          <w:color w:val="auto"/>
        </w:rPr>
        <w:t>⑥</w:t>
      </w:r>
      <w:r>
        <w:rPr>
          <w:rFonts w:ascii="宋体" w:hAnsi="宋体"/>
          <w:snapToGrid w:val="0"/>
          <w:color w:val="auto"/>
          <w:spacing w:val="-16"/>
          <w:kern w:val="21"/>
        </w:rPr>
        <w:fldChar w:fldCharType="end"/>
      </w:r>
      <w:r>
        <w:rPr>
          <w:rFonts w:ascii="宋体" w:hAnsi="宋体"/>
          <w:snapToGrid w:val="0"/>
          <w:color w:val="auto"/>
          <w:spacing w:val="-16"/>
          <w:kern w:val="21"/>
        </w:rPr>
        <w:t>=</w:t>
      </w:r>
      <w:r>
        <w:rPr>
          <w:rFonts w:ascii="宋体" w:hAnsi="宋体"/>
          <w:snapToGrid w:val="0"/>
          <w:color w:val="auto"/>
          <w:spacing w:val="-6"/>
          <w:kern w:val="21"/>
        </w:rPr>
        <w:fldChar w:fldCharType="begin"/>
      </w:r>
      <w:r>
        <w:rPr>
          <w:rFonts w:ascii="宋体" w:hAnsi="宋体"/>
          <w:snapToGrid w:val="0"/>
          <w:color w:val="auto"/>
          <w:spacing w:val="-6"/>
          <w:kern w:val="21"/>
        </w:rPr>
        <w:instrText xml:space="preserve"> = 1 \* GB3 \* MERGEFORMAT </w:instrText>
      </w:r>
      <w:r>
        <w:rPr>
          <w:rFonts w:ascii="宋体" w:hAnsi="宋体"/>
          <w:snapToGrid w:val="0"/>
          <w:color w:val="auto"/>
          <w:spacing w:val="-6"/>
          <w:kern w:val="21"/>
        </w:rPr>
        <w:fldChar w:fldCharType="separate"/>
      </w:r>
      <w:r>
        <w:rPr>
          <w:rFonts w:ascii="宋体" w:hAnsi="宋体"/>
          <w:color w:val="auto"/>
        </w:rPr>
        <w:t>①</w:t>
      </w:r>
      <w:r>
        <w:rPr>
          <w:rFonts w:ascii="宋体" w:hAnsi="宋体"/>
          <w:snapToGrid w:val="0"/>
          <w:color w:val="auto"/>
          <w:spacing w:val="-6"/>
          <w:kern w:val="21"/>
        </w:rPr>
        <w:fldChar w:fldCharType="end"/>
      </w:r>
      <w:r>
        <w:rPr>
          <w:rFonts w:ascii="宋体" w:hAnsi="宋体"/>
          <w:snapToGrid w:val="0"/>
          <w:color w:val="auto"/>
          <w:spacing w:val="-6"/>
          <w:kern w:val="21"/>
        </w:rPr>
        <w:t>+</w:t>
      </w:r>
      <w:r>
        <w:rPr>
          <w:rFonts w:ascii="宋体" w:hAnsi="宋体"/>
          <w:snapToGrid w:val="0"/>
          <w:color w:val="auto"/>
          <w:spacing w:val="-6"/>
          <w:kern w:val="21"/>
        </w:rPr>
        <w:fldChar w:fldCharType="begin"/>
      </w:r>
      <w:r>
        <w:rPr>
          <w:rFonts w:ascii="宋体" w:hAnsi="宋体"/>
          <w:snapToGrid w:val="0"/>
          <w:color w:val="auto"/>
          <w:spacing w:val="-6"/>
          <w:kern w:val="21"/>
        </w:rPr>
        <w:instrText xml:space="preserve"> = 3 \* GB3 \* MERGEFORMAT </w:instrText>
      </w:r>
      <w:r>
        <w:rPr>
          <w:rFonts w:ascii="宋体" w:hAnsi="宋体"/>
          <w:snapToGrid w:val="0"/>
          <w:color w:val="auto"/>
          <w:spacing w:val="-6"/>
          <w:kern w:val="21"/>
        </w:rPr>
        <w:fldChar w:fldCharType="separate"/>
      </w:r>
      <w:r>
        <w:rPr>
          <w:rFonts w:ascii="宋体" w:hAnsi="宋体"/>
          <w:color w:val="auto"/>
        </w:rPr>
        <w:t>③</w:t>
      </w:r>
      <w:r>
        <w:rPr>
          <w:rFonts w:ascii="宋体" w:hAnsi="宋体"/>
          <w:snapToGrid w:val="0"/>
          <w:color w:val="auto"/>
          <w:spacing w:val="-6"/>
          <w:kern w:val="21"/>
        </w:rPr>
        <w:fldChar w:fldCharType="end"/>
      </w:r>
      <w:r>
        <w:rPr>
          <w:rFonts w:ascii="宋体" w:hAnsi="宋体"/>
          <w:snapToGrid w:val="0"/>
          <w:color w:val="auto"/>
          <w:spacing w:val="-6"/>
          <w:kern w:val="21"/>
        </w:rPr>
        <w:t>+</w:t>
      </w:r>
      <w:r>
        <w:rPr>
          <w:rFonts w:ascii="宋体" w:hAnsi="宋体"/>
          <w:snapToGrid w:val="0"/>
          <w:color w:val="auto"/>
          <w:spacing w:val="-6"/>
          <w:kern w:val="21"/>
        </w:rPr>
        <w:fldChar w:fldCharType="begin"/>
      </w:r>
      <w:r>
        <w:rPr>
          <w:rFonts w:ascii="宋体" w:hAnsi="宋体"/>
          <w:snapToGrid w:val="0"/>
          <w:color w:val="auto"/>
          <w:spacing w:val="-6"/>
          <w:kern w:val="21"/>
        </w:rPr>
        <w:instrText xml:space="preserve"> = 4 \* GB3 \* MERGEFORMAT </w:instrText>
      </w:r>
      <w:r>
        <w:rPr>
          <w:rFonts w:ascii="宋体" w:hAnsi="宋体"/>
          <w:snapToGrid w:val="0"/>
          <w:color w:val="auto"/>
          <w:spacing w:val="-6"/>
          <w:kern w:val="21"/>
        </w:rPr>
        <w:fldChar w:fldCharType="separate"/>
      </w:r>
      <w:r>
        <w:rPr>
          <w:rFonts w:ascii="宋体" w:hAnsi="宋体"/>
          <w:color w:val="auto"/>
        </w:rPr>
        <w:t>④</w:t>
      </w:r>
      <w:r>
        <w:rPr>
          <w:rFonts w:ascii="宋体" w:hAnsi="宋体"/>
          <w:snapToGrid w:val="0"/>
          <w:color w:val="auto"/>
          <w:spacing w:val="-6"/>
          <w:kern w:val="21"/>
        </w:rPr>
        <w:fldChar w:fldCharType="end"/>
      </w:r>
      <w:r>
        <w:rPr>
          <w:rFonts w:ascii="宋体" w:hAnsi="宋体"/>
          <w:snapToGrid w:val="0"/>
          <w:color w:val="auto"/>
          <w:spacing w:val="-6"/>
          <w:kern w:val="21"/>
        </w:rPr>
        <w:t>-</w:t>
      </w:r>
      <w:r>
        <w:rPr>
          <w:rFonts w:ascii="宋体" w:hAnsi="宋体"/>
          <w:snapToGrid w:val="0"/>
          <w:color w:val="auto"/>
          <w:spacing w:val="-16"/>
          <w:kern w:val="21"/>
        </w:rPr>
        <w:fldChar w:fldCharType="begin"/>
      </w:r>
      <w:r>
        <w:rPr>
          <w:rFonts w:ascii="宋体" w:hAnsi="宋体"/>
          <w:snapToGrid w:val="0"/>
          <w:color w:val="auto"/>
          <w:spacing w:val="-16"/>
          <w:kern w:val="21"/>
        </w:rPr>
        <w:instrText xml:space="preserve"> = 5 \* GB3 \* MERGEFORMAT </w:instrText>
      </w:r>
      <w:r>
        <w:rPr>
          <w:rFonts w:ascii="宋体" w:hAnsi="宋体"/>
          <w:snapToGrid w:val="0"/>
          <w:color w:val="auto"/>
          <w:spacing w:val="-16"/>
          <w:kern w:val="21"/>
        </w:rPr>
        <w:fldChar w:fldCharType="separate"/>
      </w:r>
      <w:r>
        <w:rPr>
          <w:rFonts w:ascii="宋体" w:hAnsi="宋体"/>
          <w:color w:val="auto"/>
        </w:rPr>
        <w:t>⑤</w:t>
      </w:r>
      <w:r>
        <w:rPr>
          <w:rFonts w:ascii="宋体" w:hAnsi="宋体"/>
          <w:snapToGrid w:val="0"/>
          <w:color w:val="auto"/>
          <w:spacing w:val="-16"/>
          <w:kern w:val="21"/>
        </w:rPr>
        <w:fldChar w:fldCharType="end"/>
      </w:r>
      <w:r>
        <w:rPr>
          <w:rFonts w:ascii="宋体" w:hAnsi="宋体"/>
          <w:snapToGrid w:val="0"/>
          <w:color w:val="auto"/>
          <w:spacing w:val="-16"/>
          <w:kern w:val="21"/>
        </w:rPr>
        <w:t>；</w:t>
      </w:r>
      <w:r>
        <w:rPr>
          <w:rFonts w:ascii="宋体" w:hAnsi="宋体"/>
          <w:snapToGrid w:val="0"/>
          <w:color w:val="auto"/>
          <w:spacing w:val="-6"/>
          <w:kern w:val="21"/>
        </w:rPr>
        <w:fldChar w:fldCharType="begin"/>
      </w:r>
      <w:r>
        <w:rPr>
          <w:rFonts w:ascii="宋体" w:hAnsi="宋体"/>
          <w:snapToGrid w:val="0"/>
          <w:color w:val="auto"/>
          <w:spacing w:val="-6"/>
          <w:kern w:val="21"/>
        </w:rPr>
        <w:instrText xml:space="preserve"> = 7 \* GB3 \* MERGEFORMAT </w:instrText>
      </w:r>
      <w:r>
        <w:rPr>
          <w:rFonts w:ascii="宋体" w:hAnsi="宋体"/>
          <w:snapToGrid w:val="0"/>
          <w:color w:val="auto"/>
          <w:spacing w:val="-6"/>
          <w:kern w:val="21"/>
        </w:rPr>
        <w:fldChar w:fldCharType="separate"/>
      </w:r>
      <w:r>
        <w:rPr>
          <w:rFonts w:ascii="宋体" w:hAnsi="宋体"/>
          <w:color w:val="auto"/>
        </w:rPr>
        <w:t>⑦</w:t>
      </w:r>
      <w:r>
        <w:rPr>
          <w:rFonts w:ascii="宋体" w:hAnsi="宋体"/>
          <w:snapToGrid w:val="0"/>
          <w:color w:val="auto"/>
          <w:spacing w:val="-6"/>
          <w:kern w:val="21"/>
        </w:rPr>
        <w:fldChar w:fldCharType="end"/>
      </w:r>
      <w:r>
        <w:rPr>
          <w:rFonts w:ascii="宋体" w:hAnsi="宋体"/>
          <w:snapToGrid w:val="0"/>
          <w:color w:val="auto"/>
          <w:spacing w:val="-6"/>
          <w:kern w:val="21"/>
        </w:rPr>
        <w:t>=</w:t>
      </w:r>
      <w:r>
        <w:rPr>
          <w:rFonts w:ascii="宋体" w:hAnsi="宋体"/>
          <w:snapToGrid w:val="0"/>
          <w:color w:val="auto"/>
          <w:spacing w:val="-16"/>
          <w:kern w:val="21"/>
        </w:rPr>
        <w:fldChar w:fldCharType="begin"/>
      </w:r>
      <w:r>
        <w:rPr>
          <w:rFonts w:ascii="宋体" w:hAnsi="宋体"/>
          <w:snapToGrid w:val="0"/>
          <w:color w:val="auto"/>
          <w:spacing w:val="-16"/>
          <w:kern w:val="21"/>
        </w:rPr>
        <w:instrText xml:space="preserve"> = 6 \* GB3 \* MERGEFORMAT </w:instrText>
      </w:r>
      <w:r>
        <w:rPr>
          <w:rFonts w:ascii="宋体" w:hAnsi="宋体"/>
          <w:snapToGrid w:val="0"/>
          <w:color w:val="auto"/>
          <w:spacing w:val="-16"/>
          <w:kern w:val="21"/>
        </w:rPr>
        <w:fldChar w:fldCharType="separate"/>
      </w:r>
      <w:r>
        <w:rPr>
          <w:rFonts w:ascii="宋体" w:hAnsi="宋体"/>
          <w:color w:val="auto"/>
        </w:rPr>
        <w:t>⑥</w:t>
      </w:r>
      <w:r>
        <w:rPr>
          <w:rFonts w:ascii="宋体" w:hAnsi="宋体"/>
          <w:snapToGrid w:val="0"/>
          <w:color w:val="auto"/>
          <w:spacing w:val="-16"/>
          <w:kern w:val="21"/>
        </w:rPr>
        <w:fldChar w:fldCharType="end"/>
      </w:r>
      <w:r>
        <w:rPr>
          <w:rFonts w:ascii="宋体" w:hAnsi="宋体"/>
          <w:snapToGrid w:val="0"/>
          <w:color w:val="auto"/>
          <w:spacing w:val="-16"/>
          <w:kern w:val="21"/>
        </w:rPr>
        <w:t>-</w:t>
      </w:r>
      <w:r>
        <w:rPr>
          <w:rFonts w:ascii="宋体" w:hAnsi="宋体"/>
          <w:snapToGrid w:val="0"/>
          <w:color w:val="auto"/>
          <w:spacing w:val="-6"/>
          <w:kern w:val="21"/>
        </w:rPr>
        <w:fldChar w:fldCharType="begin"/>
      </w:r>
      <w:r>
        <w:rPr>
          <w:rFonts w:ascii="宋体" w:hAnsi="宋体"/>
          <w:snapToGrid w:val="0"/>
          <w:color w:val="auto"/>
          <w:spacing w:val="-6"/>
          <w:kern w:val="21"/>
        </w:rPr>
        <w:instrText xml:space="preserve"> = 1 \* GB3 \* MERGEFORMAT </w:instrText>
      </w:r>
      <w:r>
        <w:rPr>
          <w:rFonts w:ascii="宋体" w:hAnsi="宋体"/>
          <w:snapToGrid w:val="0"/>
          <w:color w:val="auto"/>
          <w:spacing w:val="-6"/>
          <w:kern w:val="21"/>
        </w:rPr>
        <w:fldChar w:fldCharType="separate"/>
      </w:r>
      <w:r>
        <w:rPr>
          <w:rFonts w:ascii="宋体" w:hAnsi="宋体"/>
          <w:color w:val="auto"/>
        </w:rPr>
        <w:t>①</w:t>
      </w:r>
      <w:r>
        <w:rPr>
          <w:rFonts w:ascii="宋体" w:hAnsi="宋体"/>
          <w:snapToGrid w:val="0"/>
          <w:color w:val="auto"/>
          <w:spacing w:val="-6"/>
          <w:kern w:val="21"/>
        </w:rPr>
        <w:fldChar w:fldCharType="end"/>
      </w:r>
    </w:p>
    <w:p w14:paraId="0BEFA2D3">
      <w:pPr>
        <w:pStyle w:val="108"/>
        <w:rPr>
          <w:color w:val="auto"/>
        </w:rPr>
      </w:pPr>
    </w:p>
    <w:sectPr>
      <w:pgSz w:w="16838" w:h="11906" w:orient="landscape"/>
      <w:pgMar w:top="1508"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Noto Sans CJK JP Regular">
    <w:altName w:val="Arial"/>
    <w:panose1 w:val="00000000000000000000"/>
    <w:charset w:val="00"/>
    <w:family w:val="swiss"/>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CIDFont+F2">
    <w:altName w:val="Times New Roman"/>
    <w:panose1 w:val="00000000000000000000"/>
    <w:charset w:val="00"/>
    <w:family w:val="roman"/>
    <w:pitch w:val="default"/>
    <w:sig w:usb0="00000000" w:usb1="00000000" w:usb2="00000000" w:usb3="00000000" w:csb0="00000000" w:csb1="00000000"/>
  </w:font>
  <w:font w:name="TimesNewRomanPSMT">
    <w:altName w:val="宋体"/>
    <w:panose1 w:val="00000000000000000000"/>
    <w:charset w:val="86"/>
    <w:family w:val="auto"/>
    <w:pitch w:val="default"/>
    <w:sig w:usb0="00000000" w:usb1="00000000" w:usb2="00000010" w:usb3="00000000" w:csb0="00040001" w:csb1="00000000"/>
  </w:font>
  <w:font w:name="CIDFont+F1">
    <w:altName w:val="Times New Roman"/>
    <w:panose1 w:val="00000000000000000000"/>
    <w:charset w:val="00"/>
    <w:family w:val="roman"/>
    <w:pitch w:val="default"/>
    <w:sig w:usb0="00000000" w:usb1="00000000" w:usb2="00000000" w:usb3="00000000" w:csb0="00000000" w:csb1="00000000"/>
  </w:font>
  <w:font w:name="CIDFont+F9">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3801E">
    <w:pPr>
      <w:pStyle w:val="18"/>
      <w:framePr w:wrap="around" w:vAnchor="text" w:hAnchor="margin" w:xAlign="center" w:y="1"/>
      <w:rPr>
        <w:rStyle w:val="39"/>
      </w:rPr>
    </w:pPr>
    <w:r>
      <w:fldChar w:fldCharType="begin"/>
    </w:r>
    <w:r>
      <w:rPr>
        <w:rStyle w:val="39"/>
      </w:rPr>
      <w:instrText xml:space="preserve">PAGE  </w:instrText>
    </w:r>
    <w:r>
      <w:fldChar w:fldCharType="separate"/>
    </w:r>
    <w:r>
      <w:rPr>
        <w:rStyle w:val="39"/>
      </w:rPr>
      <w:t>55</w:t>
    </w:r>
    <w:r>
      <w:fldChar w:fldCharType="end"/>
    </w:r>
  </w:p>
  <w:p w14:paraId="41498E4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885EC">
    <w:pPr>
      <w:pStyle w:val="18"/>
      <w:framePr w:wrap="around" w:vAnchor="text" w:hAnchor="margin" w:xAlign="center" w:y="1"/>
      <w:rPr>
        <w:rStyle w:val="39"/>
      </w:rPr>
    </w:pPr>
    <w:r>
      <w:fldChar w:fldCharType="begin"/>
    </w:r>
    <w:r>
      <w:rPr>
        <w:rStyle w:val="39"/>
      </w:rPr>
      <w:instrText xml:space="preserve">PAGE  </w:instrText>
    </w:r>
    <w:r>
      <w:fldChar w:fldCharType="end"/>
    </w:r>
  </w:p>
  <w:p w14:paraId="70BEA659">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C8B35">
    <w:pPr>
      <w:pStyle w:val="18"/>
      <w:framePr w:wrap="around" w:vAnchor="text" w:hAnchor="margin" w:xAlign="center" w:y="1"/>
      <w:rPr>
        <w:rStyle w:val="39"/>
      </w:rPr>
    </w:pPr>
    <w:r>
      <w:fldChar w:fldCharType="begin"/>
    </w:r>
    <w:r>
      <w:rPr>
        <w:rStyle w:val="39"/>
      </w:rPr>
      <w:instrText xml:space="preserve">PAGE  </w:instrText>
    </w:r>
    <w:r>
      <w:fldChar w:fldCharType="separate"/>
    </w:r>
    <w:r>
      <w:rPr>
        <w:rStyle w:val="39"/>
      </w:rPr>
      <w:t>104</w:t>
    </w:r>
    <w:r>
      <w:fldChar w:fldCharType="end"/>
    </w:r>
  </w:p>
  <w:p w14:paraId="45FEA0FD">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C8EDB">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35F0D">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B2"/>
    <w:rsid w:val="0000014A"/>
    <w:rsid w:val="000001A2"/>
    <w:rsid w:val="000006FA"/>
    <w:rsid w:val="00000C8C"/>
    <w:rsid w:val="0000123C"/>
    <w:rsid w:val="0000155B"/>
    <w:rsid w:val="0000178D"/>
    <w:rsid w:val="00002642"/>
    <w:rsid w:val="00002819"/>
    <w:rsid w:val="00002A2C"/>
    <w:rsid w:val="00002FD9"/>
    <w:rsid w:val="000036E2"/>
    <w:rsid w:val="00003B93"/>
    <w:rsid w:val="00003C73"/>
    <w:rsid w:val="00004006"/>
    <w:rsid w:val="000040C9"/>
    <w:rsid w:val="0000422E"/>
    <w:rsid w:val="0000432C"/>
    <w:rsid w:val="00004358"/>
    <w:rsid w:val="000048F6"/>
    <w:rsid w:val="00005108"/>
    <w:rsid w:val="000052E4"/>
    <w:rsid w:val="00005969"/>
    <w:rsid w:val="00005A49"/>
    <w:rsid w:val="00005AEB"/>
    <w:rsid w:val="00005B40"/>
    <w:rsid w:val="00005D16"/>
    <w:rsid w:val="00005D34"/>
    <w:rsid w:val="000064DC"/>
    <w:rsid w:val="0000663E"/>
    <w:rsid w:val="0000668A"/>
    <w:rsid w:val="0000671C"/>
    <w:rsid w:val="000069BD"/>
    <w:rsid w:val="00006E32"/>
    <w:rsid w:val="00007486"/>
    <w:rsid w:val="000074DD"/>
    <w:rsid w:val="0000772B"/>
    <w:rsid w:val="00007B68"/>
    <w:rsid w:val="00010091"/>
    <w:rsid w:val="000103BF"/>
    <w:rsid w:val="000104DF"/>
    <w:rsid w:val="00010849"/>
    <w:rsid w:val="00010B22"/>
    <w:rsid w:val="00010CEC"/>
    <w:rsid w:val="000125FE"/>
    <w:rsid w:val="0001284C"/>
    <w:rsid w:val="000128F1"/>
    <w:rsid w:val="00012C02"/>
    <w:rsid w:val="0001325C"/>
    <w:rsid w:val="000132F3"/>
    <w:rsid w:val="000133FD"/>
    <w:rsid w:val="00013965"/>
    <w:rsid w:val="000140B6"/>
    <w:rsid w:val="0001437E"/>
    <w:rsid w:val="00014CAA"/>
    <w:rsid w:val="00014DE5"/>
    <w:rsid w:val="000155A6"/>
    <w:rsid w:val="000156CF"/>
    <w:rsid w:val="00015D3A"/>
    <w:rsid w:val="0001635E"/>
    <w:rsid w:val="0001671D"/>
    <w:rsid w:val="00016ABE"/>
    <w:rsid w:val="0001715C"/>
    <w:rsid w:val="000176F7"/>
    <w:rsid w:val="00017897"/>
    <w:rsid w:val="000179E8"/>
    <w:rsid w:val="00017AE1"/>
    <w:rsid w:val="00017D3E"/>
    <w:rsid w:val="00017FE2"/>
    <w:rsid w:val="0002029C"/>
    <w:rsid w:val="0002049C"/>
    <w:rsid w:val="0002059A"/>
    <w:rsid w:val="000206FF"/>
    <w:rsid w:val="00020765"/>
    <w:rsid w:val="0002086E"/>
    <w:rsid w:val="00020C39"/>
    <w:rsid w:val="00021337"/>
    <w:rsid w:val="0002160A"/>
    <w:rsid w:val="000219D0"/>
    <w:rsid w:val="00021B32"/>
    <w:rsid w:val="00021EAC"/>
    <w:rsid w:val="000221F3"/>
    <w:rsid w:val="000222B3"/>
    <w:rsid w:val="0002249D"/>
    <w:rsid w:val="00022C07"/>
    <w:rsid w:val="0002426E"/>
    <w:rsid w:val="000246DE"/>
    <w:rsid w:val="00024B24"/>
    <w:rsid w:val="00024B74"/>
    <w:rsid w:val="00024BC6"/>
    <w:rsid w:val="00024C59"/>
    <w:rsid w:val="000251D7"/>
    <w:rsid w:val="00026135"/>
    <w:rsid w:val="00026391"/>
    <w:rsid w:val="0002663C"/>
    <w:rsid w:val="000272CE"/>
    <w:rsid w:val="00027924"/>
    <w:rsid w:val="00027A38"/>
    <w:rsid w:val="00027AE3"/>
    <w:rsid w:val="00027BB7"/>
    <w:rsid w:val="00030274"/>
    <w:rsid w:val="00030639"/>
    <w:rsid w:val="000307D9"/>
    <w:rsid w:val="0003091E"/>
    <w:rsid w:val="00030B9D"/>
    <w:rsid w:val="00031109"/>
    <w:rsid w:val="00031894"/>
    <w:rsid w:val="00031DBA"/>
    <w:rsid w:val="0003206F"/>
    <w:rsid w:val="000320E9"/>
    <w:rsid w:val="0003254C"/>
    <w:rsid w:val="00032837"/>
    <w:rsid w:val="0003294F"/>
    <w:rsid w:val="00032CC4"/>
    <w:rsid w:val="000339AA"/>
    <w:rsid w:val="000340A3"/>
    <w:rsid w:val="000345D9"/>
    <w:rsid w:val="00034607"/>
    <w:rsid w:val="00034B87"/>
    <w:rsid w:val="00034C8C"/>
    <w:rsid w:val="00034DE7"/>
    <w:rsid w:val="0003556C"/>
    <w:rsid w:val="000357DC"/>
    <w:rsid w:val="00036243"/>
    <w:rsid w:val="00036388"/>
    <w:rsid w:val="00036D32"/>
    <w:rsid w:val="00036E02"/>
    <w:rsid w:val="00036F56"/>
    <w:rsid w:val="00037079"/>
    <w:rsid w:val="00037F2F"/>
    <w:rsid w:val="00040093"/>
    <w:rsid w:val="00040B8B"/>
    <w:rsid w:val="00040D9D"/>
    <w:rsid w:val="00041749"/>
    <w:rsid w:val="00042137"/>
    <w:rsid w:val="000422FE"/>
    <w:rsid w:val="00042770"/>
    <w:rsid w:val="00042921"/>
    <w:rsid w:val="00042C9E"/>
    <w:rsid w:val="000436DA"/>
    <w:rsid w:val="00043834"/>
    <w:rsid w:val="00043C03"/>
    <w:rsid w:val="00044114"/>
    <w:rsid w:val="000444D0"/>
    <w:rsid w:val="00044915"/>
    <w:rsid w:val="00044ED9"/>
    <w:rsid w:val="00044FA3"/>
    <w:rsid w:val="00045933"/>
    <w:rsid w:val="00045B6C"/>
    <w:rsid w:val="00045DBB"/>
    <w:rsid w:val="000462B1"/>
    <w:rsid w:val="000476A5"/>
    <w:rsid w:val="000477E5"/>
    <w:rsid w:val="000502C1"/>
    <w:rsid w:val="000505C7"/>
    <w:rsid w:val="000506EE"/>
    <w:rsid w:val="000507C4"/>
    <w:rsid w:val="000509CF"/>
    <w:rsid w:val="00051348"/>
    <w:rsid w:val="00051447"/>
    <w:rsid w:val="000514E0"/>
    <w:rsid w:val="000519D2"/>
    <w:rsid w:val="00051B6C"/>
    <w:rsid w:val="00051C64"/>
    <w:rsid w:val="00051CBA"/>
    <w:rsid w:val="00051E84"/>
    <w:rsid w:val="00051F5F"/>
    <w:rsid w:val="00051F62"/>
    <w:rsid w:val="00052263"/>
    <w:rsid w:val="00052DD1"/>
    <w:rsid w:val="0005339A"/>
    <w:rsid w:val="000533B6"/>
    <w:rsid w:val="0005349C"/>
    <w:rsid w:val="000537B2"/>
    <w:rsid w:val="00053E01"/>
    <w:rsid w:val="000544FF"/>
    <w:rsid w:val="0005482A"/>
    <w:rsid w:val="00054CCF"/>
    <w:rsid w:val="00054D14"/>
    <w:rsid w:val="00055093"/>
    <w:rsid w:val="00055126"/>
    <w:rsid w:val="00055431"/>
    <w:rsid w:val="00055951"/>
    <w:rsid w:val="00055DDB"/>
    <w:rsid w:val="00055DEF"/>
    <w:rsid w:val="00055F86"/>
    <w:rsid w:val="000563BE"/>
    <w:rsid w:val="00056404"/>
    <w:rsid w:val="0005649A"/>
    <w:rsid w:val="00056510"/>
    <w:rsid w:val="00056576"/>
    <w:rsid w:val="000565B5"/>
    <w:rsid w:val="000565BA"/>
    <w:rsid w:val="00056C5B"/>
    <w:rsid w:val="000570EC"/>
    <w:rsid w:val="00057133"/>
    <w:rsid w:val="0006006B"/>
    <w:rsid w:val="000600F0"/>
    <w:rsid w:val="0006041B"/>
    <w:rsid w:val="00060454"/>
    <w:rsid w:val="0006062F"/>
    <w:rsid w:val="00060B39"/>
    <w:rsid w:val="00060B62"/>
    <w:rsid w:val="00060CA2"/>
    <w:rsid w:val="0006119D"/>
    <w:rsid w:val="00061221"/>
    <w:rsid w:val="00061352"/>
    <w:rsid w:val="00061354"/>
    <w:rsid w:val="00061A5E"/>
    <w:rsid w:val="00061A83"/>
    <w:rsid w:val="00061B5E"/>
    <w:rsid w:val="000620F5"/>
    <w:rsid w:val="00062143"/>
    <w:rsid w:val="0006247C"/>
    <w:rsid w:val="00062572"/>
    <w:rsid w:val="00062CCC"/>
    <w:rsid w:val="00062DE6"/>
    <w:rsid w:val="00062EA9"/>
    <w:rsid w:val="00062EDE"/>
    <w:rsid w:val="00062F52"/>
    <w:rsid w:val="00063020"/>
    <w:rsid w:val="00063099"/>
    <w:rsid w:val="0006412C"/>
    <w:rsid w:val="00064408"/>
    <w:rsid w:val="000646BC"/>
    <w:rsid w:val="00064846"/>
    <w:rsid w:val="00064ED2"/>
    <w:rsid w:val="000651F2"/>
    <w:rsid w:val="000655EF"/>
    <w:rsid w:val="00066579"/>
    <w:rsid w:val="00066E6A"/>
    <w:rsid w:val="00066FE1"/>
    <w:rsid w:val="0006735D"/>
    <w:rsid w:val="000676D1"/>
    <w:rsid w:val="00067A3D"/>
    <w:rsid w:val="000702A0"/>
    <w:rsid w:val="000702F9"/>
    <w:rsid w:val="00070549"/>
    <w:rsid w:val="00070799"/>
    <w:rsid w:val="000707EE"/>
    <w:rsid w:val="00070B20"/>
    <w:rsid w:val="00070D86"/>
    <w:rsid w:val="00070EBC"/>
    <w:rsid w:val="00071623"/>
    <w:rsid w:val="000716DD"/>
    <w:rsid w:val="00071B1A"/>
    <w:rsid w:val="00071BD6"/>
    <w:rsid w:val="00071D75"/>
    <w:rsid w:val="00071FB5"/>
    <w:rsid w:val="00072F13"/>
    <w:rsid w:val="00073449"/>
    <w:rsid w:val="00073FB4"/>
    <w:rsid w:val="0007492E"/>
    <w:rsid w:val="00074984"/>
    <w:rsid w:val="00074B89"/>
    <w:rsid w:val="00074FC3"/>
    <w:rsid w:val="000757A1"/>
    <w:rsid w:val="00075920"/>
    <w:rsid w:val="00075ADF"/>
    <w:rsid w:val="00075BAF"/>
    <w:rsid w:val="000761B1"/>
    <w:rsid w:val="00076210"/>
    <w:rsid w:val="000766E3"/>
    <w:rsid w:val="00076899"/>
    <w:rsid w:val="00076C1C"/>
    <w:rsid w:val="00076E77"/>
    <w:rsid w:val="0007706B"/>
    <w:rsid w:val="00077431"/>
    <w:rsid w:val="0007746F"/>
    <w:rsid w:val="00077E8F"/>
    <w:rsid w:val="0008006B"/>
    <w:rsid w:val="000802F9"/>
    <w:rsid w:val="0008041A"/>
    <w:rsid w:val="0008055B"/>
    <w:rsid w:val="000808A3"/>
    <w:rsid w:val="00080B8F"/>
    <w:rsid w:val="00080CE4"/>
    <w:rsid w:val="00080EC9"/>
    <w:rsid w:val="00081313"/>
    <w:rsid w:val="0008143F"/>
    <w:rsid w:val="00081495"/>
    <w:rsid w:val="00081B25"/>
    <w:rsid w:val="00081C18"/>
    <w:rsid w:val="000822DD"/>
    <w:rsid w:val="0008233E"/>
    <w:rsid w:val="00082508"/>
    <w:rsid w:val="00082C04"/>
    <w:rsid w:val="00082C68"/>
    <w:rsid w:val="00084201"/>
    <w:rsid w:val="00084B5C"/>
    <w:rsid w:val="00084DED"/>
    <w:rsid w:val="00084E37"/>
    <w:rsid w:val="000852BA"/>
    <w:rsid w:val="00085382"/>
    <w:rsid w:val="000853AF"/>
    <w:rsid w:val="00085458"/>
    <w:rsid w:val="00085598"/>
    <w:rsid w:val="00085D37"/>
    <w:rsid w:val="000869FB"/>
    <w:rsid w:val="00086AAC"/>
    <w:rsid w:val="00086B98"/>
    <w:rsid w:val="00086DDE"/>
    <w:rsid w:val="00087096"/>
    <w:rsid w:val="000870CA"/>
    <w:rsid w:val="00087216"/>
    <w:rsid w:val="00087E1C"/>
    <w:rsid w:val="00090016"/>
    <w:rsid w:val="00090A6D"/>
    <w:rsid w:val="00090A8B"/>
    <w:rsid w:val="00090AB8"/>
    <w:rsid w:val="000910C3"/>
    <w:rsid w:val="000916CF"/>
    <w:rsid w:val="00091A79"/>
    <w:rsid w:val="00091CA8"/>
    <w:rsid w:val="00091CA9"/>
    <w:rsid w:val="00092398"/>
    <w:rsid w:val="00092664"/>
    <w:rsid w:val="000928BF"/>
    <w:rsid w:val="000932EB"/>
    <w:rsid w:val="00093C81"/>
    <w:rsid w:val="0009402F"/>
    <w:rsid w:val="000947EA"/>
    <w:rsid w:val="00094BBD"/>
    <w:rsid w:val="00094BC7"/>
    <w:rsid w:val="00094E32"/>
    <w:rsid w:val="00094F26"/>
    <w:rsid w:val="00095372"/>
    <w:rsid w:val="000956BC"/>
    <w:rsid w:val="00095712"/>
    <w:rsid w:val="00095C6E"/>
    <w:rsid w:val="00096672"/>
    <w:rsid w:val="000969AE"/>
    <w:rsid w:val="000970A7"/>
    <w:rsid w:val="0009799B"/>
    <w:rsid w:val="00097ED6"/>
    <w:rsid w:val="000A0339"/>
    <w:rsid w:val="000A092E"/>
    <w:rsid w:val="000A09E2"/>
    <w:rsid w:val="000A0D54"/>
    <w:rsid w:val="000A0E0C"/>
    <w:rsid w:val="000A0FE0"/>
    <w:rsid w:val="000A10AD"/>
    <w:rsid w:val="000A122F"/>
    <w:rsid w:val="000A1519"/>
    <w:rsid w:val="000A1B6A"/>
    <w:rsid w:val="000A209C"/>
    <w:rsid w:val="000A20F3"/>
    <w:rsid w:val="000A22AB"/>
    <w:rsid w:val="000A26D6"/>
    <w:rsid w:val="000A29BD"/>
    <w:rsid w:val="000A2D48"/>
    <w:rsid w:val="000A333E"/>
    <w:rsid w:val="000A390B"/>
    <w:rsid w:val="000A3B01"/>
    <w:rsid w:val="000A3BC6"/>
    <w:rsid w:val="000A4049"/>
    <w:rsid w:val="000A42A8"/>
    <w:rsid w:val="000A431F"/>
    <w:rsid w:val="000A4424"/>
    <w:rsid w:val="000A47F7"/>
    <w:rsid w:val="000A4AD4"/>
    <w:rsid w:val="000A4BF9"/>
    <w:rsid w:val="000A4DE3"/>
    <w:rsid w:val="000A50CD"/>
    <w:rsid w:val="000A5650"/>
    <w:rsid w:val="000A5A80"/>
    <w:rsid w:val="000A60AD"/>
    <w:rsid w:val="000A6A83"/>
    <w:rsid w:val="000A6EED"/>
    <w:rsid w:val="000A77A3"/>
    <w:rsid w:val="000A7AFA"/>
    <w:rsid w:val="000A7BA7"/>
    <w:rsid w:val="000B0121"/>
    <w:rsid w:val="000B14FD"/>
    <w:rsid w:val="000B18FA"/>
    <w:rsid w:val="000B19D2"/>
    <w:rsid w:val="000B1C91"/>
    <w:rsid w:val="000B1E3E"/>
    <w:rsid w:val="000B2EEE"/>
    <w:rsid w:val="000B359F"/>
    <w:rsid w:val="000B37F6"/>
    <w:rsid w:val="000B3B72"/>
    <w:rsid w:val="000B3CD9"/>
    <w:rsid w:val="000B3D9C"/>
    <w:rsid w:val="000B3DE8"/>
    <w:rsid w:val="000B3F73"/>
    <w:rsid w:val="000B40B6"/>
    <w:rsid w:val="000B41AC"/>
    <w:rsid w:val="000B41B5"/>
    <w:rsid w:val="000B4534"/>
    <w:rsid w:val="000B480D"/>
    <w:rsid w:val="000B4FBB"/>
    <w:rsid w:val="000B55F7"/>
    <w:rsid w:val="000B59C2"/>
    <w:rsid w:val="000B5A09"/>
    <w:rsid w:val="000B5B8C"/>
    <w:rsid w:val="000B608C"/>
    <w:rsid w:val="000B6664"/>
    <w:rsid w:val="000B7320"/>
    <w:rsid w:val="000B748B"/>
    <w:rsid w:val="000B767A"/>
    <w:rsid w:val="000B77E2"/>
    <w:rsid w:val="000B78D0"/>
    <w:rsid w:val="000B7D18"/>
    <w:rsid w:val="000B7D99"/>
    <w:rsid w:val="000B7EB5"/>
    <w:rsid w:val="000B7F09"/>
    <w:rsid w:val="000C0261"/>
    <w:rsid w:val="000C0495"/>
    <w:rsid w:val="000C061D"/>
    <w:rsid w:val="000C06AE"/>
    <w:rsid w:val="000C0807"/>
    <w:rsid w:val="000C0D4F"/>
    <w:rsid w:val="000C0FCC"/>
    <w:rsid w:val="000C11A7"/>
    <w:rsid w:val="000C1369"/>
    <w:rsid w:val="000C1438"/>
    <w:rsid w:val="000C15E3"/>
    <w:rsid w:val="000C16C1"/>
    <w:rsid w:val="000C197C"/>
    <w:rsid w:val="000C1C58"/>
    <w:rsid w:val="000C2BB8"/>
    <w:rsid w:val="000C30C1"/>
    <w:rsid w:val="000C3408"/>
    <w:rsid w:val="000C35D7"/>
    <w:rsid w:val="000C3982"/>
    <w:rsid w:val="000C3DD7"/>
    <w:rsid w:val="000C3EDD"/>
    <w:rsid w:val="000C4089"/>
    <w:rsid w:val="000C435B"/>
    <w:rsid w:val="000C4413"/>
    <w:rsid w:val="000C4524"/>
    <w:rsid w:val="000C4933"/>
    <w:rsid w:val="000C4D27"/>
    <w:rsid w:val="000C5044"/>
    <w:rsid w:val="000C51CD"/>
    <w:rsid w:val="000C5288"/>
    <w:rsid w:val="000C52B3"/>
    <w:rsid w:val="000C54D3"/>
    <w:rsid w:val="000C57CB"/>
    <w:rsid w:val="000C5830"/>
    <w:rsid w:val="000C5944"/>
    <w:rsid w:val="000C5A94"/>
    <w:rsid w:val="000C5E70"/>
    <w:rsid w:val="000C60A8"/>
    <w:rsid w:val="000C6145"/>
    <w:rsid w:val="000C61C2"/>
    <w:rsid w:val="000C63A6"/>
    <w:rsid w:val="000C651C"/>
    <w:rsid w:val="000C67E4"/>
    <w:rsid w:val="000C6C3A"/>
    <w:rsid w:val="000C7974"/>
    <w:rsid w:val="000C79C7"/>
    <w:rsid w:val="000C79D0"/>
    <w:rsid w:val="000C7B55"/>
    <w:rsid w:val="000D04F5"/>
    <w:rsid w:val="000D08D4"/>
    <w:rsid w:val="000D0AA5"/>
    <w:rsid w:val="000D0B03"/>
    <w:rsid w:val="000D0EA8"/>
    <w:rsid w:val="000D0F65"/>
    <w:rsid w:val="000D11C0"/>
    <w:rsid w:val="000D1264"/>
    <w:rsid w:val="000D1632"/>
    <w:rsid w:val="000D1A7A"/>
    <w:rsid w:val="000D1BE4"/>
    <w:rsid w:val="000D1CB4"/>
    <w:rsid w:val="000D1D8D"/>
    <w:rsid w:val="000D1FCD"/>
    <w:rsid w:val="000D2465"/>
    <w:rsid w:val="000D2CC5"/>
    <w:rsid w:val="000D2D1A"/>
    <w:rsid w:val="000D3022"/>
    <w:rsid w:val="000D315C"/>
    <w:rsid w:val="000D3C37"/>
    <w:rsid w:val="000D422D"/>
    <w:rsid w:val="000D47D4"/>
    <w:rsid w:val="000D4FB0"/>
    <w:rsid w:val="000D5167"/>
    <w:rsid w:val="000D54F1"/>
    <w:rsid w:val="000D56B8"/>
    <w:rsid w:val="000D583F"/>
    <w:rsid w:val="000D5AD9"/>
    <w:rsid w:val="000D5CC7"/>
    <w:rsid w:val="000D6284"/>
    <w:rsid w:val="000D6352"/>
    <w:rsid w:val="000D6700"/>
    <w:rsid w:val="000D67FB"/>
    <w:rsid w:val="000D6CB6"/>
    <w:rsid w:val="000D7009"/>
    <w:rsid w:val="000D701F"/>
    <w:rsid w:val="000D7380"/>
    <w:rsid w:val="000D75AD"/>
    <w:rsid w:val="000D75C2"/>
    <w:rsid w:val="000D777E"/>
    <w:rsid w:val="000D7E8A"/>
    <w:rsid w:val="000E0128"/>
    <w:rsid w:val="000E04ED"/>
    <w:rsid w:val="000E0B11"/>
    <w:rsid w:val="000E0EB5"/>
    <w:rsid w:val="000E1492"/>
    <w:rsid w:val="000E1831"/>
    <w:rsid w:val="000E2122"/>
    <w:rsid w:val="000E23E7"/>
    <w:rsid w:val="000E24A8"/>
    <w:rsid w:val="000E3351"/>
    <w:rsid w:val="000E34EB"/>
    <w:rsid w:val="000E352C"/>
    <w:rsid w:val="000E359B"/>
    <w:rsid w:val="000E3732"/>
    <w:rsid w:val="000E3FD9"/>
    <w:rsid w:val="000E4103"/>
    <w:rsid w:val="000E4134"/>
    <w:rsid w:val="000E419F"/>
    <w:rsid w:val="000E4470"/>
    <w:rsid w:val="000E44DF"/>
    <w:rsid w:val="000E456B"/>
    <w:rsid w:val="000E4B32"/>
    <w:rsid w:val="000E4F61"/>
    <w:rsid w:val="000E530D"/>
    <w:rsid w:val="000E5472"/>
    <w:rsid w:val="000E5949"/>
    <w:rsid w:val="000E5F1E"/>
    <w:rsid w:val="000E62BE"/>
    <w:rsid w:val="000E63A8"/>
    <w:rsid w:val="000E65D2"/>
    <w:rsid w:val="000E6E08"/>
    <w:rsid w:val="000E7128"/>
    <w:rsid w:val="000E7346"/>
    <w:rsid w:val="000E79CB"/>
    <w:rsid w:val="000E7C5C"/>
    <w:rsid w:val="000F0055"/>
    <w:rsid w:val="000F0A32"/>
    <w:rsid w:val="000F0C68"/>
    <w:rsid w:val="000F142B"/>
    <w:rsid w:val="000F162F"/>
    <w:rsid w:val="000F1D17"/>
    <w:rsid w:val="000F2504"/>
    <w:rsid w:val="000F25A0"/>
    <w:rsid w:val="000F288B"/>
    <w:rsid w:val="000F2EB2"/>
    <w:rsid w:val="000F3083"/>
    <w:rsid w:val="000F3206"/>
    <w:rsid w:val="000F32ED"/>
    <w:rsid w:val="000F336F"/>
    <w:rsid w:val="000F396C"/>
    <w:rsid w:val="000F3B90"/>
    <w:rsid w:val="000F4155"/>
    <w:rsid w:val="000F4519"/>
    <w:rsid w:val="000F47AB"/>
    <w:rsid w:val="000F5068"/>
    <w:rsid w:val="000F5090"/>
    <w:rsid w:val="000F56E9"/>
    <w:rsid w:val="000F595A"/>
    <w:rsid w:val="000F5F49"/>
    <w:rsid w:val="000F6FD9"/>
    <w:rsid w:val="000F7949"/>
    <w:rsid w:val="000F7CD1"/>
    <w:rsid w:val="000F7CEB"/>
    <w:rsid w:val="001002BE"/>
    <w:rsid w:val="0010074C"/>
    <w:rsid w:val="001009C2"/>
    <w:rsid w:val="00100D92"/>
    <w:rsid w:val="0010116C"/>
    <w:rsid w:val="001012DC"/>
    <w:rsid w:val="00101543"/>
    <w:rsid w:val="00101915"/>
    <w:rsid w:val="00101FAB"/>
    <w:rsid w:val="00102BFC"/>
    <w:rsid w:val="00102E11"/>
    <w:rsid w:val="00102EE6"/>
    <w:rsid w:val="00102FE4"/>
    <w:rsid w:val="001031E9"/>
    <w:rsid w:val="00103505"/>
    <w:rsid w:val="0010375E"/>
    <w:rsid w:val="001041B2"/>
    <w:rsid w:val="001041CA"/>
    <w:rsid w:val="0010442D"/>
    <w:rsid w:val="00104D14"/>
    <w:rsid w:val="00105963"/>
    <w:rsid w:val="00105B7C"/>
    <w:rsid w:val="00105E23"/>
    <w:rsid w:val="00105E97"/>
    <w:rsid w:val="0010655E"/>
    <w:rsid w:val="001066C3"/>
    <w:rsid w:val="00106960"/>
    <w:rsid w:val="00106A04"/>
    <w:rsid w:val="00106A8B"/>
    <w:rsid w:val="00106C0C"/>
    <w:rsid w:val="00106D05"/>
    <w:rsid w:val="00107063"/>
    <w:rsid w:val="00107A7B"/>
    <w:rsid w:val="00107D36"/>
    <w:rsid w:val="00107EC0"/>
    <w:rsid w:val="00110726"/>
    <w:rsid w:val="00110978"/>
    <w:rsid w:val="00110D5C"/>
    <w:rsid w:val="001113FF"/>
    <w:rsid w:val="00111909"/>
    <w:rsid w:val="00111B56"/>
    <w:rsid w:val="00111B67"/>
    <w:rsid w:val="00111F84"/>
    <w:rsid w:val="0011205E"/>
    <w:rsid w:val="001124BA"/>
    <w:rsid w:val="00112623"/>
    <w:rsid w:val="001126D7"/>
    <w:rsid w:val="00112706"/>
    <w:rsid w:val="00112DE2"/>
    <w:rsid w:val="00112E3B"/>
    <w:rsid w:val="00112E6F"/>
    <w:rsid w:val="001134A8"/>
    <w:rsid w:val="001134ED"/>
    <w:rsid w:val="001135DE"/>
    <w:rsid w:val="00113729"/>
    <w:rsid w:val="00113926"/>
    <w:rsid w:val="00113C0F"/>
    <w:rsid w:val="00113DD7"/>
    <w:rsid w:val="001144BA"/>
    <w:rsid w:val="00114D82"/>
    <w:rsid w:val="00114E14"/>
    <w:rsid w:val="00115689"/>
    <w:rsid w:val="001157EE"/>
    <w:rsid w:val="00115A50"/>
    <w:rsid w:val="00115B9C"/>
    <w:rsid w:val="00115D70"/>
    <w:rsid w:val="00115E80"/>
    <w:rsid w:val="0011612D"/>
    <w:rsid w:val="0011658D"/>
    <w:rsid w:val="0011679A"/>
    <w:rsid w:val="0011699C"/>
    <w:rsid w:val="001169B2"/>
    <w:rsid w:val="00116D16"/>
    <w:rsid w:val="00116EE7"/>
    <w:rsid w:val="0011740D"/>
    <w:rsid w:val="00117C2E"/>
    <w:rsid w:val="00117E11"/>
    <w:rsid w:val="001206C6"/>
    <w:rsid w:val="00120A10"/>
    <w:rsid w:val="00120F55"/>
    <w:rsid w:val="00120F98"/>
    <w:rsid w:val="001210D2"/>
    <w:rsid w:val="00121236"/>
    <w:rsid w:val="001217B2"/>
    <w:rsid w:val="00121E30"/>
    <w:rsid w:val="001224C1"/>
    <w:rsid w:val="00122701"/>
    <w:rsid w:val="0012351D"/>
    <w:rsid w:val="00123601"/>
    <w:rsid w:val="00123CD4"/>
    <w:rsid w:val="001243EE"/>
    <w:rsid w:val="001244EB"/>
    <w:rsid w:val="00124509"/>
    <w:rsid w:val="0012468D"/>
    <w:rsid w:val="001246CE"/>
    <w:rsid w:val="00124D49"/>
    <w:rsid w:val="00124F20"/>
    <w:rsid w:val="001250E6"/>
    <w:rsid w:val="001253C0"/>
    <w:rsid w:val="001257CB"/>
    <w:rsid w:val="00125DE4"/>
    <w:rsid w:val="001265B7"/>
    <w:rsid w:val="0012661F"/>
    <w:rsid w:val="00126AD0"/>
    <w:rsid w:val="00126CF7"/>
    <w:rsid w:val="0012790F"/>
    <w:rsid w:val="00127964"/>
    <w:rsid w:val="00127A88"/>
    <w:rsid w:val="0013013A"/>
    <w:rsid w:val="00130177"/>
    <w:rsid w:val="00130AF5"/>
    <w:rsid w:val="00131380"/>
    <w:rsid w:val="00131409"/>
    <w:rsid w:val="0013143D"/>
    <w:rsid w:val="001315C5"/>
    <w:rsid w:val="001318BD"/>
    <w:rsid w:val="00131A8F"/>
    <w:rsid w:val="00131DEF"/>
    <w:rsid w:val="00131E6E"/>
    <w:rsid w:val="001322F0"/>
    <w:rsid w:val="00132A43"/>
    <w:rsid w:val="00132B84"/>
    <w:rsid w:val="001331AF"/>
    <w:rsid w:val="001336BD"/>
    <w:rsid w:val="00133C80"/>
    <w:rsid w:val="0013403D"/>
    <w:rsid w:val="001342EF"/>
    <w:rsid w:val="001346F4"/>
    <w:rsid w:val="00134B66"/>
    <w:rsid w:val="00134C17"/>
    <w:rsid w:val="00135233"/>
    <w:rsid w:val="0013572A"/>
    <w:rsid w:val="00135860"/>
    <w:rsid w:val="00135AA2"/>
    <w:rsid w:val="00135D4B"/>
    <w:rsid w:val="00136455"/>
    <w:rsid w:val="00136B83"/>
    <w:rsid w:val="00137128"/>
    <w:rsid w:val="001371CE"/>
    <w:rsid w:val="001378FF"/>
    <w:rsid w:val="00140477"/>
    <w:rsid w:val="001406B8"/>
    <w:rsid w:val="001406C8"/>
    <w:rsid w:val="00140839"/>
    <w:rsid w:val="00140B59"/>
    <w:rsid w:val="00140B7C"/>
    <w:rsid w:val="001414AB"/>
    <w:rsid w:val="00141AA4"/>
    <w:rsid w:val="00142018"/>
    <w:rsid w:val="00142363"/>
    <w:rsid w:val="00142629"/>
    <w:rsid w:val="00142882"/>
    <w:rsid w:val="001428DD"/>
    <w:rsid w:val="00142998"/>
    <w:rsid w:val="0014309C"/>
    <w:rsid w:val="00143D7F"/>
    <w:rsid w:val="001440EE"/>
    <w:rsid w:val="0014416A"/>
    <w:rsid w:val="00144697"/>
    <w:rsid w:val="00144752"/>
    <w:rsid w:val="0014480E"/>
    <w:rsid w:val="00144A62"/>
    <w:rsid w:val="00145043"/>
    <w:rsid w:val="001456D8"/>
    <w:rsid w:val="00145CBB"/>
    <w:rsid w:val="00145E12"/>
    <w:rsid w:val="00145F0D"/>
    <w:rsid w:val="0014624C"/>
    <w:rsid w:val="001462F0"/>
    <w:rsid w:val="001463D4"/>
    <w:rsid w:val="001469E0"/>
    <w:rsid w:val="00146A76"/>
    <w:rsid w:val="00146AC3"/>
    <w:rsid w:val="00147021"/>
    <w:rsid w:val="001470F1"/>
    <w:rsid w:val="001473FA"/>
    <w:rsid w:val="00147FFB"/>
    <w:rsid w:val="001509B9"/>
    <w:rsid w:val="00150B5C"/>
    <w:rsid w:val="00150E22"/>
    <w:rsid w:val="00150FD6"/>
    <w:rsid w:val="0015107D"/>
    <w:rsid w:val="001511A3"/>
    <w:rsid w:val="001515FF"/>
    <w:rsid w:val="00151651"/>
    <w:rsid w:val="0015189C"/>
    <w:rsid w:val="00151C9C"/>
    <w:rsid w:val="00151D6B"/>
    <w:rsid w:val="00151FAC"/>
    <w:rsid w:val="001520E3"/>
    <w:rsid w:val="00152C73"/>
    <w:rsid w:val="001532B3"/>
    <w:rsid w:val="0015383B"/>
    <w:rsid w:val="00153B04"/>
    <w:rsid w:val="00153EAA"/>
    <w:rsid w:val="00153F08"/>
    <w:rsid w:val="00154BF2"/>
    <w:rsid w:val="00155296"/>
    <w:rsid w:val="00155A47"/>
    <w:rsid w:val="00155ADD"/>
    <w:rsid w:val="00155B3C"/>
    <w:rsid w:val="00155DE6"/>
    <w:rsid w:val="00155EAE"/>
    <w:rsid w:val="00156164"/>
    <w:rsid w:val="001563BF"/>
    <w:rsid w:val="00156701"/>
    <w:rsid w:val="0015680C"/>
    <w:rsid w:val="0015683B"/>
    <w:rsid w:val="00156931"/>
    <w:rsid w:val="00156D49"/>
    <w:rsid w:val="00157197"/>
    <w:rsid w:val="0015736A"/>
    <w:rsid w:val="0015766E"/>
    <w:rsid w:val="001604E7"/>
    <w:rsid w:val="001605D9"/>
    <w:rsid w:val="001606B8"/>
    <w:rsid w:val="00160767"/>
    <w:rsid w:val="00161428"/>
    <w:rsid w:val="00161625"/>
    <w:rsid w:val="001616C0"/>
    <w:rsid w:val="00161AB6"/>
    <w:rsid w:val="00162043"/>
    <w:rsid w:val="001620B1"/>
    <w:rsid w:val="001621C1"/>
    <w:rsid w:val="0016237F"/>
    <w:rsid w:val="00162556"/>
    <w:rsid w:val="00162648"/>
    <w:rsid w:val="00163328"/>
    <w:rsid w:val="0016334C"/>
    <w:rsid w:val="0016352F"/>
    <w:rsid w:val="001638DD"/>
    <w:rsid w:val="00163ADF"/>
    <w:rsid w:val="00163E48"/>
    <w:rsid w:val="0016409A"/>
    <w:rsid w:val="001644CE"/>
    <w:rsid w:val="001645A9"/>
    <w:rsid w:val="00164708"/>
    <w:rsid w:val="00164A54"/>
    <w:rsid w:val="00164A5C"/>
    <w:rsid w:val="001654DF"/>
    <w:rsid w:val="00165642"/>
    <w:rsid w:val="00165802"/>
    <w:rsid w:val="00165A74"/>
    <w:rsid w:val="00165B18"/>
    <w:rsid w:val="00165C10"/>
    <w:rsid w:val="00166848"/>
    <w:rsid w:val="00166863"/>
    <w:rsid w:val="00166A21"/>
    <w:rsid w:val="001671AD"/>
    <w:rsid w:val="00167427"/>
    <w:rsid w:val="00167524"/>
    <w:rsid w:val="001675BA"/>
    <w:rsid w:val="001676F3"/>
    <w:rsid w:val="00167796"/>
    <w:rsid w:val="00167AF2"/>
    <w:rsid w:val="001703BB"/>
    <w:rsid w:val="00170571"/>
    <w:rsid w:val="001706B3"/>
    <w:rsid w:val="00170724"/>
    <w:rsid w:val="00170BF2"/>
    <w:rsid w:val="0017116F"/>
    <w:rsid w:val="001711FD"/>
    <w:rsid w:val="0017191F"/>
    <w:rsid w:val="00171B61"/>
    <w:rsid w:val="00171CCF"/>
    <w:rsid w:val="00171F28"/>
    <w:rsid w:val="00172949"/>
    <w:rsid w:val="0017299D"/>
    <w:rsid w:val="00172A27"/>
    <w:rsid w:val="00172A44"/>
    <w:rsid w:val="00172B49"/>
    <w:rsid w:val="00172BAF"/>
    <w:rsid w:val="00172C6E"/>
    <w:rsid w:val="00172F04"/>
    <w:rsid w:val="00173176"/>
    <w:rsid w:val="001734F7"/>
    <w:rsid w:val="001739FD"/>
    <w:rsid w:val="00173EFB"/>
    <w:rsid w:val="0017457D"/>
    <w:rsid w:val="00174B7E"/>
    <w:rsid w:val="0017510A"/>
    <w:rsid w:val="001757FF"/>
    <w:rsid w:val="00175934"/>
    <w:rsid w:val="00175D42"/>
    <w:rsid w:val="00176646"/>
    <w:rsid w:val="00176A8F"/>
    <w:rsid w:val="00176CAF"/>
    <w:rsid w:val="00177037"/>
    <w:rsid w:val="001776AB"/>
    <w:rsid w:val="00177C48"/>
    <w:rsid w:val="00180278"/>
    <w:rsid w:val="00181947"/>
    <w:rsid w:val="00181BAB"/>
    <w:rsid w:val="00181BAC"/>
    <w:rsid w:val="001820C2"/>
    <w:rsid w:val="00182247"/>
    <w:rsid w:val="00182469"/>
    <w:rsid w:val="001827E8"/>
    <w:rsid w:val="00182D81"/>
    <w:rsid w:val="0018315C"/>
    <w:rsid w:val="00183210"/>
    <w:rsid w:val="00183294"/>
    <w:rsid w:val="00183478"/>
    <w:rsid w:val="0018360D"/>
    <w:rsid w:val="00183A09"/>
    <w:rsid w:val="00183AA5"/>
    <w:rsid w:val="00183CAF"/>
    <w:rsid w:val="00183FAB"/>
    <w:rsid w:val="00184C0B"/>
    <w:rsid w:val="00184E40"/>
    <w:rsid w:val="00185433"/>
    <w:rsid w:val="0018564F"/>
    <w:rsid w:val="0018597F"/>
    <w:rsid w:val="0018618C"/>
    <w:rsid w:val="001866AE"/>
    <w:rsid w:val="0018682A"/>
    <w:rsid w:val="00186ACE"/>
    <w:rsid w:val="00186C72"/>
    <w:rsid w:val="0018747C"/>
    <w:rsid w:val="00187487"/>
    <w:rsid w:val="0018787E"/>
    <w:rsid w:val="0019026B"/>
    <w:rsid w:val="001904BA"/>
    <w:rsid w:val="00190AA1"/>
    <w:rsid w:val="00190AAD"/>
    <w:rsid w:val="001915DD"/>
    <w:rsid w:val="00191BAC"/>
    <w:rsid w:val="00191C46"/>
    <w:rsid w:val="00191D1F"/>
    <w:rsid w:val="00191F1D"/>
    <w:rsid w:val="0019219C"/>
    <w:rsid w:val="001925A3"/>
    <w:rsid w:val="001925ED"/>
    <w:rsid w:val="00192C74"/>
    <w:rsid w:val="001939D8"/>
    <w:rsid w:val="00193C96"/>
    <w:rsid w:val="00194B9D"/>
    <w:rsid w:val="00194D17"/>
    <w:rsid w:val="001952F6"/>
    <w:rsid w:val="001954DD"/>
    <w:rsid w:val="00195BE8"/>
    <w:rsid w:val="00195E96"/>
    <w:rsid w:val="0019630D"/>
    <w:rsid w:val="0019682F"/>
    <w:rsid w:val="00196980"/>
    <w:rsid w:val="00196AF8"/>
    <w:rsid w:val="001971A8"/>
    <w:rsid w:val="00197C9A"/>
    <w:rsid w:val="001A03CB"/>
    <w:rsid w:val="001A04D5"/>
    <w:rsid w:val="001A05DF"/>
    <w:rsid w:val="001A0AC3"/>
    <w:rsid w:val="001A1193"/>
    <w:rsid w:val="001A2149"/>
    <w:rsid w:val="001A2236"/>
    <w:rsid w:val="001A2598"/>
    <w:rsid w:val="001A268E"/>
    <w:rsid w:val="001A27D4"/>
    <w:rsid w:val="001A2E9D"/>
    <w:rsid w:val="001A3432"/>
    <w:rsid w:val="001A350A"/>
    <w:rsid w:val="001A3B34"/>
    <w:rsid w:val="001A3B3E"/>
    <w:rsid w:val="001A3F3C"/>
    <w:rsid w:val="001A40F9"/>
    <w:rsid w:val="001A4505"/>
    <w:rsid w:val="001A4870"/>
    <w:rsid w:val="001A4E6D"/>
    <w:rsid w:val="001A4FD8"/>
    <w:rsid w:val="001A50EB"/>
    <w:rsid w:val="001A51E2"/>
    <w:rsid w:val="001A51F9"/>
    <w:rsid w:val="001A54D8"/>
    <w:rsid w:val="001A5607"/>
    <w:rsid w:val="001A5A20"/>
    <w:rsid w:val="001A5CAB"/>
    <w:rsid w:val="001A5FF9"/>
    <w:rsid w:val="001A633E"/>
    <w:rsid w:val="001A7078"/>
    <w:rsid w:val="001A715B"/>
    <w:rsid w:val="001A71C2"/>
    <w:rsid w:val="001A71F9"/>
    <w:rsid w:val="001A74EB"/>
    <w:rsid w:val="001A7676"/>
    <w:rsid w:val="001A7786"/>
    <w:rsid w:val="001A787F"/>
    <w:rsid w:val="001A7951"/>
    <w:rsid w:val="001A7CE2"/>
    <w:rsid w:val="001B008C"/>
    <w:rsid w:val="001B024F"/>
    <w:rsid w:val="001B02C8"/>
    <w:rsid w:val="001B07A7"/>
    <w:rsid w:val="001B0A0B"/>
    <w:rsid w:val="001B0A58"/>
    <w:rsid w:val="001B1016"/>
    <w:rsid w:val="001B1515"/>
    <w:rsid w:val="001B1CB9"/>
    <w:rsid w:val="001B1D92"/>
    <w:rsid w:val="001B1DCB"/>
    <w:rsid w:val="001B1E00"/>
    <w:rsid w:val="001B1FF1"/>
    <w:rsid w:val="001B226E"/>
    <w:rsid w:val="001B22AD"/>
    <w:rsid w:val="001B26EF"/>
    <w:rsid w:val="001B2C7E"/>
    <w:rsid w:val="001B3B48"/>
    <w:rsid w:val="001B3E0A"/>
    <w:rsid w:val="001B4108"/>
    <w:rsid w:val="001B42EE"/>
    <w:rsid w:val="001B4366"/>
    <w:rsid w:val="001B4ABD"/>
    <w:rsid w:val="001B4E3B"/>
    <w:rsid w:val="001B5086"/>
    <w:rsid w:val="001B5183"/>
    <w:rsid w:val="001B5621"/>
    <w:rsid w:val="001B5CE3"/>
    <w:rsid w:val="001B6379"/>
    <w:rsid w:val="001B637B"/>
    <w:rsid w:val="001B637E"/>
    <w:rsid w:val="001B63A8"/>
    <w:rsid w:val="001B6E6C"/>
    <w:rsid w:val="001B713F"/>
    <w:rsid w:val="001B71DD"/>
    <w:rsid w:val="001B7211"/>
    <w:rsid w:val="001B73A4"/>
    <w:rsid w:val="001B743B"/>
    <w:rsid w:val="001B77BD"/>
    <w:rsid w:val="001B7CF0"/>
    <w:rsid w:val="001B7D57"/>
    <w:rsid w:val="001B7D5B"/>
    <w:rsid w:val="001B7DD1"/>
    <w:rsid w:val="001B7FE0"/>
    <w:rsid w:val="001C086C"/>
    <w:rsid w:val="001C09DC"/>
    <w:rsid w:val="001C0A67"/>
    <w:rsid w:val="001C0B23"/>
    <w:rsid w:val="001C0F9A"/>
    <w:rsid w:val="001C105A"/>
    <w:rsid w:val="001C10CF"/>
    <w:rsid w:val="001C10DD"/>
    <w:rsid w:val="001C11E7"/>
    <w:rsid w:val="001C1321"/>
    <w:rsid w:val="001C1841"/>
    <w:rsid w:val="001C1B55"/>
    <w:rsid w:val="001C1D6B"/>
    <w:rsid w:val="001C1DEC"/>
    <w:rsid w:val="001C2136"/>
    <w:rsid w:val="001C2183"/>
    <w:rsid w:val="001C2249"/>
    <w:rsid w:val="001C25DE"/>
    <w:rsid w:val="001C26FA"/>
    <w:rsid w:val="001C2850"/>
    <w:rsid w:val="001C2A7C"/>
    <w:rsid w:val="001C2BFF"/>
    <w:rsid w:val="001C2CCC"/>
    <w:rsid w:val="001C2D59"/>
    <w:rsid w:val="001C2D8E"/>
    <w:rsid w:val="001C2DD8"/>
    <w:rsid w:val="001C3014"/>
    <w:rsid w:val="001C3060"/>
    <w:rsid w:val="001C3100"/>
    <w:rsid w:val="001C3B76"/>
    <w:rsid w:val="001C41BF"/>
    <w:rsid w:val="001C424C"/>
    <w:rsid w:val="001C4643"/>
    <w:rsid w:val="001C4D7D"/>
    <w:rsid w:val="001C55FB"/>
    <w:rsid w:val="001C5767"/>
    <w:rsid w:val="001C57AF"/>
    <w:rsid w:val="001C5989"/>
    <w:rsid w:val="001C5BDC"/>
    <w:rsid w:val="001C5C42"/>
    <w:rsid w:val="001C6CA0"/>
    <w:rsid w:val="001C6E8B"/>
    <w:rsid w:val="001C775D"/>
    <w:rsid w:val="001C7858"/>
    <w:rsid w:val="001D046F"/>
    <w:rsid w:val="001D0C37"/>
    <w:rsid w:val="001D1269"/>
    <w:rsid w:val="001D1553"/>
    <w:rsid w:val="001D1BBE"/>
    <w:rsid w:val="001D24B0"/>
    <w:rsid w:val="001D268F"/>
    <w:rsid w:val="001D2A0F"/>
    <w:rsid w:val="001D2E6C"/>
    <w:rsid w:val="001D3F1A"/>
    <w:rsid w:val="001D43FE"/>
    <w:rsid w:val="001D45D6"/>
    <w:rsid w:val="001D4719"/>
    <w:rsid w:val="001D496D"/>
    <w:rsid w:val="001D4CE6"/>
    <w:rsid w:val="001D5051"/>
    <w:rsid w:val="001D5189"/>
    <w:rsid w:val="001D5207"/>
    <w:rsid w:val="001D5641"/>
    <w:rsid w:val="001D5651"/>
    <w:rsid w:val="001D58E9"/>
    <w:rsid w:val="001D5990"/>
    <w:rsid w:val="001D5A9F"/>
    <w:rsid w:val="001D5ED2"/>
    <w:rsid w:val="001D5EFF"/>
    <w:rsid w:val="001D608E"/>
    <w:rsid w:val="001D6291"/>
    <w:rsid w:val="001D6668"/>
    <w:rsid w:val="001D6BE8"/>
    <w:rsid w:val="001D6EFF"/>
    <w:rsid w:val="001D70C1"/>
    <w:rsid w:val="001D7843"/>
    <w:rsid w:val="001D7A3A"/>
    <w:rsid w:val="001D7CAE"/>
    <w:rsid w:val="001E02BB"/>
    <w:rsid w:val="001E048C"/>
    <w:rsid w:val="001E0515"/>
    <w:rsid w:val="001E0947"/>
    <w:rsid w:val="001E0F00"/>
    <w:rsid w:val="001E13D1"/>
    <w:rsid w:val="001E14E1"/>
    <w:rsid w:val="001E1AB9"/>
    <w:rsid w:val="001E1BF4"/>
    <w:rsid w:val="001E20DC"/>
    <w:rsid w:val="001E2623"/>
    <w:rsid w:val="001E2BF7"/>
    <w:rsid w:val="001E403D"/>
    <w:rsid w:val="001E42BA"/>
    <w:rsid w:val="001E4334"/>
    <w:rsid w:val="001E4710"/>
    <w:rsid w:val="001E49E5"/>
    <w:rsid w:val="001E5081"/>
    <w:rsid w:val="001E5613"/>
    <w:rsid w:val="001E59A2"/>
    <w:rsid w:val="001E5EC6"/>
    <w:rsid w:val="001E60AF"/>
    <w:rsid w:val="001E64E5"/>
    <w:rsid w:val="001E6721"/>
    <w:rsid w:val="001E6761"/>
    <w:rsid w:val="001E68E0"/>
    <w:rsid w:val="001E6C35"/>
    <w:rsid w:val="001E72DF"/>
    <w:rsid w:val="001E7367"/>
    <w:rsid w:val="001E7524"/>
    <w:rsid w:val="001E7758"/>
    <w:rsid w:val="001E781B"/>
    <w:rsid w:val="001E7CF2"/>
    <w:rsid w:val="001F02B1"/>
    <w:rsid w:val="001F0331"/>
    <w:rsid w:val="001F0409"/>
    <w:rsid w:val="001F0647"/>
    <w:rsid w:val="001F1AF9"/>
    <w:rsid w:val="001F22EE"/>
    <w:rsid w:val="001F2899"/>
    <w:rsid w:val="001F2968"/>
    <w:rsid w:val="001F2C62"/>
    <w:rsid w:val="001F2D8A"/>
    <w:rsid w:val="001F3234"/>
    <w:rsid w:val="001F3290"/>
    <w:rsid w:val="001F36EB"/>
    <w:rsid w:val="001F3B73"/>
    <w:rsid w:val="001F3D07"/>
    <w:rsid w:val="001F3DA2"/>
    <w:rsid w:val="001F4054"/>
    <w:rsid w:val="001F4170"/>
    <w:rsid w:val="001F43C0"/>
    <w:rsid w:val="001F4466"/>
    <w:rsid w:val="001F4C68"/>
    <w:rsid w:val="001F5B41"/>
    <w:rsid w:val="001F5BB8"/>
    <w:rsid w:val="001F5D0B"/>
    <w:rsid w:val="001F5F90"/>
    <w:rsid w:val="001F60CA"/>
    <w:rsid w:val="001F6BD2"/>
    <w:rsid w:val="001F6E5D"/>
    <w:rsid w:val="001F7020"/>
    <w:rsid w:val="001F71B3"/>
    <w:rsid w:val="001F770B"/>
    <w:rsid w:val="001F78FF"/>
    <w:rsid w:val="001F7F7F"/>
    <w:rsid w:val="002001A5"/>
    <w:rsid w:val="00200A49"/>
    <w:rsid w:val="00200C31"/>
    <w:rsid w:val="00200CC9"/>
    <w:rsid w:val="0020123F"/>
    <w:rsid w:val="002013FE"/>
    <w:rsid w:val="002014C3"/>
    <w:rsid w:val="00201A77"/>
    <w:rsid w:val="00201C07"/>
    <w:rsid w:val="00201E1A"/>
    <w:rsid w:val="002020CB"/>
    <w:rsid w:val="002022E6"/>
    <w:rsid w:val="00202573"/>
    <w:rsid w:val="00202613"/>
    <w:rsid w:val="0020263F"/>
    <w:rsid w:val="002030D9"/>
    <w:rsid w:val="002030E9"/>
    <w:rsid w:val="00203162"/>
    <w:rsid w:val="00203674"/>
    <w:rsid w:val="002037E7"/>
    <w:rsid w:val="0020381C"/>
    <w:rsid w:val="0020398E"/>
    <w:rsid w:val="00203B1E"/>
    <w:rsid w:val="002045A8"/>
    <w:rsid w:val="0020529F"/>
    <w:rsid w:val="0020565D"/>
    <w:rsid w:val="00205B41"/>
    <w:rsid w:val="00205DB7"/>
    <w:rsid w:val="00206264"/>
    <w:rsid w:val="00206444"/>
    <w:rsid w:val="0020659B"/>
    <w:rsid w:val="00206628"/>
    <w:rsid w:val="00206EF4"/>
    <w:rsid w:val="00207161"/>
    <w:rsid w:val="00207496"/>
    <w:rsid w:val="00207766"/>
    <w:rsid w:val="00207D7A"/>
    <w:rsid w:val="00207E37"/>
    <w:rsid w:val="00210200"/>
    <w:rsid w:val="00210644"/>
    <w:rsid w:val="00210CF1"/>
    <w:rsid w:val="0021113C"/>
    <w:rsid w:val="00211698"/>
    <w:rsid w:val="002117EE"/>
    <w:rsid w:val="00211B8F"/>
    <w:rsid w:val="00211E87"/>
    <w:rsid w:val="00211F1F"/>
    <w:rsid w:val="0021236C"/>
    <w:rsid w:val="00212835"/>
    <w:rsid w:val="0021294C"/>
    <w:rsid w:val="00212996"/>
    <w:rsid w:val="00213341"/>
    <w:rsid w:val="00213390"/>
    <w:rsid w:val="002134A9"/>
    <w:rsid w:val="0021366B"/>
    <w:rsid w:val="002136BB"/>
    <w:rsid w:val="002137D2"/>
    <w:rsid w:val="00213808"/>
    <w:rsid w:val="00213906"/>
    <w:rsid w:val="00213E16"/>
    <w:rsid w:val="00214447"/>
    <w:rsid w:val="00214D08"/>
    <w:rsid w:val="00214E85"/>
    <w:rsid w:val="002152A9"/>
    <w:rsid w:val="002152D0"/>
    <w:rsid w:val="00215341"/>
    <w:rsid w:val="00215750"/>
    <w:rsid w:val="002157CE"/>
    <w:rsid w:val="00215886"/>
    <w:rsid w:val="0021595D"/>
    <w:rsid w:val="00215A61"/>
    <w:rsid w:val="00215DB2"/>
    <w:rsid w:val="002162B4"/>
    <w:rsid w:val="00216328"/>
    <w:rsid w:val="00216594"/>
    <w:rsid w:val="0021666C"/>
    <w:rsid w:val="00216CAA"/>
    <w:rsid w:val="00217056"/>
    <w:rsid w:val="00217578"/>
    <w:rsid w:val="00217AD5"/>
    <w:rsid w:val="00217B7C"/>
    <w:rsid w:val="00220087"/>
    <w:rsid w:val="002203B6"/>
    <w:rsid w:val="002204B4"/>
    <w:rsid w:val="002204D1"/>
    <w:rsid w:val="00220505"/>
    <w:rsid w:val="002209C0"/>
    <w:rsid w:val="002210D6"/>
    <w:rsid w:val="00221A26"/>
    <w:rsid w:val="00222662"/>
    <w:rsid w:val="00222CB5"/>
    <w:rsid w:val="00222D4B"/>
    <w:rsid w:val="00222E2A"/>
    <w:rsid w:val="002235E8"/>
    <w:rsid w:val="00223CB6"/>
    <w:rsid w:val="0022419D"/>
    <w:rsid w:val="002245CF"/>
    <w:rsid w:val="002245DE"/>
    <w:rsid w:val="00224A2E"/>
    <w:rsid w:val="00224FFB"/>
    <w:rsid w:val="00225043"/>
    <w:rsid w:val="00225093"/>
    <w:rsid w:val="00225331"/>
    <w:rsid w:val="0022579F"/>
    <w:rsid w:val="0022590E"/>
    <w:rsid w:val="00225C2B"/>
    <w:rsid w:val="00225EDE"/>
    <w:rsid w:val="00225F98"/>
    <w:rsid w:val="00225FB7"/>
    <w:rsid w:val="00225FF5"/>
    <w:rsid w:val="00226070"/>
    <w:rsid w:val="0022655C"/>
    <w:rsid w:val="00226882"/>
    <w:rsid w:val="002271AA"/>
    <w:rsid w:val="00227284"/>
    <w:rsid w:val="00227733"/>
    <w:rsid w:val="0022779E"/>
    <w:rsid w:val="00227A13"/>
    <w:rsid w:val="00227B40"/>
    <w:rsid w:val="00227CF4"/>
    <w:rsid w:val="00227D18"/>
    <w:rsid w:val="00227F5F"/>
    <w:rsid w:val="002303FB"/>
    <w:rsid w:val="00230463"/>
    <w:rsid w:val="00230566"/>
    <w:rsid w:val="00230B3D"/>
    <w:rsid w:val="002311DF"/>
    <w:rsid w:val="00231655"/>
    <w:rsid w:val="00231D38"/>
    <w:rsid w:val="002320AA"/>
    <w:rsid w:val="00232191"/>
    <w:rsid w:val="00232B1A"/>
    <w:rsid w:val="00232BE3"/>
    <w:rsid w:val="00232D99"/>
    <w:rsid w:val="00232FA2"/>
    <w:rsid w:val="002331AB"/>
    <w:rsid w:val="00233518"/>
    <w:rsid w:val="002335B1"/>
    <w:rsid w:val="002336FD"/>
    <w:rsid w:val="002338B0"/>
    <w:rsid w:val="00233C81"/>
    <w:rsid w:val="002348C6"/>
    <w:rsid w:val="00234C9F"/>
    <w:rsid w:val="00235B13"/>
    <w:rsid w:val="00235C0D"/>
    <w:rsid w:val="00235D18"/>
    <w:rsid w:val="00235D50"/>
    <w:rsid w:val="00235F2C"/>
    <w:rsid w:val="0023620C"/>
    <w:rsid w:val="0023642C"/>
    <w:rsid w:val="002371A2"/>
    <w:rsid w:val="00237267"/>
    <w:rsid w:val="0023772C"/>
    <w:rsid w:val="0024012A"/>
    <w:rsid w:val="002406C8"/>
    <w:rsid w:val="002408AA"/>
    <w:rsid w:val="00240C23"/>
    <w:rsid w:val="00240F93"/>
    <w:rsid w:val="002411D4"/>
    <w:rsid w:val="0024144A"/>
    <w:rsid w:val="00241598"/>
    <w:rsid w:val="002415C2"/>
    <w:rsid w:val="002418C6"/>
    <w:rsid w:val="002426FF"/>
    <w:rsid w:val="002428BF"/>
    <w:rsid w:val="00242A62"/>
    <w:rsid w:val="00243C90"/>
    <w:rsid w:val="00244579"/>
    <w:rsid w:val="00244633"/>
    <w:rsid w:val="00244680"/>
    <w:rsid w:val="00244A68"/>
    <w:rsid w:val="00244C01"/>
    <w:rsid w:val="00244CE9"/>
    <w:rsid w:val="00244E12"/>
    <w:rsid w:val="00244E2C"/>
    <w:rsid w:val="002457CF"/>
    <w:rsid w:val="00245AA9"/>
    <w:rsid w:val="00245B13"/>
    <w:rsid w:val="002467DB"/>
    <w:rsid w:val="00246D1D"/>
    <w:rsid w:val="00246D2A"/>
    <w:rsid w:val="00247121"/>
    <w:rsid w:val="00247715"/>
    <w:rsid w:val="002478DA"/>
    <w:rsid w:val="0025042B"/>
    <w:rsid w:val="00250552"/>
    <w:rsid w:val="00250697"/>
    <w:rsid w:val="002507E7"/>
    <w:rsid w:val="0025080A"/>
    <w:rsid w:val="00250882"/>
    <w:rsid w:val="002509B7"/>
    <w:rsid w:val="00250DDD"/>
    <w:rsid w:val="002510AA"/>
    <w:rsid w:val="002513CB"/>
    <w:rsid w:val="00251443"/>
    <w:rsid w:val="002515C8"/>
    <w:rsid w:val="00251676"/>
    <w:rsid w:val="002519C8"/>
    <w:rsid w:val="00251E9D"/>
    <w:rsid w:val="0025254A"/>
    <w:rsid w:val="0025299F"/>
    <w:rsid w:val="00252CAE"/>
    <w:rsid w:val="00252D55"/>
    <w:rsid w:val="0025309B"/>
    <w:rsid w:val="002534D7"/>
    <w:rsid w:val="00253647"/>
    <w:rsid w:val="00253693"/>
    <w:rsid w:val="002538B8"/>
    <w:rsid w:val="00253A9C"/>
    <w:rsid w:val="00253CEC"/>
    <w:rsid w:val="002540A6"/>
    <w:rsid w:val="002548AD"/>
    <w:rsid w:val="00254BD0"/>
    <w:rsid w:val="00254BF8"/>
    <w:rsid w:val="00254D15"/>
    <w:rsid w:val="00254DED"/>
    <w:rsid w:val="00254F3B"/>
    <w:rsid w:val="0025507E"/>
    <w:rsid w:val="00255369"/>
    <w:rsid w:val="0025552A"/>
    <w:rsid w:val="00255DF9"/>
    <w:rsid w:val="00256651"/>
    <w:rsid w:val="00256BB6"/>
    <w:rsid w:val="002572D0"/>
    <w:rsid w:val="00257598"/>
    <w:rsid w:val="00257924"/>
    <w:rsid w:val="00257CA6"/>
    <w:rsid w:val="00257EDB"/>
    <w:rsid w:val="002600A8"/>
    <w:rsid w:val="002601A4"/>
    <w:rsid w:val="00260536"/>
    <w:rsid w:val="00260673"/>
    <w:rsid w:val="00260942"/>
    <w:rsid w:val="00260A02"/>
    <w:rsid w:val="002610D3"/>
    <w:rsid w:val="00261188"/>
    <w:rsid w:val="00261244"/>
    <w:rsid w:val="002612A2"/>
    <w:rsid w:val="0026144A"/>
    <w:rsid w:val="00261FE1"/>
    <w:rsid w:val="002620F9"/>
    <w:rsid w:val="0026210B"/>
    <w:rsid w:val="00262558"/>
    <w:rsid w:val="002626E9"/>
    <w:rsid w:val="002631BF"/>
    <w:rsid w:val="00263369"/>
    <w:rsid w:val="00263527"/>
    <w:rsid w:val="002639AE"/>
    <w:rsid w:val="00263BEF"/>
    <w:rsid w:val="0026402A"/>
    <w:rsid w:val="00264229"/>
    <w:rsid w:val="0026433E"/>
    <w:rsid w:val="00264ADA"/>
    <w:rsid w:val="002654E3"/>
    <w:rsid w:val="00265637"/>
    <w:rsid w:val="00265793"/>
    <w:rsid w:val="002660AD"/>
    <w:rsid w:val="00266BBD"/>
    <w:rsid w:val="00266F0A"/>
    <w:rsid w:val="00267225"/>
    <w:rsid w:val="0026722C"/>
    <w:rsid w:val="00267454"/>
    <w:rsid w:val="002675CD"/>
    <w:rsid w:val="0026771B"/>
    <w:rsid w:val="00267A40"/>
    <w:rsid w:val="0027019B"/>
    <w:rsid w:val="0027056C"/>
    <w:rsid w:val="00270AF3"/>
    <w:rsid w:val="00270DBD"/>
    <w:rsid w:val="00271484"/>
    <w:rsid w:val="002717C5"/>
    <w:rsid w:val="00271A95"/>
    <w:rsid w:val="00271BAC"/>
    <w:rsid w:val="002720E2"/>
    <w:rsid w:val="00272A4E"/>
    <w:rsid w:val="0027321D"/>
    <w:rsid w:val="00273679"/>
    <w:rsid w:val="002737B7"/>
    <w:rsid w:val="00274030"/>
    <w:rsid w:val="002747F8"/>
    <w:rsid w:val="00274B45"/>
    <w:rsid w:val="00275875"/>
    <w:rsid w:val="00275D7B"/>
    <w:rsid w:val="00275E26"/>
    <w:rsid w:val="002763BB"/>
    <w:rsid w:val="00276504"/>
    <w:rsid w:val="002765A7"/>
    <w:rsid w:val="0027670E"/>
    <w:rsid w:val="00276B3E"/>
    <w:rsid w:val="00276B45"/>
    <w:rsid w:val="00276EC3"/>
    <w:rsid w:val="00277106"/>
    <w:rsid w:val="002771FC"/>
    <w:rsid w:val="002772A6"/>
    <w:rsid w:val="00277586"/>
    <w:rsid w:val="00277813"/>
    <w:rsid w:val="00277F33"/>
    <w:rsid w:val="0028013D"/>
    <w:rsid w:val="00280609"/>
    <w:rsid w:val="00280630"/>
    <w:rsid w:val="0028093C"/>
    <w:rsid w:val="00280995"/>
    <w:rsid w:val="00280C57"/>
    <w:rsid w:val="00280E36"/>
    <w:rsid w:val="002817A8"/>
    <w:rsid w:val="00281C78"/>
    <w:rsid w:val="00282472"/>
    <w:rsid w:val="0028339B"/>
    <w:rsid w:val="0028341D"/>
    <w:rsid w:val="0028351A"/>
    <w:rsid w:val="002836F5"/>
    <w:rsid w:val="00283EF9"/>
    <w:rsid w:val="002840DE"/>
    <w:rsid w:val="00284132"/>
    <w:rsid w:val="002841E7"/>
    <w:rsid w:val="00284D84"/>
    <w:rsid w:val="00284EF4"/>
    <w:rsid w:val="002850AB"/>
    <w:rsid w:val="00285359"/>
    <w:rsid w:val="0028618F"/>
    <w:rsid w:val="002864FF"/>
    <w:rsid w:val="00286576"/>
    <w:rsid w:val="002868AF"/>
    <w:rsid w:val="00287172"/>
    <w:rsid w:val="00287274"/>
    <w:rsid w:val="002872AA"/>
    <w:rsid w:val="002873A5"/>
    <w:rsid w:val="002875FC"/>
    <w:rsid w:val="002877E1"/>
    <w:rsid w:val="00287B0C"/>
    <w:rsid w:val="00287B35"/>
    <w:rsid w:val="00287C2F"/>
    <w:rsid w:val="00290292"/>
    <w:rsid w:val="00290575"/>
    <w:rsid w:val="0029062F"/>
    <w:rsid w:val="002908B4"/>
    <w:rsid w:val="00290CB2"/>
    <w:rsid w:val="00290E88"/>
    <w:rsid w:val="00291386"/>
    <w:rsid w:val="0029150E"/>
    <w:rsid w:val="0029197C"/>
    <w:rsid w:val="00291BBD"/>
    <w:rsid w:val="00291DEF"/>
    <w:rsid w:val="0029236D"/>
    <w:rsid w:val="00292FCC"/>
    <w:rsid w:val="0029320C"/>
    <w:rsid w:val="00293654"/>
    <w:rsid w:val="002939E3"/>
    <w:rsid w:val="00293B2F"/>
    <w:rsid w:val="00293CF4"/>
    <w:rsid w:val="00293DB9"/>
    <w:rsid w:val="00293FCA"/>
    <w:rsid w:val="002942AC"/>
    <w:rsid w:val="002942D0"/>
    <w:rsid w:val="00294B20"/>
    <w:rsid w:val="002953C7"/>
    <w:rsid w:val="00295480"/>
    <w:rsid w:val="002962BE"/>
    <w:rsid w:val="002962DD"/>
    <w:rsid w:val="00296695"/>
    <w:rsid w:val="00296957"/>
    <w:rsid w:val="00296A4F"/>
    <w:rsid w:val="00296D8C"/>
    <w:rsid w:val="0029756F"/>
    <w:rsid w:val="002976C1"/>
    <w:rsid w:val="00297A8D"/>
    <w:rsid w:val="00297CD9"/>
    <w:rsid w:val="002A003A"/>
    <w:rsid w:val="002A02CD"/>
    <w:rsid w:val="002A069F"/>
    <w:rsid w:val="002A08D0"/>
    <w:rsid w:val="002A0F96"/>
    <w:rsid w:val="002A12CE"/>
    <w:rsid w:val="002A1765"/>
    <w:rsid w:val="002A1F31"/>
    <w:rsid w:val="002A2140"/>
    <w:rsid w:val="002A265F"/>
    <w:rsid w:val="002A27B7"/>
    <w:rsid w:val="002A289A"/>
    <w:rsid w:val="002A2FA8"/>
    <w:rsid w:val="002A354B"/>
    <w:rsid w:val="002A3802"/>
    <w:rsid w:val="002A3BF7"/>
    <w:rsid w:val="002A4118"/>
    <w:rsid w:val="002A4241"/>
    <w:rsid w:val="002A431F"/>
    <w:rsid w:val="002A43FA"/>
    <w:rsid w:val="002A449D"/>
    <w:rsid w:val="002A44A7"/>
    <w:rsid w:val="002A463C"/>
    <w:rsid w:val="002A4924"/>
    <w:rsid w:val="002A4A10"/>
    <w:rsid w:val="002A4EB0"/>
    <w:rsid w:val="002A556E"/>
    <w:rsid w:val="002A5840"/>
    <w:rsid w:val="002A5D41"/>
    <w:rsid w:val="002A60AF"/>
    <w:rsid w:val="002A6672"/>
    <w:rsid w:val="002A67EF"/>
    <w:rsid w:val="002A6DBB"/>
    <w:rsid w:val="002A6E5A"/>
    <w:rsid w:val="002A7AD1"/>
    <w:rsid w:val="002A7CDA"/>
    <w:rsid w:val="002A7D60"/>
    <w:rsid w:val="002B0254"/>
    <w:rsid w:val="002B0372"/>
    <w:rsid w:val="002B090A"/>
    <w:rsid w:val="002B0C14"/>
    <w:rsid w:val="002B1294"/>
    <w:rsid w:val="002B1537"/>
    <w:rsid w:val="002B1740"/>
    <w:rsid w:val="002B17B4"/>
    <w:rsid w:val="002B1BFF"/>
    <w:rsid w:val="002B21DF"/>
    <w:rsid w:val="002B2202"/>
    <w:rsid w:val="002B237D"/>
    <w:rsid w:val="002B273F"/>
    <w:rsid w:val="002B296C"/>
    <w:rsid w:val="002B2E81"/>
    <w:rsid w:val="002B31FF"/>
    <w:rsid w:val="002B35F8"/>
    <w:rsid w:val="002B37DF"/>
    <w:rsid w:val="002B3C76"/>
    <w:rsid w:val="002B3CBA"/>
    <w:rsid w:val="002B42C6"/>
    <w:rsid w:val="002B4350"/>
    <w:rsid w:val="002B4F13"/>
    <w:rsid w:val="002B51D0"/>
    <w:rsid w:val="002B5365"/>
    <w:rsid w:val="002B5D78"/>
    <w:rsid w:val="002B60CA"/>
    <w:rsid w:val="002B6591"/>
    <w:rsid w:val="002B66D3"/>
    <w:rsid w:val="002B66DD"/>
    <w:rsid w:val="002B6E39"/>
    <w:rsid w:val="002B779D"/>
    <w:rsid w:val="002B7AD6"/>
    <w:rsid w:val="002B7C4C"/>
    <w:rsid w:val="002C03A3"/>
    <w:rsid w:val="002C0B92"/>
    <w:rsid w:val="002C0CD2"/>
    <w:rsid w:val="002C0E50"/>
    <w:rsid w:val="002C0E9C"/>
    <w:rsid w:val="002C16DF"/>
    <w:rsid w:val="002C1AAA"/>
    <w:rsid w:val="002C1BE4"/>
    <w:rsid w:val="002C29B1"/>
    <w:rsid w:val="002C2AC4"/>
    <w:rsid w:val="002C31D4"/>
    <w:rsid w:val="002C3268"/>
    <w:rsid w:val="002C32FE"/>
    <w:rsid w:val="002C3449"/>
    <w:rsid w:val="002C3536"/>
    <w:rsid w:val="002C3836"/>
    <w:rsid w:val="002C3AAA"/>
    <w:rsid w:val="002C3ED1"/>
    <w:rsid w:val="002C4133"/>
    <w:rsid w:val="002C424B"/>
    <w:rsid w:val="002C4660"/>
    <w:rsid w:val="002C4DF2"/>
    <w:rsid w:val="002C50D0"/>
    <w:rsid w:val="002C5208"/>
    <w:rsid w:val="002C58C2"/>
    <w:rsid w:val="002C59CC"/>
    <w:rsid w:val="002C5C7E"/>
    <w:rsid w:val="002C5F29"/>
    <w:rsid w:val="002C5FAF"/>
    <w:rsid w:val="002C613A"/>
    <w:rsid w:val="002C6711"/>
    <w:rsid w:val="002C6B2E"/>
    <w:rsid w:val="002C6CA9"/>
    <w:rsid w:val="002C6CB6"/>
    <w:rsid w:val="002C7272"/>
    <w:rsid w:val="002C75FE"/>
    <w:rsid w:val="002C7CB4"/>
    <w:rsid w:val="002D04BE"/>
    <w:rsid w:val="002D06E8"/>
    <w:rsid w:val="002D09CC"/>
    <w:rsid w:val="002D0D58"/>
    <w:rsid w:val="002D0E51"/>
    <w:rsid w:val="002D1232"/>
    <w:rsid w:val="002D1303"/>
    <w:rsid w:val="002D17A8"/>
    <w:rsid w:val="002D1B70"/>
    <w:rsid w:val="002D1CAA"/>
    <w:rsid w:val="002D1E41"/>
    <w:rsid w:val="002D1EE0"/>
    <w:rsid w:val="002D2062"/>
    <w:rsid w:val="002D220A"/>
    <w:rsid w:val="002D25E0"/>
    <w:rsid w:val="002D2F1E"/>
    <w:rsid w:val="002D3C3A"/>
    <w:rsid w:val="002D4645"/>
    <w:rsid w:val="002D4903"/>
    <w:rsid w:val="002D506B"/>
    <w:rsid w:val="002D5196"/>
    <w:rsid w:val="002D528E"/>
    <w:rsid w:val="002D52D8"/>
    <w:rsid w:val="002D5382"/>
    <w:rsid w:val="002D567B"/>
    <w:rsid w:val="002D57BA"/>
    <w:rsid w:val="002D5B96"/>
    <w:rsid w:val="002D5DE0"/>
    <w:rsid w:val="002D607D"/>
    <w:rsid w:val="002D6C75"/>
    <w:rsid w:val="002D6FA8"/>
    <w:rsid w:val="002D76E9"/>
    <w:rsid w:val="002D7992"/>
    <w:rsid w:val="002E09DB"/>
    <w:rsid w:val="002E0D46"/>
    <w:rsid w:val="002E0FEC"/>
    <w:rsid w:val="002E13DC"/>
    <w:rsid w:val="002E1C86"/>
    <w:rsid w:val="002E2079"/>
    <w:rsid w:val="002E2361"/>
    <w:rsid w:val="002E2B03"/>
    <w:rsid w:val="002E3020"/>
    <w:rsid w:val="002E413A"/>
    <w:rsid w:val="002E46C3"/>
    <w:rsid w:val="002E4C98"/>
    <w:rsid w:val="002E4CE4"/>
    <w:rsid w:val="002E515C"/>
    <w:rsid w:val="002E56EF"/>
    <w:rsid w:val="002E57B8"/>
    <w:rsid w:val="002E6058"/>
    <w:rsid w:val="002E6534"/>
    <w:rsid w:val="002E6689"/>
    <w:rsid w:val="002E6C02"/>
    <w:rsid w:val="002E6D2B"/>
    <w:rsid w:val="002E6E3E"/>
    <w:rsid w:val="002E6FBE"/>
    <w:rsid w:val="002E6FE9"/>
    <w:rsid w:val="002E7073"/>
    <w:rsid w:val="002E72AA"/>
    <w:rsid w:val="002E7602"/>
    <w:rsid w:val="002E770D"/>
    <w:rsid w:val="002E7712"/>
    <w:rsid w:val="002E7F7D"/>
    <w:rsid w:val="002F0367"/>
    <w:rsid w:val="002F0474"/>
    <w:rsid w:val="002F0877"/>
    <w:rsid w:val="002F0BC3"/>
    <w:rsid w:val="002F1AFA"/>
    <w:rsid w:val="002F1BAE"/>
    <w:rsid w:val="002F211D"/>
    <w:rsid w:val="002F23C4"/>
    <w:rsid w:val="002F2782"/>
    <w:rsid w:val="002F2A38"/>
    <w:rsid w:val="002F2BAC"/>
    <w:rsid w:val="002F2C4F"/>
    <w:rsid w:val="002F2FD9"/>
    <w:rsid w:val="002F3031"/>
    <w:rsid w:val="002F3410"/>
    <w:rsid w:val="002F377C"/>
    <w:rsid w:val="002F380F"/>
    <w:rsid w:val="002F3B7E"/>
    <w:rsid w:val="002F424E"/>
    <w:rsid w:val="002F43B4"/>
    <w:rsid w:val="002F443F"/>
    <w:rsid w:val="002F4496"/>
    <w:rsid w:val="002F4604"/>
    <w:rsid w:val="002F4720"/>
    <w:rsid w:val="002F48AE"/>
    <w:rsid w:val="002F4C30"/>
    <w:rsid w:val="002F4E42"/>
    <w:rsid w:val="002F557E"/>
    <w:rsid w:val="002F5FAD"/>
    <w:rsid w:val="002F5FC4"/>
    <w:rsid w:val="002F60B5"/>
    <w:rsid w:val="002F612A"/>
    <w:rsid w:val="002F62B8"/>
    <w:rsid w:val="002F6597"/>
    <w:rsid w:val="002F6D08"/>
    <w:rsid w:val="002F6EFA"/>
    <w:rsid w:val="002F710E"/>
    <w:rsid w:val="002F7F61"/>
    <w:rsid w:val="00300301"/>
    <w:rsid w:val="00300645"/>
    <w:rsid w:val="003007D7"/>
    <w:rsid w:val="00300878"/>
    <w:rsid w:val="00300AFD"/>
    <w:rsid w:val="0030174E"/>
    <w:rsid w:val="00301851"/>
    <w:rsid w:val="00301895"/>
    <w:rsid w:val="00301DB7"/>
    <w:rsid w:val="00301E2A"/>
    <w:rsid w:val="00302021"/>
    <w:rsid w:val="00302327"/>
    <w:rsid w:val="003024D2"/>
    <w:rsid w:val="00302841"/>
    <w:rsid w:val="00302914"/>
    <w:rsid w:val="00302A74"/>
    <w:rsid w:val="00302B18"/>
    <w:rsid w:val="00302E5A"/>
    <w:rsid w:val="00302F04"/>
    <w:rsid w:val="00302F59"/>
    <w:rsid w:val="003036E7"/>
    <w:rsid w:val="003038CE"/>
    <w:rsid w:val="00303A8E"/>
    <w:rsid w:val="00303B89"/>
    <w:rsid w:val="00303D12"/>
    <w:rsid w:val="0030438F"/>
    <w:rsid w:val="00304695"/>
    <w:rsid w:val="003046CF"/>
    <w:rsid w:val="003047EB"/>
    <w:rsid w:val="00304835"/>
    <w:rsid w:val="00304DCB"/>
    <w:rsid w:val="00304EA3"/>
    <w:rsid w:val="003050D0"/>
    <w:rsid w:val="00305181"/>
    <w:rsid w:val="00305206"/>
    <w:rsid w:val="0030560F"/>
    <w:rsid w:val="003056E1"/>
    <w:rsid w:val="00305853"/>
    <w:rsid w:val="003058CC"/>
    <w:rsid w:val="00305AC8"/>
    <w:rsid w:val="00305C81"/>
    <w:rsid w:val="00306264"/>
    <w:rsid w:val="003065E0"/>
    <w:rsid w:val="00306B18"/>
    <w:rsid w:val="00306EF5"/>
    <w:rsid w:val="00307548"/>
    <w:rsid w:val="003075E8"/>
    <w:rsid w:val="003104B1"/>
    <w:rsid w:val="00310828"/>
    <w:rsid w:val="00310999"/>
    <w:rsid w:val="00310AB5"/>
    <w:rsid w:val="00310B50"/>
    <w:rsid w:val="00310BA7"/>
    <w:rsid w:val="00311926"/>
    <w:rsid w:val="00311AFD"/>
    <w:rsid w:val="00312206"/>
    <w:rsid w:val="00312298"/>
    <w:rsid w:val="00312394"/>
    <w:rsid w:val="00312873"/>
    <w:rsid w:val="00313220"/>
    <w:rsid w:val="003132AE"/>
    <w:rsid w:val="00314110"/>
    <w:rsid w:val="00314247"/>
    <w:rsid w:val="0031424A"/>
    <w:rsid w:val="00314352"/>
    <w:rsid w:val="003145BE"/>
    <w:rsid w:val="00314713"/>
    <w:rsid w:val="00314B61"/>
    <w:rsid w:val="00315830"/>
    <w:rsid w:val="00315FFD"/>
    <w:rsid w:val="00316433"/>
    <w:rsid w:val="0031655B"/>
    <w:rsid w:val="00316587"/>
    <w:rsid w:val="003166CB"/>
    <w:rsid w:val="00316D9E"/>
    <w:rsid w:val="00316F7E"/>
    <w:rsid w:val="00317335"/>
    <w:rsid w:val="00317A25"/>
    <w:rsid w:val="00317ABB"/>
    <w:rsid w:val="00317B63"/>
    <w:rsid w:val="00317C0E"/>
    <w:rsid w:val="00317CC6"/>
    <w:rsid w:val="00320565"/>
    <w:rsid w:val="003209CA"/>
    <w:rsid w:val="00320A9F"/>
    <w:rsid w:val="00320EE2"/>
    <w:rsid w:val="00321071"/>
    <w:rsid w:val="00321113"/>
    <w:rsid w:val="0032117D"/>
    <w:rsid w:val="00321370"/>
    <w:rsid w:val="003219FD"/>
    <w:rsid w:val="00321ABC"/>
    <w:rsid w:val="00321D13"/>
    <w:rsid w:val="00321E28"/>
    <w:rsid w:val="00321F43"/>
    <w:rsid w:val="00321FA9"/>
    <w:rsid w:val="00322218"/>
    <w:rsid w:val="0032222C"/>
    <w:rsid w:val="0032263F"/>
    <w:rsid w:val="00322C5B"/>
    <w:rsid w:val="00323364"/>
    <w:rsid w:val="00323A9E"/>
    <w:rsid w:val="003241EF"/>
    <w:rsid w:val="003243DA"/>
    <w:rsid w:val="0032462C"/>
    <w:rsid w:val="00324AF7"/>
    <w:rsid w:val="00324FD5"/>
    <w:rsid w:val="0032547D"/>
    <w:rsid w:val="003256A8"/>
    <w:rsid w:val="00325748"/>
    <w:rsid w:val="003261E8"/>
    <w:rsid w:val="003263A0"/>
    <w:rsid w:val="00326409"/>
    <w:rsid w:val="003265BD"/>
    <w:rsid w:val="00326C3F"/>
    <w:rsid w:val="00326D2A"/>
    <w:rsid w:val="00326EA4"/>
    <w:rsid w:val="0032716B"/>
    <w:rsid w:val="0032726D"/>
    <w:rsid w:val="00327BD8"/>
    <w:rsid w:val="00327EED"/>
    <w:rsid w:val="00330615"/>
    <w:rsid w:val="003308AA"/>
    <w:rsid w:val="003309A7"/>
    <w:rsid w:val="00330AD6"/>
    <w:rsid w:val="00330BB2"/>
    <w:rsid w:val="00330ECF"/>
    <w:rsid w:val="00331924"/>
    <w:rsid w:val="00331F1F"/>
    <w:rsid w:val="0033215C"/>
    <w:rsid w:val="003324A6"/>
    <w:rsid w:val="003326A3"/>
    <w:rsid w:val="0033291D"/>
    <w:rsid w:val="00332A31"/>
    <w:rsid w:val="00332DE2"/>
    <w:rsid w:val="00332E64"/>
    <w:rsid w:val="003330A5"/>
    <w:rsid w:val="00333306"/>
    <w:rsid w:val="00333BEB"/>
    <w:rsid w:val="00333E87"/>
    <w:rsid w:val="0033450A"/>
    <w:rsid w:val="0033530C"/>
    <w:rsid w:val="0033550A"/>
    <w:rsid w:val="0033589C"/>
    <w:rsid w:val="00335FD0"/>
    <w:rsid w:val="0033618A"/>
    <w:rsid w:val="003363E3"/>
    <w:rsid w:val="00336766"/>
    <w:rsid w:val="00337229"/>
    <w:rsid w:val="003373A4"/>
    <w:rsid w:val="00337599"/>
    <w:rsid w:val="00337930"/>
    <w:rsid w:val="00337E4D"/>
    <w:rsid w:val="00340164"/>
    <w:rsid w:val="00340A17"/>
    <w:rsid w:val="00340DFB"/>
    <w:rsid w:val="00340F3F"/>
    <w:rsid w:val="003410A5"/>
    <w:rsid w:val="00341315"/>
    <w:rsid w:val="00342348"/>
    <w:rsid w:val="00342AED"/>
    <w:rsid w:val="00342D25"/>
    <w:rsid w:val="00342D56"/>
    <w:rsid w:val="00342E3D"/>
    <w:rsid w:val="003434B6"/>
    <w:rsid w:val="003435B3"/>
    <w:rsid w:val="0034383D"/>
    <w:rsid w:val="00343E06"/>
    <w:rsid w:val="0034419B"/>
    <w:rsid w:val="003449B2"/>
    <w:rsid w:val="00344A7E"/>
    <w:rsid w:val="00344EB9"/>
    <w:rsid w:val="003451DB"/>
    <w:rsid w:val="0034552E"/>
    <w:rsid w:val="003457C2"/>
    <w:rsid w:val="00345F6B"/>
    <w:rsid w:val="0034618C"/>
    <w:rsid w:val="003461FB"/>
    <w:rsid w:val="0034630D"/>
    <w:rsid w:val="0034641A"/>
    <w:rsid w:val="00346A43"/>
    <w:rsid w:val="00346A79"/>
    <w:rsid w:val="00347431"/>
    <w:rsid w:val="00347450"/>
    <w:rsid w:val="00347889"/>
    <w:rsid w:val="003479D2"/>
    <w:rsid w:val="00347C55"/>
    <w:rsid w:val="00347D6F"/>
    <w:rsid w:val="00347E14"/>
    <w:rsid w:val="003500EB"/>
    <w:rsid w:val="00350160"/>
    <w:rsid w:val="003506BD"/>
    <w:rsid w:val="003506F6"/>
    <w:rsid w:val="003508F9"/>
    <w:rsid w:val="00350911"/>
    <w:rsid w:val="00350C51"/>
    <w:rsid w:val="00351000"/>
    <w:rsid w:val="00351138"/>
    <w:rsid w:val="003512BA"/>
    <w:rsid w:val="003513FC"/>
    <w:rsid w:val="00351428"/>
    <w:rsid w:val="003519A0"/>
    <w:rsid w:val="003524F8"/>
    <w:rsid w:val="003529D6"/>
    <w:rsid w:val="00352DBD"/>
    <w:rsid w:val="00352E91"/>
    <w:rsid w:val="00352EE3"/>
    <w:rsid w:val="0035300F"/>
    <w:rsid w:val="00353147"/>
    <w:rsid w:val="0035404C"/>
    <w:rsid w:val="00354671"/>
    <w:rsid w:val="00354C8D"/>
    <w:rsid w:val="00354D50"/>
    <w:rsid w:val="00354F75"/>
    <w:rsid w:val="003551DA"/>
    <w:rsid w:val="00355274"/>
    <w:rsid w:val="00355291"/>
    <w:rsid w:val="003555F2"/>
    <w:rsid w:val="00355760"/>
    <w:rsid w:val="003559CF"/>
    <w:rsid w:val="00355BE4"/>
    <w:rsid w:val="00355C7E"/>
    <w:rsid w:val="00356502"/>
    <w:rsid w:val="00356AE0"/>
    <w:rsid w:val="00356D43"/>
    <w:rsid w:val="00356FE5"/>
    <w:rsid w:val="0035790E"/>
    <w:rsid w:val="003579E0"/>
    <w:rsid w:val="00357E5F"/>
    <w:rsid w:val="0036048B"/>
    <w:rsid w:val="003606EF"/>
    <w:rsid w:val="00360973"/>
    <w:rsid w:val="0036098F"/>
    <w:rsid w:val="00360A34"/>
    <w:rsid w:val="00360BB1"/>
    <w:rsid w:val="00361156"/>
    <w:rsid w:val="00361158"/>
    <w:rsid w:val="00361237"/>
    <w:rsid w:val="0036126E"/>
    <w:rsid w:val="00361C0A"/>
    <w:rsid w:val="00361EFD"/>
    <w:rsid w:val="0036205B"/>
    <w:rsid w:val="0036211A"/>
    <w:rsid w:val="00362176"/>
    <w:rsid w:val="00362D16"/>
    <w:rsid w:val="00362EF0"/>
    <w:rsid w:val="0036306C"/>
    <w:rsid w:val="00363124"/>
    <w:rsid w:val="0036323E"/>
    <w:rsid w:val="00363525"/>
    <w:rsid w:val="003637CF"/>
    <w:rsid w:val="003637DA"/>
    <w:rsid w:val="003639D7"/>
    <w:rsid w:val="00363A7C"/>
    <w:rsid w:val="00363DD7"/>
    <w:rsid w:val="00363E24"/>
    <w:rsid w:val="00363FE0"/>
    <w:rsid w:val="00363FF9"/>
    <w:rsid w:val="00364268"/>
    <w:rsid w:val="0036467C"/>
    <w:rsid w:val="003646D0"/>
    <w:rsid w:val="00364B82"/>
    <w:rsid w:val="00364DD3"/>
    <w:rsid w:val="00364F85"/>
    <w:rsid w:val="0036551D"/>
    <w:rsid w:val="003655A0"/>
    <w:rsid w:val="00365AD1"/>
    <w:rsid w:val="00365B7B"/>
    <w:rsid w:val="00365BB5"/>
    <w:rsid w:val="00365CBF"/>
    <w:rsid w:val="00365DEC"/>
    <w:rsid w:val="0036603E"/>
    <w:rsid w:val="003666E9"/>
    <w:rsid w:val="003669AF"/>
    <w:rsid w:val="00366C23"/>
    <w:rsid w:val="0036796F"/>
    <w:rsid w:val="00367B83"/>
    <w:rsid w:val="00370FFE"/>
    <w:rsid w:val="0037141B"/>
    <w:rsid w:val="00371656"/>
    <w:rsid w:val="00371B6B"/>
    <w:rsid w:val="00371B8A"/>
    <w:rsid w:val="00371FA2"/>
    <w:rsid w:val="003726CD"/>
    <w:rsid w:val="00372CC6"/>
    <w:rsid w:val="00372F1C"/>
    <w:rsid w:val="003731BE"/>
    <w:rsid w:val="003735C6"/>
    <w:rsid w:val="003737D9"/>
    <w:rsid w:val="00373A67"/>
    <w:rsid w:val="00373E88"/>
    <w:rsid w:val="00373EE3"/>
    <w:rsid w:val="0037458F"/>
    <w:rsid w:val="00374642"/>
    <w:rsid w:val="0037486D"/>
    <w:rsid w:val="0037542C"/>
    <w:rsid w:val="0037546B"/>
    <w:rsid w:val="00375721"/>
    <w:rsid w:val="003757B4"/>
    <w:rsid w:val="0037582C"/>
    <w:rsid w:val="003759F5"/>
    <w:rsid w:val="00375E07"/>
    <w:rsid w:val="00376151"/>
    <w:rsid w:val="0037635F"/>
    <w:rsid w:val="00376736"/>
    <w:rsid w:val="00376B0D"/>
    <w:rsid w:val="00376D46"/>
    <w:rsid w:val="00376EBE"/>
    <w:rsid w:val="003774E1"/>
    <w:rsid w:val="003776B4"/>
    <w:rsid w:val="00377A33"/>
    <w:rsid w:val="00380381"/>
    <w:rsid w:val="00380586"/>
    <w:rsid w:val="00380D09"/>
    <w:rsid w:val="00380ECC"/>
    <w:rsid w:val="0038131A"/>
    <w:rsid w:val="00381332"/>
    <w:rsid w:val="0038155F"/>
    <w:rsid w:val="00381A65"/>
    <w:rsid w:val="00381A89"/>
    <w:rsid w:val="003821E0"/>
    <w:rsid w:val="00382656"/>
    <w:rsid w:val="00382FE1"/>
    <w:rsid w:val="00383311"/>
    <w:rsid w:val="00383CD7"/>
    <w:rsid w:val="00384AD0"/>
    <w:rsid w:val="00384DA4"/>
    <w:rsid w:val="00384DA7"/>
    <w:rsid w:val="00385167"/>
    <w:rsid w:val="003856AC"/>
    <w:rsid w:val="00385F0A"/>
    <w:rsid w:val="00386199"/>
    <w:rsid w:val="00386604"/>
    <w:rsid w:val="0038689E"/>
    <w:rsid w:val="003868A5"/>
    <w:rsid w:val="00386E92"/>
    <w:rsid w:val="00387166"/>
    <w:rsid w:val="00387214"/>
    <w:rsid w:val="003876D0"/>
    <w:rsid w:val="003877AD"/>
    <w:rsid w:val="003879FC"/>
    <w:rsid w:val="00387A56"/>
    <w:rsid w:val="00387D75"/>
    <w:rsid w:val="003900EF"/>
    <w:rsid w:val="003902BA"/>
    <w:rsid w:val="003902DE"/>
    <w:rsid w:val="00390376"/>
    <w:rsid w:val="003909A1"/>
    <w:rsid w:val="00390A81"/>
    <w:rsid w:val="00390BF9"/>
    <w:rsid w:val="0039101B"/>
    <w:rsid w:val="0039184D"/>
    <w:rsid w:val="003918D1"/>
    <w:rsid w:val="00391BF5"/>
    <w:rsid w:val="00391DCE"/>
    <w:rsid w:val="00391E16"/>
    <w:rsid w:val="00391F0A"/>
    <w:rsid w:val="00392372"/>
    <w:rsid w:val="00392A7E"/>
    <w:rsid w:val="00392D20"/>
    <w:rsid w:val="00393344"/>
    <w:rsid w:val="0039393B"/>
    <w:rsid w:val="00393C9A"/>
    <w:rsid w:val="0039438B"/>
    <w:rsid w:val="003944E1"/>
    <w:rsid w:val="00394A50"/>
    <w:rsid w:val="00394E0D"/>
    <w:rsid w:val="0039550A"/>
    <w:rsid w:val="00395B10"/>
    <w:rsid w:val="00395F04"/>
    <w:rsid w:val="003960DF"/>
    <w:rsid w:val="0039636A"/>
    <w:rsid w:val="003965FE"/>
    <w:rsid w:val="0039699C"/>
    <w:rsid w:val="00396C63"/>
    <w:rsid w:val="00396DAD"/>
    <w:rsid w:val="00397510"/>
    <w:rsid w:val="00397685"/>
    <w:rsid w:val="003976D6"/>
    <w:rsid w:val="0039776D"/>
    <w:rsid w:val="00397C4D"/>
    <w:rsid w:val="00397DB9"/>
    <w:rsid w:val="00397E75"/>
    <w:rsid w:val="003A00D6"/>
    <w:rsid w:val="003A024C"/>
    <w:rsid w:val="003A030C"/>
    <w:rsid w:val="003A032C"/>
    <w:rsid w:val="003A050A"/>
    <w:rsid w:val="003A0F20"/>
    <w:rsid w:val="003A0F9D"/>
    <w:rsid w:val="003A168C"/>
    <w:rsid w:val="003A188A"/>
    <w:rsid w:val="003A196C"/>
    <w:rsid w:val="003A19BE"/>
    <w:rsid w:val="003A1AF7"/>
    <w:rsid w:val="003A1FDF"/>
    <w:rsid w:val="003A25B9"/>
    <w:rsid w:val="003A2656"/>
    <w:rsid w:val="003A29EC"/>
    <w:rsid w:val="003A2AC0"/>
    <w:rsid w:val="003A2AF7"/>
    <w:rsid w:val="003A2FB1"/>
    <w:rsid w:val="003A305D"/>
    <w:rsid w:val="003A3674"/>
    <w:rsid w:val="003A383A"/>
    <w:rsid w:val="003A38FE"/>
    <w:rsid w:val="003A3BA0"/>
    <w:rsid w:val="003A3E6E"/>
    <w:rsid w:val="003A3F36"/>
    <w:rsid w:val="003A40A0"/>
    <w:rsid w:val="003A453C"/>
    <w:rsid w:val="003A47A1"/>
    <w:rsid w:val="003A483B"/>
    <w:rsid w:val="003A4C5D"/>
    <w:rsid w:val="003A5074"/>
    <w:rsid w:val="003A560B"/>
    <w:rsid w:val="003A5B9A"/>
    <w:rsid w:val="003A5E0C"/>
    <w:rsid w:val="003A62B1"/>
    <w:rsid w:val="003A6473"/>
    <w:rsid w:val="003A64D2"/>
    <w:rsid w:val="003A6547"/>
    <w:rsid w:val="003A68ED"/>
    <w:rsid w:val="003A6B16"/>
    <w:rsid w:val="003A7073"/>
    <w:rsid w:val="003A7905"/>
    <w:rsid w:val="003A7DE7"/>
    <w:rsid w:val="003B00D6"/>
    <w:rsid w:val="003B05A6"/>
    <w:rsid w:val="003B05C8"/>
    <w:rsid w:val="003B0625"/>
    <w:rsid w:val="003B0945"/>
    <w:rsid w:val="003B0E35"/>
    <w:rsid w:val="003B0E6F"/>
    <w:rsid w:val="003B1866"/>
    <w:rsid w:val="003B19D1"/>
    <w:rsid w:val="003B1C31"/>
    <w:rsid w:val="003B1FA2"/>
    <w:rsid w:val="003B21C0"/>
    <w:rsid w:val="003B27D7"/>
    <w:rsid w:val="003B2815"/>
    <w:rsid w:val="003B28BC"/>
    <w:rsid w:val="003B2A5F"/>
    <w:rsid w:val="003B2EA6"/>
    <w:rsid w:val="003B313E"/>
    <w:rsid w:val="003B3489"/>
    <w:rsid w:val="003B374B"/>
    <w:rsid w:val="003B42F5"/>
    <w:rsid w:val="003B438E"/>
    <w:rsid w:val="003B4478"/>
    <w:rsid w:val="003B4C69"/>
    <w:rsid w:val="003B52F7"/>
    <w:rsid w:val="003B5F45"/>
    <w:rsid w:val="003B6097"/>
    <w:rsid w:val="003B63AC"/>
    <w:rsid w:val="003B6828"/>
    <w:rsid w:val="003B6955"/>
    <w:rsid w:val="003B72DC"/>
    <w:rsid w:val="003B7421"/>
    <w:rsid w:val="003B7736"/>
    <w:rsid w:val="003B7BA4"/>
    <w:rsid w:val="003C0442"/>
    <w:rsid w:val="003C0BFD"/>
    <w:rsid w:val="003C105C"/>
    <w:rsid w:val="003C1248"/>
    <w:rsid w:val="003C14B6"/>
    <w:rsid w:val="003C18DD"/>
    <w:rsid w:val="003C1A73"/>
    <w:rsid w:val="003C22F9"/>
    <w:rsid w:val="003C26D0"/>
    <w:rsid w:val="003C28C3"/>
    <w:rsid w:val="003C2B72"/>
    <w:rsid w:val="003C2C73"/>
    <w:rsid w:val="003C2CE4"/>
    <w:rsid w:val="003C2D32"/>
    <w:rsid w:val="003C2FC8"/>
    <w:rsid w:val="003C356F"/>
    <w:rsid w:val="003C3C0D"/>
    <w:rsid w:val="003C3F7F"/>
    <w:rsid w:val="003C49D0"/>
    <w:rsid w:val="003C4CDE"/>
    <w:rsid w:val="003C4FC8"/>
    <w:rsid w:val="003C555E"/>
    <w:rsid w:val="003C5B2A"/>
    <w:rsid w:val="003C5CA7"/>
    <w:rsid w:val="003C5EA5"/>
    <w:rsid w:val="003C6051"/>
    <w:rsid w:val="003C614A"/>
    <w:rsid w:val="003C6153"/>
    <w:rsid w:val="003C644E"/>
    <w:rsid w:val="003C645C"/>
    <w:rsid w:val="003C697A"/>
    <w:rsid w:val="003C795B"/>
    <w:rsid w:val="003C7B42"/>
    <w:rsid w:val="003C7E3E"/>
    <w:rsid w:val="003C7E7F"/>
    <w:rsid w:val="003C7F7B"/>
    <w:rsid w:val="003D050E"/>
    <w:rsid w:val="003D05A2"/>
    <w:rsid w:val="003D0604"/>
    <w:rsid w:val="003D0C15"/>
    <w:rsid w:val="003D0D68"/>
    <w:rsid w:val="003D1558"/>
    <w:rsid w:val="003D1B3A"/>
    <w:rsid w:val="003D1DCF"/>
    <w:rsid w:val="003D1E6A"/>
    <w:rsid w:val="003D1EF0"/>
    <w:rsid w:val="003D2125"/>
    <w:rsid w:val="003D24B0"/>
    <w:rsid w:val="003D24E1"/>
    <w:rsid w:val="003D2DC2"/>
    <w:rsid w:val="003D308E"/>
    <w:rsid w:val="003D31C7"/>
    <w:rsid w:val="003D40A8"/>
    <w:rsid w:val="003D423A"/>
    <w:rsid w:val="003D4832"/>
    <w:rsid w:val="003D4864"/>
    <w:rsid w:val="003D4A99"/>
    <w:rsid w:val="003D513A"/>
    <w:rsid w:val="003D5176"/>
    <w:rsid w:val="003D51FC"/>
    <w:rsid w:val="003D56A6"/>
    <w:rsid w:val="003D56C2"/>
    <w:rsid w:val="003D65EF"/>
    <w:rsid w:val="003D676B"/>
    <w:rsid w:val="003D6FE7"/>
    <w:rsid w:val="003D70A5"/>
    <w:rsid w:val="003D72D4"/>
    <w:rsid w:val="003D7356"/>
    <w:rsid w:val="003D73A3"/>
    <w:rsid w:val="003D74CB"/>
    <w:rsid w:val="003D77E1"/>
    <w:rsid w:val="003D7B0E"/>
    <w:rsid w:val="003D7F85"/>
    <w:rsid w:val="003E02B3"/>
    <w:rsid w:val="003E0695"/>
    <w:rsid w:val="003E0CB4"/>
    <w:rsid w:val="003E129D"/>
    <w:rsid w:val="003E15D2"/>
    <w:rsid w:val="003E1604"/>
    <w:rsid w:val="003E16AB"/>
    <w:rsid w:val="003E1A15"/>
    <w:rsid w:val="003E1B1D"/>
    <w:rsid w:val="003E1C30"/>
    <w:rsid w:val="003E1CCD"/>
    <w:rsid w:val="003E2399"/>
    <w:rsid w:val="003E2522"/>
    <w:rsid w:val="003E2F6B"/>
    <w:rsid w:val="003E3CB9"/>
    <w:rsid w:val="003E3FC9"/>
    <w:rsid w:val="003E4792"/>
    <w:rsid w:val="003E4E6D"/>
    <w:rsid w:val="003E4F12"/>
    <w:rsid w:val="003E525A"/>
    <w:rsid w:val="003E53B6"/>
    <w:rsid w:val="003E546F"/>
    <w:rsid w:val="003E55D2"/>
    <w:rsid w:val="003E5967"/>
    <w:rsid w:val="003E5C29"/>
    <w:rsid w:val="003E6894"/>
    <w:rsid w:val="003E6A32"/>
    <w:rsid w:val="003E7290"/>
    <w:rsid w:val="003E77B5"/>
    <w:rsid w:val="003E7F5B"/>
    <w:rsid w:val="003F00C1"/>
    <w:rsid w:val="003F029A"/>
    <w:rsid w:val="003F0993"/>
    <w:rsid w:val="003F0A71"/>
    <w:rsid w:val="003F12A8"/>
    <w:rsid w:val="003F12DA"/>
    <w:rsid w:val="003F131F"/>
    <w:rsid w:val="003F13AB"/>
    <w:rsid w:val="003F1C3A"/>
    <w:rsid w:val="003F20F6"/>
    <w:rsid w:val="003F21F1"/>
    <w:rsid w:val="003F230C"/>
    <w:rsid w:val="003F25A2"/>
    <w:rsid w:val="003F2804"/>
    <w:rsid w:val="003F298A"/>
    <w:rsid w:val="003F31AC"/>
    <w:rsid w:val="003F3771"/>
    <w:rsid w:val="003F37C5"/>
    <w:rsid w:val="003F3A7D"/>
    <w:rsid w:val="003F3AD5"/>
    <w:rsid w:val="003F3B37"/>
    <w:rsid w:val="003F3DAD"/>
    <w:rsid w:val="003F4B01"/>
    <w:rsid w:val="003F4D2C"/>
    <w:rsid w:val="003F5C7C"/>
    <w:rsid w:val="003F5D68"/>
    <w:rsid w:val="003F686B"/>
    <w:rsid w:val="003F6B83"/>
    <w:rsid w:val="003F6C4D"/>
    <w:rsid w:val="003F6CB2"/>
    <w:rsid w:val="003F75E6"/>
    <w:rsid w:val="003F7713"/>
    <w:rsid w:val="003F7BDF"/>
    <w:rsid w:val="00400019"/>
    <w:rsid w:val="004002DD"/>
    <w:rsid w:val="004008C1"/>
    <w:rsid w:val="00400A5B"/>
    <w:rsid w:val="00400E1C"/>
    <w:rsid w:val="00401232"/>
    <w:rsid w:val="00401259"/>
    <w:rsid w:val="00401399"/>
    <w:rsid w:val="004016C9"/>
    <w:rsid w:val="00401B79"/>
    <w:rsid w:val="00401E21"/>
    <w:rsid w:val="00401E55"/>
    <w:rsid w:val="00402037"/>
    <w:rsid w:val="004023F6"/>
    <w:rsid w:val="00402616"/>
    <w:rsid w:val="00402776"/>
    <w:rsid w:val="00402AC4"/>
    <w:rsid w:val="004030E9"/>
    <w:rsid w:val="004036F9"/>
    <w:rsid w:val="00403897"/>
    <w:rsid w:val="00403E78"/>
    <w:rsid w:val="00403F0E"/>
    <w:rsid w:val="00404B4D"/>
    <w:rsid w:val="00404BCD"/>
    <w:rsid w:val="00404CAB"/>
    <w:rsid w:val="00404D67"/>
    <w:rsid w:val="0040505D"/>
    <w:rsid w:val="00405152"/>
    <w:rsid w:val="00405507"/>
    <w:rsid w:val="004055A9"/>
    <w:rsid w:val="00406495"/>
    <w:rsid w:val="00406ADF"/>
    <w:rsid w:val="00406CC9"/>
    <w:rsid w:val="00406DEC"/>
    <w:rsid w:val="00406F13"/>
    <w:rsid w:val="00407058"/>
    <w:rsid w:val="004072C8"/>
    <w:rsid w:val="004073F9"/>
    <w:rsid w:val="004074A6"/>
    <w:rsid w:val="004078D0"/>
    <w:rsid w:val="00407B03"/>
    <w:rsid w:val="00407EB7"/>
    <w:rsid w:val="00407FCB"/>
    <w:rsid w:val="00407FDF"/>
    <w:rsid w:val="004100B3"/>
    <w:rsid w:val="00410328"/>
    <w:rsid w:val="0041047A"/>
    <w:rsid w:val="00410D8B"/>
    <w:rsid w:val="00410DB2"/>
    <w:rsid w:val="00410F88"/>
    <w:rsid w:val="00411014"/>
    <w:rsid w:val="004111D8"/>
    <w:rsid w:val="004117DB"/>
    <w:rsid w:val="004117DE"/>
    <w:rsid w:val="00411BDA"/>
    <w:rsid w:val="00411D87"/>
    <w:rsid w:val="00411EEA"/>
    <w:rsid w:val="0041216B"/>
    <w:rsid w:val="004126B9"/>
    <w:rsid w:val="00413F50"/>
    <w:rsid w:val="004148BF"/>
    <w:rsid w:val="00415333"/>
    <w:rsid w:val="0041626E"/>
    <w:rsid w:val="004163A6"/>
    <w:rsid w:val="00416446"/>
    <w:rsid w:val="004166BF"/>
    <w:rsid w:val="00416AC6"/>
    <w:rsid w:val="00416F1A"/>
    <w:rsid w:val="004179E9"/>
    <w:rsid w:val="00417DF7"/>
    <w:rsid w:val="00420082"/>
    <w:rsid w:val="0042043F"/>
    <w:rsid w:val="0042092A"/>
    <w:rsid w:val="00421213"/>
    <w:rsid w:val="004215A9"/>
    <w:rsid w:val="00421955"/>
    <w:rsid w:val="00421E36"/>
    <w:rsid w:val="004223E7"/>
    <w:rsid w:val="00422A9B"/>
    <w:rsid w:val="00422D12"/>
    <w:rsid w:val="00423126"/>
    <w:rsid w:val="0042316E"/>
    <w:rsid w:val="004237FB"/>
    <w:rsid w:val="0042429F"/>
    <w:rsid w:val="004242FF"/>
    <w:rsid w:val="004244C8"/>
    <w:rsid w:val="004246C7"/>
    <w:rsid w:val="00424ABF"/>
    <w:rsid w:val="00424B50"/>
    <w:rsid w:val="00424EBC"/>
    <w:rsid w:val="00425764"/>
    <w:rsid w:val="00425A76"/>
    <w:rsid w:val="00426009"/>
    <w:rsid w:val="004263AC"/>
    <w:rsid w:val="004264FB"/>
    <w:rsid w:val="00426694"/>
    <w:rsid w:val="00426902"/>
    <w:rsid w:val="00426CF8"/>
    <w:rsid w:val="00426DB4"/>
    <w:rsid w:val="00427037"/>
    <w:rsid w:val="004270AE"/>
    <w:rsid w:val="004274B6"/>
    <w:rsid w:val="00427C6A"/>
    <w:rsid w:val="00427DBD"/>
    <w:rsid w:val="004301A9"/>
    <w:rsid w:val="00430626"/>
    <w:rsid w:val="004306D6"/>
    <w:rsid w:val="0043076F"/>
    <w:rsid w:val="00430963"/>
    <w:rsid w:val="00431037"/>
    <w:rsid w:val="00431788"/>
    <w:rsid w:val="004319D0"/>
    <w:rsid w:val="00432500"/>
    <w:rsid w:val="0043252E"/>
    <w:rsid w:val="0043254C"/>
    <w:rsid w:val="00432ECF"/>
    <w:rsid w:val="0043309E"/>
    <w:rsid w:val="004336D7"/>
    <w:rsid w:val="00433949"/>
    <w:rsid w:val="00433ABB"/>
    <w:rsid w:val="00434153"/>
    <w:rsid w:val="004348D2"/>
    <w:rsid w:val="00434DD0"/>
    <w:rsid w:val="00435732"/>
    <w:rsid w:val="00436577"/>
    <w:rsid w:val="00436C3C"/>
    <w:rsid w:val="004372BC"/>
    <w:rsid w:val="00437591"/>
    <w:rsid w:val="004375CC"/>
    <w:rsid w:val="004376E5"/>
    <w:rsid w:val="00437D76"/>
    <w:rsid w:val="0044053D"/>
    <w:rsid w:val="00440AD2"/>
    <w:rsid w:val="00440D81"/>
    <w:rsid w:val="00441357"/>
    <w:rsid w:val="00441545"/>
    <w:rsid w:val="0044158E"/>
    <w:rsid w:val="00441E9D"/>
    <w:rsid w:val="00442DB7"/>
    <w:rsid w:val="00442E34"/>
    <w:rsid w:val="00443036"/>
    <w:rsid w:val="004436BC"/>
    <w:rsid w:val="0044382B"/>
    <w:rsid w:val="004438F5"/>
    <w:rsid w:val="00443BC5"/>
    <w:rsid w:val="004448E3"/>
    <w:rsid w:val="00444E57"/>
    <w:rsid w:val="004451C8"/>
    <w:rsid w:val="004454A1"/>
    <w:rsid w:val="00445729"/>
    <w:rsid w:val="00445858"/>
    <w:rsid w:val="00445980"/>
    <w:rsid w:val="00445A17"/>
    <w:rsid w:val="00445AF6"/>
    <w:rsid w:val="00445BE4"/>
    <w:rsid w:val="00445C10"/>
    <w:rsid w:val="00445CD8"/>
    <w:rsid w:val="004466DE"/>
    <w:rsid w:val="0044681B"/>
    <w:rsid w:val="004468CF"/>
    <w:rsid w:val="00446B96"/>
    <w:rsid w:val="00446C65"/>
    <w:rsid w:val="00446DF5"/>
    <w:rsid w:val="00447456"/>
    <w:rsid w:val="00447749"/>
    <w:rsid w:val="004479A7"/>
    <w:rsid w:val="00447A19"/>
    <w:rsid w:val="004502B4"/>
    <w:rsid w:val="004509A1"/>
    <w:rsid w:val="00450E72"/>
    <w:rsid w:val="00450F1F"/>
    <w:rsid w:val="0045102F"/>
    <w:rsid w:val="004515F7"/>
    <w:rsid w:val="0045164B"/>
    <w:rsid w:val="00451D28"/>
    <w:rsid w:val="00452D49"/>
    <w:rsid w:val="00452DC1"/>
    <w:rsid w:val="0045377E"/>
    <w:rsid w:val="004538DC"/>
    <w:rsid w:val="00453925"/>
    <w:rsid w:val="00453B88"/>
    <w:rsid w:val="00453BE4"/>
    <w:rsid w:val="00453D05"/>
    <w:rsid w:val="004544EA"/>
    <w:rsid w:val="004549AA"/>
    <w:rsid w:val="00454F4D"/>
    <w:rsid w:val="004560C4"/>
    <w:rsid w:val="0045641D"/>
    <w:rsid w:val="00456F6D"/>
    <w:rsid w:val="00457298"/>
    <w:rsid w:val="00457C90"/>
    <w:rsid w:val="00457ECC"/>
    <w:rsid w:val="00461308"/>
    <w:rsid w:val="00461334"/>
    <w:rsid w:val="00461DA8"/>
    <w:rsid w:val="004623AC"/>
    <w:rsid w:val="0046252B"/>
    <w:rsid w:val="00462A3E"/>
    <w:rsid w:val="00462D00"/>
    <w:rsid w:val="00462ECE"/>
    <w:rsid w:val="00462F3B"/>
    <w:rsid w:val="00462FE7"/>
    <w:rsid w:val="00463091"/>
    <w:rsid w:val="004630FB"/>
    <w:rsid w:val="00463137"/>
    <w:rsid w:val="0046346E"/>
    <w:rsid w:val="00463D09"/>
    <w:rsid w:val="00463DE3"/>
    <w:rsid w:val="00464016"/>
    <w:rsid w:val="00464299"/>
    <w:rsid w:val="00464397"/>
    <w:rsid w:val="004643CC"/>
    <w:rsid w:val="00464491"/>
    <w:rsid w:val="00464A92"/>
    <w:rsid w:val="004650EE"/>
    <w:rsid w:val="00465C6E"/>
    <w:rsid w:val="0046635A"/>
    <w:rsid w:val="00466397"/>
    <w:rsid w:val="0046642F"/>
    <w:rsid w:val="00466609"/>
    <w:rsid w:val="0046676B"/>
    <w:rsid w:val="00466941"/>
    <w:rsid w:val="00467344"/>
    <w:rsid w:val="0046771B"/>
    <w:rsid w:val="0046791E"/>
    <w:rsid w:val="00467B18"/>
    <w:rsid w:val="00467B8D"/>
    <w:rsid w:val="00467D2A"/>
    <w:rsid w:val="004702D2"/>
    <w:rsid w:val="004706F0"/>
    <w:rsid w:val="004708B6"/>
    <w:rsid w:val="00471626"/>
    <w:rsid w:val="00471782"/>
    <w:rsid w:val="004718A5"/>
    <w:rsid w:val="004722BF"/>
    <w:rsid w:val="0047250D"/>
    <w:rsid w:val="00472D59"/>
    <w:rsid w:val="00472ED0"/>
    <w:rsid w:val="00473497"/>
    <w:rsid w:val="004738EE"/>
    <w:rsid w:val="00473DB2"/>
    <w:rsid w:val="00473F74"/>
    <w:rsid w:val="004743A6"/>
    <w:rsid w:val="004747F4"/>
    <w:rsid w:val="00474814"/>
    <w:rsid w:val="00474B1B"/>
    <w:rsid w:val="00474EB8"/>
    <w:rsid w:val="0047535A"/>
    <w:rsid w:val="00475866"/>
    <w:rsid w:val="00475AD4"/>
    <w:rsid w:val="0047622D"/>
    <w:rsid w:val="00476819"/>
    <w:rsid w:val="0047692A"/>
    <w:rsid w:val="00476DA8"/>
    <w:rsid w:val="00476EEF"/>
    <w:rsid w:val="004778C0"/>
    <w:rsid w:val="00480095"/>
    <w:rsid w:val="0048031D"/>
    <w:rsid w:val="00480979"/>
    <w:rsid w:val="00480C91"/>
    <w:rsid w:val="00480F2E"/>
    <w:rsid w:val="00480FD2"/>
    <w:rsid w:val="00481258"/>
    <w:rsid w:val="0048139D"/>
    <w:rsid w:val="00481419"/>
    <w:rsid w:val="004814CF"/>
    <w:rsid w:val="00481510"/>
    <w:rsid w:val="0048163B"/>
    <w:rsid w:val="004819C2"/>
    <w:rsid w:val="004819D3"/>
    <w:rsid w:val="004823EA"/>
    <w:rsid w:val="00483171"/>
    <w:rsid w:val="004831BB"/>
    <w:rsid w:val="004831EE"/>
    <w:rsid w:val="004836D0"/>
    <w:rsid w:val="00483753"/>
    <w:rsid w:val="00483826"/>
    <w:rsid w:val="00483B0D"/>
    <w:rsid w:val="00483D3F"/>
    <w:rsid w:val="00484137"/>
    <w:rsid w:val="00484806"/>
    <w:rsid w:val="00484F1A"/>
    <w:rsid w:val="00485096"/>
    <w:rsid w:val="00485455"/>
    <w:rsid w:val="00485C9F"/>
    <w:rsid w:val="00485E40"/>
    <w:rsid w:val="00485F27"/>
    <w:rsid w:val="00485FF5"/>
    <w:rsid w:val="004860B3"/>
    <w:rsid w:val="004862BD"/>
    <w:rsid w:val="00486C04"/>
    <w:rsid w:val="0048707B"/>
    <w:rsid w:val="004870BE"/>
    <w:rsid w:val="00487281"/>
    <w:rsid w:val="004873FF"/>
    <w:rsid w:val="004878AA"/>
    <w:rsid w:val="004879FA"/>
    <w:rsid w:val="00487F14"/>
    <w:rsid w:val="004901FF"/>
    <w:rsid w:val="0049028B"/>
    <w:rsid w:val="00490449"/>
    <w:rsid w:val="00490703"/>
    <w:rsid w:val="00490ADE"/>
    <w:rsid w:val="00490B31"/>
    <w:rsid w:val="00491381"/>
    <w:rsid w:val="004913F9"/>
    <w:rsid w:val="00491564"/>
    <w:rsid w:val="0049164C"/>
    <w:rsid w:val="0049179D"/>
    <w:rsid w:val="00491B3E"/>
    <w:rsid w:val="00492042"/>
    <w:rsid w:val="004921C2"/>
    <w:rsid w:val="004926D2"/>
    <w:rsid w:val="004926E9"/>
    <w:rsid w:val="00492950"/>
    <w:rsid w:val="00492F01"/>
    <w:rsid w:val="00493825"/>
    <w:rsid w:val="00493EB0"/>
    <w:rsid w:val="004941F7"/>
    <w:rsid w:val="00494A1F"/>
    <w:rsid w:val="00494D3D"/>
    <w:rsid w:val="00495469"/>
    <w:rsid w:val="004954FD"/>
    <w:rsid w:val="00495BD1"/>
    <w:rsid w:val="00495C02"/>
    <w:rsid w:val="00495E49"/>
    <w:rsid w:val="00495EAB"/>
    <w:rsid w:val="00495F66"/>
    <w:rsid w:val="00496755"/>
    <w:rsid w:val="0049684B"/>
    <w:rsid w:val="00496A00"/>
    <w:rsid w:val="00496A4D"/>
    <w:rsid w:val="00496B1B"/>
    <w:rsid w:val="00496CF9"/>
    <w:rsid w:val="00496E99"/>
    <w:rsid w:val="004973AA"/>
    <w:rsid w:val="004974EE"/>
    <w:rsid w:val="00497551"/>
    <w:rsid w:val="00497B15"/>
    <w:rsid w:val="004A059B"/>
    <w:rsid w:val="004A0BF2"/>
    <w:rsid w:val="004A1397"/>
    <w:rsid w:val="004A1AF8"/>
    <w:rsid w:val="004A1DE0"/>
    <w:rsid w:val="004A1EBA"/>
    <w:rsid w:val="004A21E1"/>
    <w:rsid w:val="004A2ACF"/>
    <w:rsid w:val="004A3006"/>
    <w:rsid w:val="004A36D5"/>
    <w:rsid w:val="004A3885"/>
    <w:rsid w:val="004A3BF1"/>
    <w:rsid w:val="004A3C64"/>
    <w:rsid w:val="004A3ED5"/>
    <w:rsid w:val="004A405C"/>
    <w:rsid w:val="004A40CB"/>
    <w:rsid w:val="004A4201"/>
    <w:rsid w:val="004A4454"/>
    <w:rsid w:val="004A561E"/>
    <w:rsid w:val="004A5769"/>
    <w:rsid w:val="004A5E0B"/>
    <w:rsid w:val="004A6098"/>
    <w:rsid w:val="004A6165"/>
    <w:rsid w:val="004A6386"/>
    <w:rsid w:val="004A67D0"/>
    <w:rsid w:val="004A6B69"/>
    <w:rsid w:val="004A6FDC"/>
    <w:rsid w:val="004A7016"/>
    <w:rsid w:val="004A74A9"/>
    <w:rsid w:val="004B0472"/>
    <w:rsid w:val="004B052B"/>
    <w:rsid w:val="004B0B09"/>
    <w:rsid w:val="004B0EEA"/>
    <w:rsid w:val="004B0FA8"/>
    <w:rsid w:val="004B10BE"/>
    <w:rsid w:val="004B10ED"/>
    <w:rsid w:val="004B1F87"/>
    <w:rsid w:val="004B219F"/>
    <w:rsid w:val="004B286B"/>
    <w:rsid w:val="004B3346"/>
    <w:rsid w:val="004B3BA6"/>
    <w:rsid w:val="004B41D4"/>
    <w:rsid w:val="004B41DD"/>
    <w:rsid w:val="004B4256"/>
    <w:rsid w:val="004B466A"/>
    <w:rsid w:val="004B49F0"/>
    <w:rsid w:val="004B4A0F"/>
    <w:rsid w:val="004B4B16"/>
    <w:rsid w:val="004B4D72"/>
    <w:rsid w:val="004B50EA"/>
    <w:rsid w:val="004B5A08"/>
    <w:rsid w:val="004B5AD8"/>
    <w:rsid w:val="004B5AFC"/>
    <w:rsid w:val="004B5D46"/>
    <w:rsid w:val="004B5FCA"/>
    <w:rsid w:val="004B64C8"/>
    <w:rsid w:val="004B652F"/>
    <w:rsid w:val="004B6624"/>
    <w:rsid w:val="004B71BC"/>
    <w:rsid w:val="004B7641"/>
    <w:rsid w:val="004B7DCC"/>
    <w:rsid w:val="004C01F9"/>
    <w:rsid w:val="004C02C0"/>
    <w:rsid w:val="004C0538"/>
    <w:rsid w:val="004C0663"/>
    <w:rsid w:val="004C0B4E"/>
    <w:rsid w:val="004C0D13"/>
    <w:rsid w:val="004C132B"/>
    <w:rsid w:val="004C222A"/>
    <w:rsid w:val="004C222B"/>
    <w:rsid w:val="004C2B66"/>
    <w:rsid w:val="004C2BEB"/>
    <w:rsid w:val="004C33C6"/>
    <w:rsid w:val="004C33EF"/>
    <w:rsid w:val="004C350F"/>
    <w:rsid w:val="004C38AD"/>
    <w:rsid w:val="004C3BC1"/>
    <w:rsid w:val="004C3D5F"/>
    <w:rsid w:val="004C3F11"/>
    <w:rsid w:val="004C41EF"/>
    <w:rsid w:val="004C444A"/>
    <w:rsid w:val="004C4597"/>
    <w:rsid w:val="004C4888"/>
    <w:rsid w:val="004C48C2"/>
    <w:rsid w:val="004C4D49"/>
    <w:rsid w:val="004C4D89"/>
    <w:rsid w:val="004C4D96"/>
    <w:rsid w:val="004C4DC3"/>
    <w:rsid w:val="004C4EAF"/>
    <w:rsid w:val="004C520A"/>
    <w:rsid w:val="004C529D"/>
    <w:rsid w:val="004C5AD8"/>
    <w:rsid w:val="004C5F34"/>
    <w:rsid w:val="004C6035"/>
    <w:rsid w:val="004C6257"/>
    <w:rsid w:val="004C62EB"/>
    <w:rsid w:val="004C634B"/>
    <w:rsid w:val="004C67B9"/>
    <w:rsid w:val="004C68DC"/>
    <w:rsid w:val="004C6B45"/>
    <w:rsid w:val="004C6C3D"/>
    <w:rsid w:val="004C7235"/>
    <w:rsid w:val="004C7411"/>
    <w:rsid w:val="004C769C"/>
    <w:rsid w:val="004C7733"/>
    <w:rsid w:val="004C7939"/>
    <w:rsid w:val="004C7D4B"/>
    <w:rsid w:val="004C7DA3"/>
    <w:rsid w:val="004D018B"/>
    <w:rsid w:val="004D0853"/>
    <w:rsid w:val="004D0EB4"/>
    <w:rsid w:val="004D15AF"/>
    <w:rsid w:val="004D1DA5"/>
    <w:rsid w:val="004D228A"/>
    <w:rsid w:val="004D2761"/>
    <w:rsid w:val="004D28F1"/>
    <w:rsid w:val="004D2A34"/>
    <w:rsid w:val="004D321D"/>
    <w:rsid w:val="004D34C9"/>
    <w:rsid w:val="004D3C38"/>
    <w:rsid w:val="004D4293"/>
    <w:rsid w:val="004D4C72"/>
    <w:rsid w:val="004D4FB2"/>
    <w:rsid w:val="004D5003"/>
    <w:rsid w:val="004D51C0"/>
    <w:rsid w:val="004D5DE4"/>
    <w:rsid w:val="004D5F07"/>
    <w:rsid w:val="004D5F80"/>
    <w:rsid w:val="004D6069"/>
    <w:rsid w:val="004D649D"/>
    <w:rsid w:val="004D69E6"/>
    <w:rsid w:val="004D6D76"/>
    <w:rsid w:val="004D6E35"/>
    <w:rsid w:val="004D7312"/>
    <w:rsid w:val="004D7749"/>
    <w:rsid w:val="004D79A5"/>
    <w:rsid w:val="004E0142"/>
    <w:rsid w:val="004E0300"/>
    <w:rsid w:val="004E0B25"/>
    <w:rsid w:val="004E0DA7"/>
    <w:rsid w:val="004E1310"/>
    <w:rsid w:val="004E1501"/>
    <w:rsid w:val="004E1512"/>
    <w:rsid w:val="004E2094"/>
    <w:rsid w:val="004E2C4A"/>
    <w:rsid w:val="004E2C6A"/>
    <w:rsid w:val="004E2CBF"/>
    <w:rsid w:val="004E2EEA"/>
    <w:rsid w:val="004E2F03"/>
    <w:rsid w:val="004E2F9B"/>
    <w:rsid w:val="004E30B1"/>
    <w:rsid w:val="004E311D"/>
    <w:rsid w:val="004E33BB"/>
    <w:rsid w:val="004E3A82"/>
    <w:rsid w:val="004E3D98"/>
    <w:rsid w:val="004E461C"/>
    <w:rsid w:val="004E48E9"/>
    <w:rsid w:val="004E4E69"/>
    <w:rsid w:val="004E52E4"/>
    <w:rsid w:val="004E53D3"/>
    <w:rsid w:val="004E565D"/>
    <w:rsid w:val="004E56F1"/>
    <w:rsid w:val="004E5E81"/>
    <w:rsid w:val="004E5F09"/>
    <w:rsid w:val="004E65E0"/>
    <w:rsid w:val="004E694A"/>
    <w:rsid w:val="004E6EBE"/>
    <w:rsid w:val="004E71B5"/>
    <w:rsid w:val="004E7839"/>
    <w:rsid w:val="004E79E5"/>
    <w:rsid w:val="004E7A41"/>
    <w:rsid w:val="004E7DA6"/>
    <w:rsid w:val="004E7EE5"/>
    <w:rsid w:val="004E7EFB"/>
    <w:rsid w:val="004E7FD9"/>
    <w:rsid w:val="004F016E"/>
    <w:rsid w:val="004F06F7"/>
    <w:rsid w:val="004F0E7F"/>
    <w:rsid w:val="004F15AC"/>
    <w:rsid w:val="004F24A4"/>
    <w:rsid w:val="004F2550"/>
    <w:rsid w:val="004F28F5"/>
    <w:rsid w:val="004F2929"/>
    <w:rsid w:val="004F2D38"/>
    <w:rsid w:val="004F3126"/>
    <w:rsid w:val="004F320C"/>
    <w:rsid w:val="004F3229"/>
    <w:rsid w:val="004F3352"/>
    <w:rsid w:val="004F34AE"/>
    <w:rsid w:val="004F3619"/>
    <w:rsid w:val="004F3656"/>
    <w:rsid w:val="004F38EF"/>
    <w:rsid w:val="004F395C"/>
    <w:rsid w:val="004F3B3C"/>
    <w:rsid w:val="004F3CFD"/>
    <w:rsid w:val="004F4043"/>
    <w:rsid w:val="004F43E3"/>
    <w:rsid w:val="004F4641"/>
    <w:rsid w:val="004F4DE3"/>
    <w:rsid w:val="004F4F12"/>
    <w:rsid w:val="004F4F4B"/>
    <w:rsid w:val="004F5012"/>
    <w:rsid w:val="004F51DB"/>
    <w:rsid w:val="004F52DB"/>
    <w:rsid w:val="004F536B"/>
    <w:rsid w:val="004F571D"/>
    <w:rsid w:val="004F5D9F"/>
    <w:rsid w:val="004F655F"/>
    <w:rsid w:val="004F68E1"/>
    <w:rsid w:val="004F6940"/>
    <w:rsid w:val="004F6C10"/>
    <w:rsid w:val="004F6EE8"/>
    <w:rsid w:val="004F6EED"/>
    <w:rsid w:val="004F7386"/>
    <w:rsid w:val="004F7462"/>
    <w:rsid w:val="004F759A"/>
    <w:rsid w:val="004F7913"/>
    <w:rsid w:val="004F7B33"/>
    <w:rsid w:val="004F7C4F"/>
    <w:rsid w:val="004F7E92"/>
    <w:rsid w:val="00500B10"/>
    <w:rsid w:val="00500F55"/>
    <w:rsid w:val="00500FC4"/>
    <w:rsid w:val="005013B9"/>
    <w:rsid w:val="00501613"/>
    <w:rsid w:val="00501ACA"/>
    <w:rsid w:val="00501AEB"/>
    <w:rsid w:val="00501AFE"/>
    <w:rsid w:val="00501BBC"/>
    <w:rsid w:val="00501D84"/>
    <w:rsid w:val="00501E0F"/>
    <w:rsid w:val="00501FDC"/>
    <w:rsid w:val="00502061"/>
    <w:rsid w:val="00502234"/>
    <w:rsid w:val="0050245D"/>
    <w:rsid w:val="005024A3"/>
    <w:rsid w:val="005027A1"/>
    <w:rsid w:val="00502873"/>
    <w:rsid w:val="00502EC7"/>
    <w:rsid w:val="00503254"/>
    <w:rsid w:val="005033D2"/>
    <w:rsid w:val="0050469B"/>
    <w:rsid w:val="00504941"/>
    <w:rsid w:val="00504C60"/>
    <w:rsid w:val="0050501F"/>
    <w:rsid w:val="00505358"/>
    <w:rsid w:val="0050538E"/>
    <w:rsid w:val="005058B3"/>
    <w:rsid w:val="00505A1F"/>
    <w:rsid w:val="00505B0D"/>
    <w:rsid w:val="0050652C"/>
    <w:rsid w:val="0050661E"/>
    <w:rsid w:val="00506CBA"/>
    <w:rsid w:val="00506CC3"/>
    <w:rsid w:val="00506D16"/>
    <w:rsid w:val="005071DA"/>
    <w:rsid w:val="0050752B"/>
    <w:rsid w:val="005079EA"/>
    <w:rsid w:val="00507AC2"/>
    <w:rsid w:val="00507DEE"/>
    <w:rsid w:val="005102C1"/>
    <w:rsid w:val="0051063C"/>
    <w:rsid w:val="00510752"/>
    <w:rsid w:val="00510900"/>
    <w:rsid w:val="00510A93"/>
    <w:rsid w:val="00510AAE"/>
    <w:rsid w:val="00510C41"/>
    <w:rsid w:val="00510C6D"/>
    <w:rsid w:val="0051100A"/>
    <w:rsid w:val="00511123"/>
    <w:rsid w:val="005113A2"/>
    <w:rsid w:val="005116F6"/>
    <w:rsid w:val="005117F9"/>
    <w:rsid w:val="00511A29"/>
    <w:rsid w:val="00511A59"/>
    <w:rsid w:val="00511C00"/>
    <w:rsid w:val="00511E95"/>
    <w:rsid w:val="00512641"/>
    <w:rsid w:val="00512808"/>
    <w:rsid w:val="005129E3"/>
    <w:rsid w:val="005129F5"/>
    <w:rsid w:val="00513B91"/>
    <w:rsid w:val="005142EA"/>
    <w:rsid w:val="005144CA"/>
    <w:rsid w:val="00514C4E"/>
    <w:rsid w:val="00514F82"/>
    <w:rsid w:val="00515470"/>
    <w:rsid w:val="005156FE"/>
    <w:rsid w:val="00515836"/>
    <w:rsid w:val="0051599C"/>
    <w:rsid w:val="00515A38"/>
    <w:rsid w:val="00515B46"/>
    <w:rsid w:val="0051606A"/>
    <w:rsid w:val="005163A9"/>
    <w:rsid w:val="00516454"/>
    <w:rsid w:val="00516632"/>
    <w:rsid w:val="00516928"/>
    <w:rsid w:val="00516EEB"/>
    <w:rsid w:val="00516FFA"/>
    <w:rsid w:val="00517919"/>
    <w:rsid w:val="005179D9"/>
    <w:rsid w:val="00517A07"/>
    <w:rsid w:val="00517C0F"/>
    <w:rsid w:val="00517C54"/>
    <w:rsid w:val="0052017D"/>
    <w:rsid w:val="005204A0"/>
    <w:rsid w:val="005209BE"/>
    <w:rsid w:val="00520C0F"/>
    <w:rsid w:val="00520E6F"/>
    <w:rsid w:val="00520F40"/>
    <w:rsid w:val="0052160C"/>
    <w:rsid w:val="005217B6"/>
    <w:rsid w:val="00521C1F"/>
    <w:rsid w:val="00521EA2"/>
    <w:rsid w:val="00522025"/>
    <w:rsid w:val="00522F98"/>
    <w:rsid w:val="00523170"/>
    <w:rsid w:val="00523AF1"/>
    <w:rsid w:val="0052465B"/>
    <w:rsid w:val="005247E8"/>
    <w:rsid w:val="00524AE6"/>
    <w:rsid w:val="00524F54"/>
    <w:rsid w:val="00525A05"/>
    <w:rsid w:val="00525AF8"/>
    <w:rsid w:val="00525BC3"/>
    <w:rsid w:val="00525C5A"/>
    <w:rsid w:val="00525E89"/>
    <w:rsid w:val="00526100"/>
    <w:rsid w:val="005263E5"/>
    <w:rsid w:val="005264BF"/>
    <w:rsid w:val="005269B6"/>
    <w:rsid w:val="00526D09"/>
    <w:rsid w:val="00526EC6"/>
    <w:rsid w:val="00527125"/>
    <w:rsid w:val="0052721F"/>
    <w:rsid w:val="00527251"/>
    <w:rsid w:val="00527C29"/>
    <w:rsid w:val="00527FF1"/>
    <w:rsid w:val="005301B7"/>
    <w:rsid w:val="00530D61"/>
    <w:rsid w:val="00530E91"/>
    <w:rsid w:val="00530ECD"/>
    <w:rsid w:val="00531218"/>
    <w:rsid w:val="00531343"/>
    <w:rsid w:val="0053143D"/>
    <w:rsid w:val="00531461"/>
    <w:rsid w:val="00531DD6"/>
    <w:rsid w:val="005320A9"/>
    <w:rsid w:val="0053234C"/>
    <w:rsid w:val="005325A6"/>
    <w:rsid w:val="0053262E"/>
    <w:rsid w:val="00532785"/>
    <w:rsid w:val="0053280B"/>
    <w:rsid w:val="00532B2B"/>
    <w:rsid w:val="00532F24"/>
    <w:rsid w:val="005330C3"/>
    <w:rsid w:val="005330D3"/>
    <w:rsid w:val="005330DF"/>
    <w:rsid w:val="00533197"/>
    <w:rsid w:val="0053354D"/>
    <w:rsid w:val="005336E6"/>
    <w:rsid w:val="00533A2A"/>
    <w:rsid w:val="00533D91"/>
    <w:rsid w:val="00533FAD"/>
    <w:rsid w:val="005343E2"/>
    <w:rsid w:val="005344A7"/>
    <w:rsid w:val="00534515"/>
    <w:rsid w:val="00534691"/>
    <w:rsid w:val="0053494A"/>
    <w:rsid w:val="00534AFA"/>
    <w:rsid w:val="00534F4B"/>
    <w:rsid w:val="00535555"/>
    <w:rsid w:val="005359A9"/>
    <w:rsid w:val="00535B4D"/>
    <w:rsid w:val="0053629A"/>
    <w:rsid w:val="005365E7"/>
    <w:rsid w:val="00536821"/>
    <w:rsid w:val="00537440"/>
    <w:rsid w:val="005374A2"/>
    <w:rsid w:val="00537593"/>
    <w:rsid w:val="0053770C"/>
    <w:rsid w:val="0053777B"/>
    <w:rsid w:val="005377B4"/>
    <w:rsid w:val="005377E2"/>
    <w:rsid w:val="00537CAC"/>
    <w:rsid w:val="00540088"/>
    <w:rsid w:val="00540367"/>
    <w:rsid w:val="0054041D"/>
    <w:rsid w:val="00540C2C"/>
    <w:rsid w:val="00541025"/>
    <w:rsid w:val="00541936"/>
    <w:rsid w:val="00541938"/>
    <w:rsid w:val="00541B99"/>
    <w:rsid w:val="00542297"/>
    <w:rsid w:val="0054239B"/>
    <w:rsid w:val="0054251F"/>
    <w:rsid w:val="005428F0"/>
    <w:rsid w:val="00542A00"/>
    <w:rsid w:val="00542E73"/>
    <w:rsid w:val="00542FD4"/>
    <w:rsid w:val="00543053"/>
    <w:rsid w:val="0054319E"/>
    <w:rsid w:val="005432CD"/>
    <w:rsid w:val="00543A3E"/>
    <w:rsid w:val="00543DD4"/>
    <w:rsid w:val="00543E56"/>
    <w:rsid w:val="00543FFA"/>
    <w:rsid w:val="005443DD"/>
    <w:rsid w:val="005443F2"/>
    <w:rsid w:val="00544410"/>
    <w:rsid w:val="0054451C"/>
    <w:rsid w:val="00544A01"/>
    <w:rsid w:val="00544B94"/>
    <w:rsid w:val="00544CD8"/>
    <w:rsid w:val="00544EA5"/>
    <w:rsid w:val="00545052"/>
    <w:rsid w:val="005455C8"/>
    <w:rsid w:val="00545861"/>
    <w:rsid w:val="00545F74"/>
    <w:rsid w:val="00545FB3"/>
    <w:rsid w:val="0054667A"/>
    <w:rsid w:val="0054698E"/>
    <w:rsid w:val="00546D93"/>
    <w:rsid w:val="00547196"/>
    <w:rsid w:val="005478AC"/>
    <w:rsid w:val="00547B80"/>
    <w:rsid w:val="00550026"/>
    <w:rsid w:val="00550737"/>
    <w:rsid w:val="00550923"/>
    <w:rsid w:val="00550E2D"/>
    <w:rsid w:val="00551496"/>
    <w:rsid w:val="005517C4"/>
    <w:rsid w:val="00551C6F"/>
    <w:rsid w:val="00551E6C"/>
    <w:rsid w:val="00551FF9"/>
    <w:rsid w:val="00552D86"/>
    <w:rsid w:val="0055313D"/>
    <w:rsid w:val="005531EC"/>
    <w:rsid w:val="005534E3"/>
    <w:rsid w:val="00553646"/>
    <w:rsid w:val="005539FB"/>
    <w:rsid w:val="00553E9B"/>
    <w:rsid w:val="005541B0"/>
    <w:rsid w:val="00554243"/>
    <w:rsid w:val="005549B3"/>
    <w:rsid w:val="00554AD7"/>
    <w:rsid w:val="00554D21"/>
    <w:rsid w:val="00554DEE"/>
    <w:rsid w:val="00554E59"/>
    <w:rsid w:val="0055501A"/>
    <w:rsid w:val="0055506A"/>
    <w:rsid w:val="005567C9"/>
    <w:rsid w:val="00556A7C"/>
    <w:rsid w:val="00556F09"/>
    <w:rsid w:val="00557205"/>
    <w:rsid w:val="005572C1"/>
    <w:rsid w:val="00557303"/>
    <w:rsid w:val="005576C5"/>
    <w:rsid w:val="005577AA"/>
    <w:rsid w:val="00557B62"/>
    <w:rsid w:val="00557C40"/>
    <w:rsid w:val="00560299"/>
    <w:rsid w:val="005602D1"/>
    <w:rsid w:val="00560BA9"/>
    <w:rsid w:val="00560BE8"/>
    <w:rsid w:val="00560D69"/>
    <w:rsid w:val="00560EEB"/>
    <w:rsid w:val="0056105F"/>
    <w:rsid w:val="0056109C"/>
    <w:rsid w:val="00561272"/>
    <w:rsid w:val="005612DC"/>
    <w:rsid w:val="005614C9"/>
    <w:rsid w:val="00561DBD"/>
    <w:rsid w:val="005620A1"/>
    <w:rsid w:val="0056259A"/>
    <w:rsid w:val="005627B9"/>
    <w:rsid w:val="00563326"/>
    <w:rsid w:val="005635F3"/>
    <w:rsid w:val="00564516"/>
    <w:rsid w:val="005649BD"/>
    <w:rsid w:val="00564A9F"/>
    <w:rsid w:val="00564B5B"/>
    <w:rsid w:val="00564EB3"/>
    <w:rsid w:val="00564ED3"/>
    <w:rsid w:val="00565326"/>
    <w:rsid w:val="00565EDF"/>
    <w:rsid w:val="00565F78"/>
    <w:rsid w:val="0056617C"/>
    <w:rsid w:val="00566521"/>
    <w:rsid w:val="00566770"/>
    <w:rsid w:val="005669B9"/>
    <w:rsid w:val="00566B78"/>
    <w:rsid w:val="00566D05"/>
    <w:rsid w:val="0056711F"/>
    <w:rsid w:val="005671A7"/>
    <w:rsid w:val="00567A1B"/>
    <w:rsid w:val="00570633"/>
    <w:rsid w:val="0057079A"/>
    <w:rsid w:val="00570A4E"/>
    <w:rsid w:val="00570D54"/>
    <w:rsid w:val="0057188E"/>
    <w:rsid w:val="00571998"/>
    <w:rsid w:val="00571DD9"/>
    <w:rsid w:val="0057255D"/>
    <w:rsid w:val="005728E5"/>
    <w:rsid w:val="00572B17"/>
    <w:rsid w:val="00573342"/>
    <w:rsid w:val="005733F2"/>
    <w:rsid w:val="005736FC"/>
    <w:rsid w:val="00573782"/>
    <w:rsid w:val="00573B8C"/>
    <w:rsid w:val="00573C26"/>
    <w:rsid w:val="00573DA6"/>
    <w:rsid w:val="00573DB2"/>
    <w:rsid w:val="00574075"/>
    <w:rsid w:val="005741E1"/>
    <w:rsid w:val="00574237"/>
    <w:rsid w:val="005742C9"/>
    <w:rsid w:val="00574834"/>
    <w:rsid w:val="00574A99"/>
    <w:rsid w:val="00574B20"/>
    <w:rsid w:val="00574CBF"/>
    <w:rsid w:val="00574EC2"/>
    <w:rsid w:val="00575009"/>
    <w:rsid w:val="00575426"/>
    <w:rsid w:val="0057587B"/>
    <w:rsid w:val="00575A3E"/>
    <w:rsid w:val="0057607D"/>
    <w:rsid w:val="005760D6"/>
    <w:rsid w:val="00576308"/>
    <w:rsid w:val="00576577"/>
    <w:rsid w:val="005767B2"/>
    <w:rsid w:val="00576A53"/>
    <w:rsid w:val="00576E76"/>
    <w:rsid w:val="00576F46"/>
    <w:rsid w:val="005770E3"/>
    <w:rsid w:val="00577201"/>
    <w:rsid w:val="0057744C"/>
    <w:rsid w:val="0057747F"/>
    <w:rsid w:val="005778CD"/>
    <w:rsid w:val="005800CC"/>
    <w:rsid w:val="00580196"/>
    <w:rsid w:val="005806BC"/>
    <w:rsid w:val="0058085D"/>
    <w:rsid w:val="005812CD"/>
    <w:rsid w:val="00581EBE"/>
    <w:rsid w:val="0058237E"/>
    <w:rsid w:val="0058251A"/>
    <w:rsid w:val="00582575"/>
    <w:rsid w:val="005825D9"/>
    <w:rsid w:val="00582831"/>
    <w:rsid w:val="0058291E"/>
    <w:rsid w:val="00582BAA"/>
    <w:rsid w:val="00582D42"/>
    <w:rsid w:val="00583F6F"/>
    <w:rsid w:val="00584162"/>
    <w:rsid w:val="00584255"/>
    <w:rsid w:val="00584503"/>
    <w:rsid w:val="0058450E"/>
    <w:rsid w:val="005845C2"/>
    <w:rsid w:val="005849B8"/>
    <w:rsid w:val="00584D34"/>
    <w:rsid w:val="00584FCE"/>
    <w:rsid w:val="00585200"/>
    <w:rsid w:val="00585379"/>
    <w:rsid w:val="00585507"/>
    <w:rsid w:val="005857AA"/>
    <w:rsid w:val="00585B25"/>
    <w:rsid w:val="00585C6A"/>
    <w:rsid w:val="00585C71"/>
    <w:rsid w:val="00585D41"/>
    <w:rsid w:val="00585EE1"/>
    <w:rsid w:val="005860AC"/>
    <w:rsid w:val="005863E6"/>
    <w:rsid w:val="0058658D"/>
    <w:rsid w:val="005869FF"/>
    <w:rsid w:val="00586E21"/>
    <w:rsid w:val="00586E25"/>
    <w:rsid w:val="00587F40"/>
    <w:rsid w:val="00590609"/>
    <w:rsid w:val="00590702"/>
    <w:rsid w:val="005908EE"/>
    <w:rsid w:val="00590A2C"/>
    <w:rsid w:val="00590A7F"/>
    <w:rsid w:val="00590DA1"/>
    <w:rsid w:val="0059109B"/>
    <w:rsid w:val="00591119"/>
    <w:rsid w:val="00591514"/>
    <w:rsid w:val="00591CC3"/>
    <w:rsid w:val="00591F6F"/>
    <w:rsid w:val="005924A6"/>
    <w:rsid w:val="0059276A"/>
    <w:rsid w:val="00593159"/>
    <w:rsid w:val="0059338A"/>
    <w:rsid w:val="00593F50"/>
    <w:rsid w:val="00594F34"/>
    <w:rsid w:val="005954E8"/>
    <w:rsid w:val="005955C5"/>
    <w:rsid w:val="005955DA"/>
    <w:rsid w:val="005957E8"/>
    <w:rsid w:val="0059585A"/>
    <w:rsid w:val="00595F60"/>
    <w:rsid w:val="00596312"/>
    <w:rsid w:val="0059632E"/>
    <w:rsid w:val="005964ED"/>
    <w:rsid w:val="00596996"/>
    <w:rsid w:val="00596A0A"/>
    <w:rsid w:val="00596C02"/>
    <w:rsid w:val="00597401"/>
    <w:rsid w:val="005977C0"/>
    <w:rsid w:val="005979D3"/>
    <w:rsid w:val="005979F8"/>
    <w:rsid w:val="005A0148"/>
    <w:rsid w:val="005A0901"/>
    <w:rsid w:val="005A1AD2"/>
    <w:rsid w:val="005A1C8B"/>
    <w:rsid w:val="005A1F85"/>
    <w:rsid w:val="005A2128"/>
    <w:rsid w:val="005A23D4"/>
    <w:rsid w:val="005A23E4"/>
    <w:rsid w:val="005A271A"/>
    <w:rsid w:val="005A317C"/>
    <w:rsid w:val="005A3565"/>
    <w:rsid w:val="005A36B8"/>
    <w:rsid w:val="005A395E"/>
    <w:rsid w:val="005A3F76"/>
    <w:rsid w:val="005A405C"/>
    <w:rsid w:val="005A4816"/>
    <w:rsid w:val="005A4DE0"/>
    <w:rsid w:val="005A4FEC"/>
    <w:rsid w:val="005A534E"/>
    <w:rsid w:val="005A553B"/>
    <w:rsid w:val="005A55FF"/>
    <w:rsid w:val="005A5985"/>
    <w:rsid w:val="005A5D61"/>
    <w:rsid w:val="005A5ECF"/>
    <w:rsid w:val="005A656B"/>
    <w:rsid w:val="005A676B"/>
    <w:rsid w:val="005A6E2F"/>
    <w:rsid w:val="005A71C0"/>
    <w:rsid w:val="005A76F2"/>
    <w:rsid w:val="005A7A27"/>
    <w:rsid w:val="005A7A31"/>
    <w:rsid w:val="005A7B69"/>
    <w:rsid w:val="005A7B9B"/>
    <w:rsid w:val="005A7E8C"/>
    <w:rsid w:val="005B0474"/>
    <w:rsid w:val="005B04B0"/>
    <w:rsid w:val="005B0898"/>
    <w:rsid w:val="005B0FC6"/>
    <w:rsid w:val="005B0FED"/>
    <w:rsid w:val="005B10CA"/>
    <w:rsid w:val="005B1790"/>
    <w:rsid w:val="005B1CD2"/>
    <w:rsid w:val="005B1DAE"/>
    <w:rsid w:val="005B234F"/>
    <w:rsid w:val="005B243A"/>
    <w:rsid w:val="005B25B0"/>
    <w:rsid w:val="005B2C31"/>
    <w:rsid w:val="005B2D85"/>
    <w:rsid w:val="005B31E8"/>
    <w:rsid w:val="005B3228"/>
    <w:rsid w:val="005B32C1"/>
    <w:rsid w:val="005B3439"/>
    <w:rsid w:val="005B3F44"/>
    <w:rsid w:val="005B44BE"/>
    <w:rsid w:val="005B480C"/>
    <w:rsid w:val="005B48F2"/>
    <w:rsid w:val="005B4BD9"/>
    <w:rsid w:val="005B4C05"/>
    <w:rsid w:val="005B513A"/>
    <w:rsid w:val="005B5C2D"/>
    <w:rsid w:val="005B5D12"/>
    <w:rsid w:val="005B6047"/>
    <w:rsid w:val="005B6101"/>
    <w:rsid w:val="005B6317"/>
    <w:rsid w:val="005B644B"/>
    <w:rsid w:val="005B6653"/>
    <w:rsid w:val="005B717C"/>
    <w:rsid w:val="005B723F"/>
    <w:rsid w:val="005B7302"/>
    <w:rsid w:val="005B7801"/>
    <w:rsid w:val="005B7A84"/>
    <w:rsid w:val="005B7D34"/>
    <w:rsid w:val="005C001A"/>
    <w:rsid w:val="005C06B4"/>
    <w:rsid w:val="005C0AA0"/>
    <w:rsid w:val="005C1047"/>
    <w:rsid w:val="005C1283"/>
    <w:rsid w:val="005C138F"/>
    <w:rsid w:val="005C1E6C"/>
    <w:rsid w:val="005C1F91"/>
    <w:rsid w:val="005C20CF"/>
    <w:rsid w:val="005C2135"/>
    <w:rsid w:val="005C2205"/>
    <w:rsid w:val="005C26DA"/>
    <w:rsid w:val="005C2C48"/>
    <w:rsid w:val="005C2EFE"/>
    <w:rsid w:val="005C3519"/>
    <w:rsid w:val="005C36EF"/>
    <w:rsid w:val="005C495D"/>
    <w:rsid w:val="005C4A06"/>
    <w:rsid w:val="005C4C28"/>
    <w:rsid w:val="005C4F64"/>
    <w:rsid w:val="005C4F7A"/>
    <w:rsid w:val="005C5552"/>
    <w:rsid w:val="005C5556"/>
    <w:rsid w:val="005C56A4"/>
    <w:rsid w:val="005C5837"/>
    <w:rsid w:val="005C5AE5"/>
    <w:rsid w:val="005C5B34"/>
    <w:rsid w:val="005C5C2A"/>
    <w:rsid w:val="005C5E32"/>
    <w:rsid w:val="005C5F05"/>
    <w:rsid w:val="005C63CD"/>
    <w:rsid w:val="005C65D4"/>
    <w:rsid w:val="005C66D2"/>
    <w:rsid w:val="005C6756"/>
    <w:rsid w:val="005C69AF"/>
    <w:rsid w:val="005C6BE9"/>
    <w:rsid w:val="005C6D64"/>
    <w:rsid w:val="005C6FB0"/>
    <w:rsid w:val="005C73EC"/>
    <w:rsid w:val="005C7518"/>
    <w:rsid w:val="005C782A"/>
    <w:rsid w:val="005C790F"/>
    <w:rsid w:val="005C7A7F"/>
    <w:rsid w:val="005C7BAD"/>
    <w:rsid w:val="005D0519"/>
    <w:rsid w:val="005D0535"/>
    <w:rsid w:val="005D071E"/>
    <w:rsid w:val="005D076B"/>
    <w:rsid w:val="005D0E01"/>
    <w:rsid w:val="005D0E07"/>
    <w:rsid w:val="005D163E"/>
    <w:rsid w:val="005D17A2"/>
    <w:rsid w:val="005D19D0"/>
    <w:rsid w:val="005D1D8E"/>
    <w:rsid w:val="005D223F"/>
    <w:rsid w:val="005D3278"/>
    <w:rsid w:val="005D37F0"/>
    <w:rsid w:val="005D3AB9"/>
    <w:rsid w:val="005D3C14"/>
    <w:rsid w:val="005D3D68"/>
    <w:rsid w:val="005D3E52"/>
    <w:rsid w:val="005D41D7"/>
    <w:rsid w:val="005D441E"/>
    <w:rsid w:val="005D4B29"/>
    <w:rsid w:val="005D5000"/>
    <w:rsid w:val="005D51EF"/>
    <w:rsid w:val="005D53F7"/>
    <w:rsid w:val="005D5505"/>
    <w:rsid w:val="005D5596"/>
    <w:rsid w:val="005D5A63"/>
    <w:rsid w:val="005D6171"/>
    <w:rsid w:val="005D61AC"/>
    <w:rsid w:val="005D61EE"/>
    <w:rsid w:val="005D6CE8"/>
    <w:rsid w:val="005D7291"/>
    <w:rsid w:val="005D72EA"/>
    <w:rsid w:val="005D7420"/>
    <w:rsid w:val="005D7471"/>
    <w:rsid w:val="005D7A1E"/>
    <w:rsid w:val="005D7F1A"/>
    <w:rsid w:val="005E028A"/>
    <w:rsid w:val="005E072B"/>
    <w:rsid w:val="005E0CE1"/>
    <w:rsid w:val="005E0D40"/>
    <w:rsid w:val="005E117E"/>
    <w:rsid w:val="005E13CC"/>
    <w:rsid w:val="005E13E6"/>
    <w:rsid w:val="005E14C4"/>
    <w:rsid w:val="005E16EC"/>
    <w:rsid w:val="005E2284"/>
    <w:rsid w:val="005E3603"/>
    <w:rsid w:val="005E3A45"/>
    <w:rsid w:val="005E3E1D"/>
    <w:rsid w:val="005E4802"/>
    <w:rsid w:val="005E48B5"/>
    <w:rsid w:val="005E49C5"/>
    <w:rsid w:val="005E5340"/>
    <w:rsid w:val="005E53A9"/>
    <w:rsid w:val="005E5468"/>
    <w:rsid w:val="005E5F3F"/>
    <w:rsid w:val="005E6828"/>
    <w:rsid w:val="005E6B24"/>
    <w:rsid w:val="005E6E3C"/>
    <w:rsid w:val="005E7445"/>
    <w:rsid w:val="005E757E"/>
    <w:rsid w:val="005E7725"/>
    <w:rsid w:val="005E7965"/>
    <w:rsid w:val="005E7D2F"/>
    <w:rsid w:val="005E7F30"/>
    <w:rsid w:val="005F0B6C"/>
    <w:rsid w:val="005F139B"/>
    <w:rsid w:val="005F19C0"/>
    <w:rsid w:val="005F1DB1"/>
    <w:rsid w:val="005F1DD7"/>
    <w:rsid w:val="005F1FBD"/>
    <w:rsid w:val="005F20F7"/>
    <w:rsid w:val="005F249D"/>
    <w:rsid w:val="005F2FC8"/>
    <w:rsid w:val="005F339E"/>
    <w:rsid w:val="005F373C"/>
    <w:rsid w:val="005F3C53"/>
    <w:rsid w:val="005F3CA7"/>
    <w:rsid w:val="005F4366"/>
    <w:rsid w:val="005F459F"/>
    <w:rsid w:val="005F50B6"/>
    <w:rsid w:val="005F56C9"/>
    <w:rsid w:val="005F5BE9"/>
    <w:rsid w:val="005F5D83"/>
    <w:rsid w:val="005F5DE9"/>
    <w:rsid w:val="005F5F20"/>
    <w:rsid w:val="005F63A0"/>
    <w:rsid w:val="005F6BC4"/>
    <w:rsid w:val="005F7143"/>
    <w:rsid w:val="005F7758"/>
    <w:rsid w:val="005F7C8A"/>
    <w:rsid w:val="005F7EAA"/>
    <w:rsid w:val="006007DB"/>
    <w:rsid w:val="006015B1"/>
    <w:rsid w:val="00601633"/>
    <w:rsid w:val="00601CCE"/>
    <w:rsid w:val="006020DB"/>
    <w:rsid w:val="006022C7"/>
    <w:rsid w:val="0060251D"/>
    <w:rsid w:val="00602946"/>
    <w:rsid w:val="00602BF3"/>
    <w:rsid w:val="006034AD"/>
    <w:rsid w:val="006035D9"/>
    <w:rsid w:val="006036E9"/>
    <w:rsid w:val="0060386D"/>
    <w:rsid w:val="00604538"/>
    <w:rsid w:val="00604A01"/>
    <w:rsid w:val="006052B8"/>
    <w:rsid w:val="006057E4"/>
    <w:rsid w:val="006059BC"/>
    <w:rsid w:val="0060614B"/>
    <w:rsid w:val="00606268"/>
    <w:rsid w:val="00606D84"/>
    <w:rsid w:val="00607325"/>
    <w:rsid w:val="006077CD"/>
    <w:rsid w:val="00607AD8"/>
    <w:rsid w:val="00607C99"/>
    <w:rsid w:val="00607EEA"/>
    <w:rsid w:val="0061000C"/>
    <w:rsid w:val="00610044"/>
    <w:rsid w:val="00610127"/>
    <w:rsid w:val="00610B20"/>
    <w:rsid w:val="00610D00"/>
    <w:rsid w:val="006111B6"/>
    <w:rsid w:val="00612012"/>
    <w:rsid w:val="0061226E"/>
    <w:rsid w:val="00612495"/>
    <w:rsid w:val="00612F30"/>
    <w:rsid w:val="0061390A"/>
    <w:rsid w:val="006139A3"/>
    <w:rsid w:val="00613E10"/>
    <w:rsid w:val="00613F63"/>
    <w:rsid w:val="0061407A"/>
    <w:rsid w:val="006145E8"/>
    <w:rsid w:val="00614B9A"/>
    <w:rsid w:val="00614F60"/>
    <w:rsid w:val="0061591C"/>
    <w:rsid w:val="006168F9"/>
    <w:rsid w:val="00616D46"/>
    <w:rsid w:val="00616DEB"/>
    <w:rsid w:val="00617853"/>
    <w:rsid w:val="006178F4"/>
    <w:rsid w:val="00617A6D"/>
    <w:rsid w:val="00617CB8"/>
    <w:rsid w:val="00617D7A"/>
    <w:rsid w:val="006202C9"/>
    <w:rsid w:val="0062039E"/>
    <w:rsid w:val="006204D8"/>
    <w:rsid w:val="006206F2"/>
    <w:rsid w:val="0062073E"/>
    <w:rsid w:val="00620C23"/>
    <w:rsid w:val="00620C47"/>
    <w:rsid w:val="00620D91"/>
    <w:rsid w:val="00620EB6"/>
    <w:rsid w:val="00620EEA"/>
    <w:rsid w:val="00621464"/>
    <w:rsid w:val="006217DB"/>
    <w:rsid w:val="00621BC2"/>
    <w:rsid w:val="00621F62"/>
    <w:rsid w:val="00622338"/>
    <w:rsid w:val="006224FE"/>
    <w:rsid w:val="006230AF"/>
    <w:rsid w:val="006234B2"/>
    <w:rsid w:val="0062350C"/>
    <w:rsid w:val="00623876"/>
    <w:rsid w:val="006238B5"/>
    <w:rsid w:val="00623B7A"/>
    <w:rsid w:val="00623EA5"/>
    <w:rsid w:val="00623FD7"/>
    <w:rsid w:val="00624140"/>
    <w:rsid w:val="006242F8"/>
    <w:rsid w:val="0062431B"/>
    <w:rsid w:val="00624326"/>
    <w:rsid w:val="006250C5"/>
    <w:rsid w:val="00625180"/>
    <w:rsid w:val="006254EC"/>
    <w:rsid w:val="006257EB"/>
    <w:rsid w:val="00625963"/>
    <w:rsid w:val="00625A2E"/>
    <w:rsid w:val="00625AF2"/>
    <w:rsid w:val="00625EF6"/>
    <w:rsid w:val="00625F29"/>
    <w:rsid w:val="00625FAF"/>
    <w:rsid w:val="006260BE"/>
    <w:rsid w:val="00626DBD"/>
    <w:rsid w:val="0062708C"/>
    <w:rsid w:val="00627C83"/>
    <w:rsid w:val="00627FF1"/>
    <w:rsid w:val="00630039"/>
    <w:rsid w:val="0063007A"/>
    <w:rsid w:val="006302B9"/>
    <w:rsid w:val="00630F7A"/>
    <w:rsid w:val="00631096"/>
    <w:rsid w:val="00631AEC"/>
    <w:rsid w:val="00631C02"/>
    <w:rsid w:val="00632348"/>
    <w:rsid w:val="0063262B"/>
    <w:rsid w:val="00632906"/>
    <w:rsid w:val="00632AE5"/>
    <w:rsid w:val="00632B27"/>
    <w:rsid w:val="006333F4"/>
    <w:rsid w:val="00633541"/>
    <w:rsid w:val="006339D6"/>
    <w:rsid w:val="00633A94"/>
    <w:rsid w:val="00633DBD"/>
    <w:rsid w:val="0063478C"/>
    <w:rsid w:val="0063482A"/>
    <w:rsid w:val="00634A92"/>
    <w:rsid w:val="00634F23"/>
    <w:rsid w:val="00635287"/>
    <w:rsid w:val="006355DF"/>
    <w:rsid w:val="0063574B"/>
    <w:rsid w:val="00635A93"/>
    <w:rsid w:val="00635B5C"/>
    <w:rsid w:val="00635DD2"/>
    <w:rsid w:val="00635EC8"/>
    <w:rsid w:val="00635F1F"/>
    <w:rsid w:val="006362A7"/>
    <w:rsid w:val="00636762"/>
    <w:rsid w:val="00636A0C"/>
    <w:rsid w:val="00636AD9"/>
    <w:rsid w:val="006372E9"/>
    <w:rsid w:val="00637E89"/>
    <w:rsid w:val="00640424"/>
    <w:rsid w:val="006406D9"/>
    <w:rsid w:val="00640917"/>
    <w:rsid w:val="00640939"/>
    <w:rsid w:val="00640EBC"/>
    <w:rsid w:val="006414F5"/>
    <w:rsid w:val="0064150F"/>
    <w:rsid w:val="006416C9"/>
    <w:rsid w:val="00641778"/>
    <w:rsid w:val="006417FF"/>
    <w:rsid w:val="006418F6"/>
    <w:rsid w:val="00641AD1"/>
    <w:rsid w:val="00641E4F"/>
    <w:rsid w:val="006423D0"/>
    <w:rsid w:val="0064303D"/>
    <w:rsid w:val="00643350"/>
    <w:rsid w:val="0064345C"/>
    <w:rsid w:val="006437BD"/>
    <w:rsid w:val="00643FCA"/>
    <w:rsid w:val="0064458A"/>
    <w:rsid w:val="00644F32"/>
    <w:rsid w:val="006459B9"/>
    <w:rsid w:val="00645ECE"/>
    <w:rsid w:val="00646017"/>
    <w:rsid w:val="00646412"/>
    <w:rsid w:val="006464C2"/>
    <w:rsid w:val="00646705"/>
    <w:rsid w:val="0064673B"/>
    <w:rsid w:val="00646883"/>
    <w:rsid w:val="00646959"/>
    <w:rsid w:val="00646BE3"/>
    <w:rsid w:val="00646C31"/>
    <w:rsid w:val="00646F10"/>
    <w:rsid w:val="00646F6B"/>
    <w:rsid w:val="0064723D"/>
    <w:rsid w:val="006476B7"/>
    <w:rsid w:val="006477FD"/>
    <w:rsid w:val="00647A88"/>
    <w:rsid w:val="006501EF"/>
    <w:rsid w:val="00650658"/>
    <w:rsid w:val="006506A3"/>
    <w:rsid w:val="006507BB"/>
    <w:rsid w:val="00650C37"/>
    <w:rsid w:val="00651FD5"/>
    <w:rsid w:val="00652125"/>
    <w:rsid w:val="006523B9"/>
    <w:rsid w:val="006524E3"/>
    <w:rsid w:val="00652524"/>
    <w:rsid w:val="00652A42"/>
    <w:rsid w:val="00652CCC"/>
    <w:rsid w:val="00652ED0"/>
    <w:rsid w:val="006533EF"/>
    <w:rsid w:val="0065358C"/>
    <w:rsid w:val="006535E3"/>
    <w:rsid w:val="00653A3D"/>
    <w:rsid w:val="00653B2A"/>
    <w:rsid w:val="006542FC"/>
    <w:rsid w:val="0065437F"/>
    <w:rsid w:val="006547DB"/>
    <w:rsid w:val="00654E05"/>
    <w:rsid w:val="00655196"/>
    <w:rsid w:val="0065564F"/>
    <w:rsid w:val="00655B1B"/>
    <w:rsid w:val="00655D4F"/>
    <w:rsid w:val="00655D65"/>
    <w:rsid w:val="00655DF6"/>
    <w:rsid w:val="00655F07"/>
    <w:rsid w:val="006564B5"/>
    <w:rsid w:val="00656536"/>
    <w:rsid w:val="00656586"/>
    <w:rsid w:val="00656886"/>
    <w:rsid w:val="00656ABC"/>
    <w:rsid w:val="00656E42"/>
    <w:rsid w:val="00656FEE"/>
    <w:rsid w:val="0065718F"/>
    <w:rsid w:val="006572E5"/>
    <w:rsid w:val="006572E9"/>
    <w:rsid w:val="00657469"/>
    <w:rsid w:val="0065750C"/>
    <w:rsid w:val="00657726"/>
    <w:rsid w:val="006578B5"/>
    <w:rsid w:val="00657B44"/>
    <w:rsid w:val="00657FD9"/>
    <w:rsid w:val="0066044A"/>
    <w:rsid w:val="00660998"/>
    <w:rsid w:val="00660AE4"/>
    <w:rsid w:val="006615B9"/>
    <w:rsid w:val="00661813"/>
    <w:rsid w:val="0066227C"/>
    <w:rsid w:val="0066229B"/>
    <w:rsid w:val="00662686"/>
    <w:rsid w:val="00662931"/>
    <w:rsid w:val="00662B70"/>
    <w:rsid w:val="00662FE7"/>
    <w:rsid w:val="00663347"/>
    <w:rsid w:val="006634D6"/>
    <w:rsid w:val="00663720"/>
    <w:rsid w:val="006638B2"/>
    <w:rsid w:val="00663B63"/>
    <w:rsid w:val="00664095"/>
    <w:rsid w:val="0066421C"/>
    <w:rsid w:val="0066422F"/>
    <w:rsid w:val="006642BE"/>
    <w:rsid w:val="00664BCA"/>
    <w:rsid w:val="006653DA"/>
    <w:rsid w:val="006653FA"/>
    <w:rsid w:val="00665C3C"/>
    <w:rsid w:val="00665E6D"/>
    <w:rsid w:val="0066606F"/>
    <w:rsid w:val="006664E8"/>
    <w:rsid w:val="00666FA5"/>
    <w:rsid w:val="0066766A"/>
    <w:rsid w:val="006679E4"/>
    <w:rsid w:val="00667B83"/>
    <w:rsid w:val="00667D1B"/>
    <w:rsid w:val="00667E7C"/>
    <w:rsid w:val="00667E9B"/>
    <w:rsid w:val="006707F0"/>
    <w:rsid w:val="00670884"/>
    <w:rsid w:val="00670ABA"/>
    <w:rsid w:val="00670C07"/>
    <w:rsid w:val="00671488"/>
    <w:rsid w:val="00671969"/>
    <w:rsid w:val="00671A78"/>
    <w:rsid w:val="00671A80"/>
    <w:rsid w:val="00671A95"/>
    <w:rsid w:val="00671AD0"/>
    <w:rsid w:val="00671E45"/>
    <w:rsid w:val="00672B60"/>
    <w:rsid w:val="00673153"/>
    <w:rsid w:val="006733AA"/>
    <w:rsid w:val="00673698"/>
    <w:rsid w:val="006736C1"/>
    <w:rsid w:val="00673ADA"/>
    <w:rsid w:val="00673D37"/>
    <w:rsid w:val="00674045"/>
    <w:rsid w:val="0067408F"/>
    <w:rsid w:val="006748EA"/>
    <w:rsid w:val="00674D97"/>
    <w:rsid w:val="00675564"/>
    <w:rsid w:val="006757F7"/>
    <w:rsid w:val="00675A8B"/>
    <w:rsid w:val="00675B6E"/>
    <w:rsid w:val="006760FB"/>
    <w:rsid w:val="00676134"/>
    <w:rsid w:val="006763C9"/>
    <w:rsid w:val="0067689B"/>
    <w:rsid w:val="00676DCE"/>
    <w:rsid w:val="006776C8"/>
    <w:rsid w:val="00677732"/>
    <w:rsid w:val="006777FF"/>
    <w:rsid w:val="00677BA6"/>
    <w:rsid w:val="00677C43"/>
    <w:rsid w:val="0068006D"/>
    <w:rsid w:val="00680142"/>
    <w:rsid w:val="0068031F"/>
    <w:rsid w:val="00680696"/>
    <w:rsid w:val="0068076E"/>
    <w:rsid w:val="00680F83"/>
    <w:rsid w:val="00681E82"/>
    <w:rsid w:val="00681EE8"/>
    <w:rsid w:val="00681F1C"/>
    <w:rsid w:val="00681F8F"/>
    <w:rsid w:val="00682C19"/>
    <w:rsid w:val="00682FCC"/>
    <w:rsid w:val="0068313A"/>
    <w:rsid w:val="00683290"/>
    <w:rsid w:val="0068368E"/>
    <w:rsid w:val="0068392D"/>
    <w:rsid w:val="006839EE"/>
    <w:rsid w:val="00684068"/>
    <w:rsid w:val="006842F4"/>
    <w:rsid w:val="00684643"/>
    <w:rsid w:val="00684A9B"/>
    <w:rsid w:val="006851D7"/>
    <w:rsid w:val="006852E5"/>
    <w:rsid w:val="0068602C"/>
    <w:rsid w:val="00686145"/>
    <w:rsid w:val="0068621A"/>
    <w:rsid w:val="006864CD"/>
    <w:rsid w:val="00686595"/>
    <w:rsid w:val="00686E4F"/>
    <w:rsid w:val="00686F56"/>
    <w:rsid w:val="00687671"/>
    <w:rsid w:val="0068785D"/>
    <w:rsid w:val="00687AC0"/>
    <w:rsid w:val="00690531"/>
    <w:rsid w:val="00690577"/>
    <w:rsid w:val="0069069E"/>
    <w:rsid w:val="006906B4"/>
    <w:rsid w:val="0069093D"/>
    <w:rsid w:val="00690AC4"/>
    <w:rsid w:val="00690BCA"/>
    <w:rsid w:val="00691506"/>
    <w:rsid w:val="006916BD"/>
    <w:rsid w:val="00691B1A"/>
    <w:rsid w:val="00691B9E"/>
    <w:rsid w:val="00691ED5"/>
    <w:rsid w:val="00692073"/>
    <w:rsid w:val="0069207B"/>
    <w:rsid w:val="00692BA8"/>
    <w:rsid w:val="00692E34"/>
    <w:rsid w:val="006930A9"/>
    <w:rsid w:val="006931E6"/>
    <w:rsid w:val="0069354E"/>
    <w:rsid w:val="0069370A"/>
    <w:rsid w:val="006939A9"/>
    <w:rsid w:val="00693A15"/>
    <w:rsid w:val="00693D44"/>
    <w:rsid w:val="00693EFB"/>
    <w:rsid w:val="00693FE3"/>
    <w:rsid w:val="00694053"/>
    <w:rsid w:val="00694393"/>
    <w:rsid w:val="00694F92"/>
    <w:rsid w:val="00695077"/>
    <w:rsid w:val="00695161"/>
    <w:rsid w:val="0069527C"/>
    <w:rsid w:val="00695753"/>
    <w:rsid w:val="0069576F"/>
    <w:rsid w:val="00695917"/>
    <w:rsid w:val="00695BA8"/>
    <w:rsid w:val="0069619F"/>
    <w:rsid w:val="00696546"/>
    <w:rsid w:val="00696E72"/>
    <w:rsid w:val="006971EF"/>
    <w:rsid w:val="0069737F"/>
    <w:rsid w:val="006978AC"/>
    <w:rsid w:val="006978D6"/>
    <w:rsid w:val="00697DED"/>
    <w:rsid w:val="006A040B"/>
    <w:rsid w:val="006A091B"/>
    <w:rsid w:val="006A0A87"/>
    <w:rsid w:val="006A0B22"/>
    <w:rsid w:val="006A0B30"/>
    <w:rsid w:val="006A0E4F"/>
    <w:rsid w:val="006A0EE3"/>
    <w:rsid w:val="006A13F3"/>
    <w:rsid w:val="006A1790"/>
    <w:rsid w:val="006A189C"/>
    <w:rsid w:val="006A1AB9"/>
    <w:rsid w:val="006A1AC1"/>
    <w:rsid w:val="006A1DFB"/>
    <w:rsid w:val="006A21BF"/>
    <w:rsid w:val="006A2345"/>
    <w:rsid w:val="006A257F"/>
    <w:rsid w:val="006A2779"/>
    <w:rsid w:val="006A2822"/>
    <w:rsid w:val="006A2C38"/>
    <w:rsid w:val="006A3209"/>
    <w:rsid w:val="006A335A"/>
    <w:rsid w:val="006A343D"/>
    <w:rsid w:val="006A3938"/>
    <w:rsid w:val="006A3B45"/>
    <w:rsid w:val="006A408E"/>
    <w:rsid w:val="006A425E"/>
    <w:rsid w:val="006A433B"/>
    <w:rsid w:val="006A457E"/>
    <w:rsid w:val="006A47FF"/>
    <w:rsid w:val="006A49E9"/>
    <w:rsid w:val="006A5C6D"/>
    <w:rsid w:val="006A5E65"/>
    <w:rsid w:val="006A5E7B"/>
    <w:rsid w:val="006A5F94"/>
    <w:rsid w:val="006A607B"/>
    <w:rsid w:val="006A626E"/>
    <w:rsid w:val="006A6280"/>
    <w:rsid w:val="006A6A55"/>
    <w:rsid w:val="006A6ED1"/>
    <w:rsid w:val="006A6F61"/>
    <w:rsid w:val="006A6FB5"/>
    <w:rsid w:val="006A7024"/>
    <w:rsid w:val="006A70B3"/>
    <w:rsid w:val="006A7113"/>
    <w:rsid w:val="006A7C24"/>
    <w:rsid w:val="006A7DE1"/>
    <w:rsid w:val="006B042C"/>
    <w:rsid w:val="006B0857"/>
    <w:rsid w:val="006B0A80"/>
    <w:rsid w:val="006B0C69"/>
    <w:rsid w:val="006B0C73"/>
    <w:rsid w:val="006B0CAC"/>
    <w:rsid w:val="006B109B"/>
    <w:rsid w:val="006B133E"/>
    <w:rsid w:val="006B141B"/>
    <w:rsid w:val="006B15A4"/>
    <w:rsid w:val="006B18E9"/>
    <w:rsid w:val="006B19EF"/>
    <w:rsid w:val="006B2332"/>
    <w:rsid w:val="006B2E36"/>
    <w:rsid w:val="006B2F4B"/>
    <w:rsid w:val="006B31A3"/>
    <w:rsid w:val="006B330D"/>
    <w:rsid w:val="006B357D"/>
    <w:rsid w:val="006B3A87"/>
    <w:rsid w:val="006B3DEC"/>
    <w:rsid w:val="006B49E8"/>
    <w:rsid w:val="006B4A0E"/>
    <w:rsid w:val="006B4B14"/>
    <w:rsid w:val="006B4B1B"/>
    <w:rsid w:val="006B4B62"/>
    <w:rsid w:val="006B4CC5"/>
    <w:rsid w:val="006B512B"/>
    <w:rsid w:val="006B571D"/>
    <w:rsid w:val="006B5BF7"/>
    <w:rsid w:val="006B5CE5"/>
    <w:rsid w:val="006B5DB9"/>
    <w:rsid w:val="006B6276"/>
    <w:rsid w:val="006B6703"/>
    <w:rsid w:val="006B679B"/>
    <w:rsid w:val="006B67AA"/>
    <w:rsid w:val="006B72B0"/>
    <w:rsid w:val="006B73DA"/>
    <w:rsid w:val="006C02AA"/>
    <w:rsid w:val="006C0607"/>
    <w:rsid w:val="006C0997"/>
    <w:rsid w:val="006C0A0D"/>
    <w:rsid w:val="006C153A"/>
    <w:rsid w:val="006C185E"/>
    <w:rsid w:val="006C1C0D"/>
    <w:rsid w:val="006C1C51"/>
    <w:rsid w:val="006C1E36"/>
    <w:rsid w:val="006C2815"/>
    <w:rsid w:val="006C2C77"/>
    <w:rsid w:val="006C2FED"/>
    <w:rsid w:val="006C3128"/>
    <w:rsid w:val="006C325A"/>
    <w:rsid w:val="006C36EE"/>
    <w:rsid w:val="006C3720"/>
    <w:rsid w:val="006C37AD"/>
    <w:rsid w:val="006C3C8A"/>
    <w:rsid w:val="006C3CE6"/>
    <w:rsid w:val="006C4BE3"/>
    <w:rsid w:val="006C4CB2"/>
    <w:rsid w:val="006C4D56"/>
    <w:rsid w:val="006C4F33"/>
    <w:rsid w:val="006C56F8"/>
    <w:rsid w:val="006C60A4"/>
    <w:rsid w:val="006C60AB"/>
    <w:rsid w:val="006C62F5"/>
    <w:rsid w:val="006C6415"/>
    <w:rsid w:val="006C6587"/>
    <w:rsid w:val="006C6D12"/>
    <w:rsid w:val="006C6E8D"/>
    <w:rsid w:val="006C71C7"/>
    <w:rsid w:val="006C7B7D"/>
    <w:rsid w:val="006D0139"/>
    <w:rsid w:val="006D021E"/>
    <w:rsid w:val="006D02A0"/>
    <w:rsid w:val="006D085A"/>
    <w:rsid w:val="006D0930"/>
    <w:rsid w:val="006D0D90"/>
    <w:rsid w:val="006D1060"/>
    <w:rsid w:val="006D1731"/>
    <w:rsid w:val="006D1940"/>
    <w:rsid w:val="006D1A7C"/>
    <w:rsid w:val="006D1B1B"/>
    <w:rsid w:val="006D1EFF"/>
    <w:rsid w:val="006D2823"/>
    <w:rsid w:val="006D3120"/>
    <w:rsid w:val="006D345F"/>
    <w:rsid w:val="006D3CDA"/>
    <w:rsid w:val="006D4D35"/>
    <w:rsid w:val="006D5686"/>
    <w:rsid w:val="006D5795"/>
    <w:rsid w:val="006D57C1"/>
    <w:rsid w:val="006D5C64"/>
    <w:rsid w:val="006D5CAB"/>
    <w:rsid w:val="006D5E05"/>
    <w:rsid w:val="006D5E32"/>
    <w:rsid w:val="006D6288"/>
    <w:rsid w:val="006D649E"/>
    <w:rsid w:val="006D68E2"/>
    <w:rsid w:val="006D6B54"/>
    <w:rsid w:val="006D6B72"/>
    <w:rsid w:val="006D732C"/>
    <w:rsid w:val="006D73B2"/>
    <w:rsid w:val="006D7B5B"/>
    <w:rsid w:val="006E00F8"/>
    <w:rsid w:val="006E01DE"/>
    <w:rsid w:val="006E01E2"/>
    <w:rsid w:val="006E0412"/>
    <w:rsid w:val="006E0780"/>
    <w:rsid w:val="006E0AB7"/>
    <w:rsid w:val="006E0D37"/>
    <w:rsid w:val="006E0D75"/>
    <w:rsid w:val="006E10C1"/>
    <w:rsid w:val="006E1233"/>
    <w:rsid w:val="006E198E"/>
    <w:rsid w:val="006E1F6C"/>
    <w:rsid w:val="006E1FB6"/>
    <w:rsid w:val="006E2B08"/>
    <w:rsid w:val="006E2C40"/>
    <w:rsid w:val="006E2C82"/>
    <w:rsid w:val="006E302D"/>
    <w:rsid w:val="006E3A70"/>
    <w:rsid w:val="006E3B24"/>
    <w:rsid w:val="006E3DF1"/>
    <w:rsid w:val="006E42AB"/>
    <w:rsid w:val="006E4730"/>
    <w:rsid w:val="006E4B6C"/>
    <w:rsid w:val="006E4E42"/>
    <w:rsid w:val="006E4FE4"/>
    <w:rsid w:val="006E5237"/>
    <w:rsid w:val="006E5850"/>
    <w:rsid w:val="006E5880"/>
    <w:rsid w:val="006E68A8"/>
    <w:rsid w:val="006E6EFB"/>
    <w:rsid w:val="006E76DF"/>
    <w:rsid w:val="006E7948"/>
    <w:rsid w:val="006E794D"/>
    <w:rsid w:val="006F0603"/>
    <w:rsid w:val="006F07AE"/>
    <w:rsid w:val="006F1154"/>
    <w:rsid w:val="006F1689"/>
    <w:rsid w:val="006F1F50"/>
    <w:rsid w:val="006F2344"/>
    <w:rsid w:val="006F252F"/>
    <w:rsid w:val="006F2DE9"/>
    <w:rsid w:val="006F30D8"/>
    <w:rsid w:val="006F366C"/>
    <w:rsid w:val="006F37B8"/>
    <w:rsid w:val="006F3B92"/>
    <w:rsid w:val="006F3F4A"/>
    <w:rsid w:val="006F440C"/>
    <w:rsid w:val="006F5607"/>
    <w:rsid w:val="006F58E5"/>
    <w:rsid w:val="006F5989"/>
    <w:rsid w:val="006F68CB"/>
    <w:rsid w:val="006F6B38"/>
    <w:rsid w:val="006F6CF4"/>
    <w:rsid w:val="006F6D41"/>
    <w:rsid w:val="006F6FAE"/>
    <w:rsid w:val="006F7149"/>
    <w:rsid w:val="006F764F"/>
    <w:rsid w:val="006F7B20"/>
    <w:rsid w:val="006F7C82"/>
    <w:rsid w:val="006F7EE6"/>
    <w:rsid w:val="007002D6"/>
    <w:rsid w:val="007006EE"/>
    <w:rsid w:val="00700BB6"/>
    <w:rsid w:val="00700CD7"/>
    <w:rsid w:val="0070137C"/>
    <w:rsid w:val="007016B8"/>
    <w:rsid w:val="0070193B"/>
    <w:rsid w:val="00701943"/>
    <w:rsid w:val="00701B66"/>
    <w:rsid w:val="0070318D"/>
    <w:rsid w:val="00703484"/>
    <w:rsid w:val="0070372C"/>
    <w:rsid w:val="007037A2"/>
    <w:rsid w:val="0070434F"/>
    <w:rsid w:val="007046CF"/>
    <w:rsid w:val="00704893"/>
    <w:rsid w:val="00704E12"/>
    <w:rsid w:val="00704EDC"/>
    <w:rsid w:val="00704F31"/>
    <w:rsid w:val="00705029"/>
    <w:rsid w:val="007050B2"/>
    <w:rsid w:val="007050DB"/>
    <w:rsid w:val="00705387"/>
    <w:rsid w:val="0070585C"/>
    <w:rsid w:val="00705DB7"/>
    <w:rsid w:val="00705EB4"/>
    <w:rsid w:val="0070605C"/>
    <w:rsid w:val="0070614F"/>
    <w:rsid w:val="00706B2A"/>
    <w:rsid w:val="00706B32"/>
    <w:rsid w:val="00707003"/>
    <w:rsid w:val="007070FD"/>
    <w:rsid w:val="00707446"/>
    <w:rsid w:val="007074BC"/>
    <w:rsid w:val="00707E2E"/>
    <w:rsid w:val="00710065"/>
    <w:rsid w:val="00710246"/>
    <w:rsid w:val="00710530"/>
    <w:rsid w:val="007105E7"/>
    <w:rsid w:val="0071067B"/>
    <w:rsid w:val="00710E3E"/>
    <w:rsid w:val="00710F07"/>
    <w:rsid w:val="00710FFA"/>
    <w:rsid w:val="00711324"/>
    <w:rsid w:val="0071150D"/>
    <w:rsid w:val="0071190C"/>
    <w:rsid w:val="00711A18"/>
    <w:rsid w:val="00711C2D"/>
    <w:rsid w:val="007121C4"/>
    <w:rsid w:val="00712413"/>
    <w:rsid w:val="00712479"/>
    <w:rsid w:val="00712588"/>
    <w:rsid w:val="00712DB6"/>
    <w:rsid w:val="00712E44"/>
    <w:rsid w:val="00712F94"/>
    <w:rsid w:val="00713154"/>
    <w:rsid w:val="00713595"/>
    <w:rsid w:val="007135CC"/>
    <w:rsid w:val="00713617"/>
    <w:rsid w:val="007138EE"/>
    <w:rsid w:val="00713ACF"/>
    <w:rsid w:val="00714C2C"/>
    <w:rsid w:val="007153B9"/>
    <w:rsid w:val="00715B62"/>
    <w:rsid w:val="00715DBE"/>
    <w:rsid w:val="00715FBD"/>
    <w:rsid w:val="0071620E"/>
    <w:rsid w:val="00716C7D"/>
    <w:rsid w:val="00716F3D"/>
    <w:rsid w:val="0071727C"/>
    <w:rsid w:val="00717559"/>
    <w:rsid w:val="00717CB6"/>
    <w:rsid w:val="007204F3"/>
    <w:rsid w:val="0072095C"/>
    <w:rsid w:val="00720CD2"/>
    <w:rsid w:val="00720EAF"/>
    <w:rsid w:val="00721189"/>
    <w:rsid w:val="0072126C"/>
    <w:rsid w:val="007212AA"/>
    <w:rsid w:val="00721574"/>
    <w:rsid w:val="0072164C"/>
    <w:rsid w:val="00721738"/>
    <w:rsid w:val="00721984"/>
    <w:rsid w:val="00721F03"/>
    <w:rsid w:val="00722024"/>
    <w:rsid w:val="007221EA"/>
    <w:rsid w:val="00722C41"/>
    <w:rsid w:val="0072321A"/>
    <w:rsid w:val="00723A0F"/>
    <w:rsid w:val="00724522"/>
    <w:rsid w:val="007248FE"/>
    <w:rsid w:val="00724A36"/>
    <w:rsid w:val="00724A78"/>
    <w:rsid w:val="007250CA"/>
    <w:rsid w:val="00725122"/>
    <w:rsid w:val="007252FD"/>
    <w:rsid w:val="007258F8"/>
    <w:rsid w:val="00725A22"/>
    <w:rsid w:val="00725AE6"/>
    <w:rsid w:val="00725C25"/>
    <w:rsid w:val="00726872"/>
    <w:rsid w:val="00726FDC"/>
    <w:rsid w:val="007275C3"/>
    <w:rsid w:val="0072766C"/>
    <w:rsid w:val="00727854"/>
    <w:rsid w:val="00727B27"/>
    <w:rsid w:val="00727BEE"/>
    <w:rsid w:val="00727D1C"/>
    <w:rsid w:val="00727EC9"/>
    <w:rsid w:val="00730535"/>
    <w:rsid w:val="00730790"/>
    <w:rsid w:val="007308B8"/>
    <w:rsid w:val="0073092E"/>
    <w:rsid w:val="00730A5A"/>
    <w:rsid w:val="00730B18"/>
    <w:rsid w:val="0073122C"/>
    <w:rsid w:val="0073168A"/>
    <w:rsid w:val="00731C6B"/>
    <w:rsid w:val="00731DCD"/>
    <w:rsid w:val="00731DD0"/>
    <w:rsid w:val="007325E5"/>
    <w:rsid w:val="00732B0E"/>
    <w:rsid w:val="00732C5A"/>
    <w:rsid w:val="00733281"/>
    <w:rsid w:val="00733784"/>
    <w:rsid w:val="00733C77"/>
    <w:rsid w:val="00734217"/>
    <w:rsid w:val="00734541"/>
    <w:rsid w:val="007345D6"/>
    <w:rsid w:val="00734BFC"/>
    <w:rsid w:val="00735178"/>
    <w:rsid w:val="0073576D"/>
    <w:rsid w:val="00735AD3"/>
    <w:rsid w:val="00735B05"/>
    <w:rsid w:val="00735B3B"/>
    <w:rsid w:val="00735CEB"/>
    <w:rsid w:val="00735CFF"/>
    <w:rsid w:val="00735E15"/>
    <w:rsid w:val="007362DE"/>
    <w:rsid w:val="00736870"/>
    <w:rsid w:val="007378E6"/>
    <w:rsid w:val="00737AAD"/>
    <w:rsid w:val="00737D82"/>
    <w:rsid w:val="007402E9"/>
    <w:rsid w:val="00740356"/>
    <w:rsid w:val="007407A0"/>
    <w:rsid w:val="00740BA6"/>
    <w:rsid w:val="00740CE7"/>
    <w:rsid w:val="00741467"/>
    <w:rsid w:val="007416DD"/>
    <w:rsid w:val="00741869"/>
    <w:rsid w:val="00741944"/>
    <w:rsid w:val="007419BB"/>
    <w:rsid w:val="00741DBD"/>
    <w:rsid w:val="00741DF2"/>
    <w:rsid w:val="00741E2B"/>
    <w:rsid w:val="007421CA"/>
    <w:rsid w:val="00742A27"/>
    <w:rsid w:val="00742BA6"/>
    <w:rsid w:val="00742E6F"/>
    <w:rsid w:val="00742F35"/>
    <w:rsid w:val="007430A3"/>
    <w:rsid w:val="00743924"/>
    <w:rsid w:val="00743D9E"/>
    <w:rsid w:val="00744096"/>
    <w:rsid w:val="00744451"/>
    <w:rsid w:val="00744852"/>
    <w:rsid w:val="00744A50"/>
    <w:rsid w:val="00744B10"/>
    <w:rsid w:val="00744D59"/>
    <w:rsid w:val="007451BE"/>
    <w:rsid w:val="00745C22"/>
    <w:rsid w:val="00746BAC"/>
    <w:rsid w:val="00746DF5"/>
    <w:rsid w:val="00747A1F"/>
    <w:rsid w:val="007502EF"/>
    <w:rsid w:val="00750341"/>
    <w:rsid w:val="00750DE3"/>
    <w:rsid w:val="007513CA"/>
    <w:rsid w:val="007515EB"/>
    <w:rsid w:val="007519F8"/>
    <w:rsid w:val="00751D63"/>
    <w:rsid w:val="007525A1"/>
    <w:rsid w:val="007526DF"/>
    <w:rsid w:val="00752BAB"/>
    <w:rsid w:val="00752D52"/>
    <w:rsid w:val="00753060"/>
    <w:rsid w:val="007534AB"/>
    <w:rsid w:val="007534EC"/>
    <w:rsid w:val="007535AE"/>
    <w:rsid w:val="007536F1"/>
    <w:rsid w:val="007538F6"/>
    <w:rsid w:val="007539FE"/>
    <w:rsid w:val="00753EF6"/>
    <w:rsid w:val="00754BAC"/>
    <w:rsid w:val="00754D94"/>
    <w:rsid w:val="00754E43"/>
    <w:rsid w:val="00754EBB"/>
    <w:rsid w:val="00754F58"/>
    <w:rsid w:val="00755276"/>
    <w:rsid w:val="007554A2"/>
    <w:rsid w:val="007554F8"/>
    <w:rsid w:val="00755725"/>
    <w:rsid w:val="007559A8"/>
    <w:rsid w:val="00755A8F"/>
    <w:rsid w:val="00755DA0"/>
    <w:rsid w:val="007560DC"/>
    <w:rsid w:val="007565EC"/>
    <w:rsid w:val="00756A69"/>
    <w:rsid w:val="00756E3B"/>
    <w:rsid w:val="00757339"/>
    <w:rsid w:val="0075750E"/>
    <w:rsid w:val="00757824"/>
    <w:rsid w:val="007601C5"/>
    <w:rsid w:val="00760E75"/>
    <w:rsid w:val="00760FE3"/>
    <w:rsid w:val="00761409"/>
    <w:rsid w:val="00761E2F"/>
    <w:rsid w:val="0076220B"/>
    <w:rsid w:val="0076224D"/>
    <w:rsid w:val="007623E1"/>
    <w:rsid w:val="00762CC7"/>
    <w:rsid w:val="00762CC9"/>
    <w:rsid w:val="007631D9"/>
    <w:rsid w:val="0076339C"/>
    <w:rsid w:val="00763727"/>
    <w:rsid w:val="007637D7"/>
    <w:rsid w:val="00763D49"/>
    <w:rsid w:val="00763D5E"/>
    <w:rsid w:val="0076426F"/>
    <w:rsid w:val="00764793"/>
    <w:rsid w:val="00764C09"/>
    <w:rsid w:val="00764E0F"/>
    <w:rsid w:val="007654EC"/>
    <w:rsid w:val="00765DC7"/>
    <w:rsid w:val="00765EF8"/>
    <w:rsid w:val="00766CA8"/>
    <w:rsid w:val="00766D31"/>
    <w:rsid w:val="00766FBF"/>
    <w:rsid w:val="00767181"/>
    <w:rsid w:val="00767221"/>
    <w:rsid w:val="00767629"/>
    <w:rsid w:val="007679E4"/>
    <w:rsid w:val="0077018B"/>
    <w:rsid w:val="00770367"/>
    <w:rsid w:val="007709B1"/>
    <w:rsid w:val="00770C46"/>
    <w:rsid w:val="00771035"/>
    <w:rsid w:val="007714E7"/>
    <w:rsid w:val="00771574"/>
    <w:rsid w:val="007715BB"/>
    <w:rsid w:val="00772793"/>
    <w:rsid w:val="007727BB"/>
    <w:rsid w:val="00772859"/>
    <w:rsid w:val="00773171"/>
    <w:rsid w:val="007738A6"/>
    <w:rsid w:val="00773D49"/>
    <w:rsid w:val="007745FD"/>
    <w:rsid w:val="007746B2"/>
    <w:rsid w:val="00774A0A"/>
    <w:rsid w:val="00774A75"/>
    <w:rsid w:val="00774DCA"/>
    <w:rsid w:val="00774ED6"/>
    <w:rsid w:val="00775316"/>
    <w:rsid w:val="00775A59"/>
    <w:rsid w:val="00775EE8"/>
    <w:rsid w:val="00776264"/>
    <w:rsid w:val="007763E7"/>
    <w:rsid w:val="0077688F"/>
    <w:rsid w:val="007768D0"/>
    <w:rsid w:val="00776B1B"/>
    <w:rsid w:val="00776B8F"/>
    <w:rsid w:val="00776CEE"/>
    <w:rsid w:val="0077776D"/>
    <w:rsid w:val="00777C8E"/>
    <w:rsid w:val="00780329"/>
    <w:rsid w:val="00781242"/>
    <w:rsid w:val="00781288"/>
    <w:rsid w:val="00781391"/>
    <w:rsid w:val="00781B27"/>
    <w:rsid w:val="0078281A"/>
    <w:rsid w:val="007836B1"/>
    <w:rsid w:val="007836CB"/>
    <w:rsid w:val="00783EAC"/>
    <w:rsid w:val="00783F76"/>
    <w:rsid w:val="00783F9E"/>
    <w:rsid w:val="007840C5"/>
    <w:rsid w:val="007842A3"/>
    <w:rsid w:val="007843B9"/>
    <w:rsid w:val="007843E3"/>
    <w:rsid w:val="007846B2"/>
    <w:rsid w:val="00784732"/>
    <w:rsid w:val="00784768"/>
    <w:rsid w:val="00784E71"/>
    <w:rsid w:val="0078582F"/>
    <w:rsid w:val="00785A31"/>
    <w:rsid w:val="0078667C"/>
    <w:rsid w:val="00786705"/>
    <w:rsid w:val="00786D31"/>
    <w:rsid w:val="00786DD2"/>
    <w:rsid w:val="00786DFB"/>
    <w:rsid w:val="00787250"/>
    <w:rsid w:val="00787279"/>
    <w:rsid w:val="007872CB"/>
    <w:rsid w:val="00787990"/>
    <w:rsid w:val="0079005C"/>
    <w:rsid w:val="007900D1"/>
    <w:rsid w:val="007908D2"/>
    <w:rsid w:val="007909F7"/>
    <w:rsid w:val="00790AB9"/>
    <w:rsid w:val="00790B1B"/>
    <w:rsid w:val="00790E3A"/>
    <w:rsid w:val="00791243"/>
    <w:rsid w:val="00791893"/>
    <w:rsid w:val="00791A1F"/>
    <w:rsid w:val="00791B34"/>
    <w:rsid w:val="00791CD5"/>
    <w:rsid w:val="00791DA0"/>
    <w:rsid w:val="00792BD3"/>
    <w:rsid w:val="00793030"/>
    <w:rsid w:val="007935D2"/>
    <w:rsid w:val="007938B2"/>
    <w:rsid w:val="00793D62"/>
    <w:rsid w:val="0079421C"/>
    <w:rsid w:val="007946C9"/>
    <w:rsid w:val="00794A0F"/>
    <w:rsid w:val="00794B87"/>
    <w:rsid w:val="00794D42"/>
    <w:rsid w:val="007950D6"/>
    <w:rsid w:val="0079572A"/>
    <w:rsid w:val="00796387"/>
    <w:rsid w:val="00796556"/>
    <w:rsid w:val="00797765"/>
    <w:rsid w:val="00797C0A"/>
    <w:rsid w:val="00797CCE"/>
    <w:rsid w:val="00797E00"/>
    <w:rsid w:val="00797F51"/>
    <w:rsid w:val="007A0484"/>
    <w:rsid w:val="007A05A1"/>
    <w:rsid w:val="007A06E9"/>
    <w:rsid w:val="007A0A25"/>
    <w:rsid w:val="007A0E14"/>
    <w:rsid w:val="007A1592"/>
    <w:rsid w:val="007A1B6C"/>
    <w:rsid w:val="007A1DEB"/>
    <w:rsid w:val="007A227E"/>
    <w:rsid w:val="007A23DF"/>
    <w:rsid w:val="007A2693"/>
    <w:rsid w:val="007A2769"/>
    <w:rsid w:val="007A2960"/>
    <w:rsid w:val="007A2CA0"/>
    <w:rsid w:val="007A2E9B"/>
    <w:rsid w:val="007A31D7"/>
    <w:rsid w:val="007A34B3"/>
    <w:rsid w:val="007A3505"/>
    <w:rsid w:val="007A3517"/>
    <w:rsid w:val="007A367F"/>
    <w:rsid w:val="007A383D"/>
    <w:rsid w:val="007A3853"/>
    <w:rsid w:val="007A39A8"/>
    <w:rsid w:val="007A3AE5"/>
    <w:rsid w:val="007A3C96"/>
    <w:rsid w:val="007A41D8"/>
    <w:rsid w:val="007A445A"/>
    <w:rsid w:val="007A5050"/>
    <w:rsid w:val="007A5158"/>
    <w:rsid w:val="007A54F1"/>
    <w:rsid w:val="007A5760"/>
    <w:rsid w:val="007A5B1C"/>
    <w:rsid w:val="007A5EEB"/>
    <w:rsid w:val="007A65BC"/>
    <w:rsid w:val="007A662E"/>
    <w:rsid w:val="007A68B8"/>
    <w:rsid w:val="007A6AFD"/>
    <w:rsid w:val="007A7620"/>
    <w:rsid w:val="007A7784"/>
    <w:rsid w:val="007A7CF4"/>
    <w:rsid w:val="007B04E6"/>
    <w:rsid w:val="007B07C0"/>
    <w:rsid w:val="007B0A99"/>
    <w:rsid w:val="007B0AE9"/>
    <w:rsid w:val="007B0D3B"/>
    <w:rsid w:val="007B14DD"/>
    <w:rsid w:val="007B1805"/>
    <w:rsid w:val="007B1AC5"/>
    <w:rsid w:val="007B1B3D"/>
    <w:rsid w:val="007B1FA5"/>
    <w:rsid w:val="007B24E7"/>
    <w:rsid w:val="007B296F"/>
    <w:rsid w:val="007B3004"/>
    <w:rsid w:val="007B3727"/>
    <w:rsid w:val="007B39D4"/>
    <w:rsid w:val="007B3A0A"/>
    <w:rsid w:val="007B3BA9"/>
    <w:rsid w:val="007B3D28"/>
    <w:rsid w:val="007B40C5"/>
    <w:rsid w:val="007B471F"/>
    <w:rsid w:val="007B48FC"/>
    <w:rsid w:val="007B4C57"/>
    <w:rsid w:val="007B5169"/>
    <w:rsid w:val="007B51B4"/>
    <w:rsid w:val="007B5400"/>
    <w:rsid w:val="007B5642"/>
    <w:rsid w:val="007B57F7"/>
    <w:rsid w:val="007B5C15"/>
    <w:rsid w:val="007B5CCE"/>
    <w:rsid w:val="007B5CDF"/>
    <w:rsid w:val="007B5FB1"/>
    <w:rsid w:val="007B628A"/>
    <w:rsid w:val="007B7822"/>
    <w:rsid w:val="007C0174"/>
    <w:rsid w:val="007C0353"/>
    <w:rsid w:val="007C0564"/>
    <w:rsid w:val="007C08AF"/>
    <w:rsid w:val="007C0980"/>
    <w:rsid w:val="007C0CCA"/>
    <w:rsid w:val="007C0F1F"/>
    <w:rsid w:val="007C14F3"/>
    <w:rsid w:val="007C1927"/>
    <w:rsid w:val="007C1E73"/>
    <w:rsid w:val="007C2090"/>
    <w:rsid w:val="007C20C8"/>
    <w:rsid w:val="007C21BD"/>
    <w:rsid w:val="007C254C"/>
    <w:rsid w:val="007C27D7"/>
    <w:rsid w:val="007C2883"/>
    <w:rsid w:val="007C2CF4"/>
    <w:rsid w:val="007C3292"/>
    <w:rsid w:val="007C32CA"/>
    <w:rsid w:val="007C33D5"/>
    <w:rsid w:val="007C3763"/>
    <w:rsid w:val="007C3783"/>
    <w:rsid w:val="007C387F"/>
    <w:rsid w:val="007C3AE5"/>
    <w:rsid w:val="007C3C4A"/>
    <w:rsid w:val="007C3E45"/>
    <w:rsid w:val="007C417A"/>
    <w:rsid w:val="007C4240"/>
    <w:rsid w:val="007C427C"/>
    <w:rsid w:val="007C48D0"/>
    <w:rsid w:val="007C49BA"/>
    <w:rsid w:val="007C5217"/>
    <w:rsid w:val="007C6078"/>
    <w:rsid w:val="007C6458"/>
    <w:rsid w:val="007C649E"/>
    <w:rsid w:val="007C66D5"/>
    <w:rsid w:val="007C6751"/>
    <w:rsid w:val="007C6BAC"/>
    <w:rsid w:val="007C6C41"/>
    <w:rsid w:val="007C6CE4"/>
    <w:rsid w:val="007C70FA"/>
    <w:rsid w:val="007C7163"/>
    <w:rsid w:val="007C7198"/>
    <w:rsid w:val="007C734D"/>
    <w:rsid w:val="007C7489"/>
    <w:rsid w:val="007C7DB8"/>
    <w:rsid w:val="007C7F0C"/>
    <w:rsid w:val="007D0482"/>
    <w:rsid w:val="007D04DF"/>
    <w:rsid w:val="007D0CF4"/>
    <w:rsid w:val="007D0D7D"/>
    <w:rsid w:val="007D0F37"/>
    <w:rsid w:val="007D10F5"/>
    <w:rsid w:val="007D1600"/>
    <w:rsid w:val="007D1B67"/>
    <w:rsid w:val="007D1F0C"/>
    <w:rsid w:val="007D1FC3"/>
    <w:rsid w:val="007D2142"/>
    <w:rsid w:val="007D2312"/>
    <w:rsid w:val="007D2E61"/>
    <w:rsid w:val="007D2F1D"/>
    <w:rsid w:val="007D34FB"/>
    <w:rsid w:val="007D382A"/>
    <w:rsid w:val="007D41FC"/>
    <w:rsid w:val="007D4212"/>
    <w:rsid w:val="007D43E2"/>
    <w:rsid w:val="007D4466"/>
    <w:rsid w:val="007D44BF"/>
    <w:rsid w:val="007D482A"/>
    <w:rsid w:val="007D5295"/>
    <w:rsid w:val="007D54BD"/>
    <w:rsid w:val="007D560E"/>
    <w:rsid w:val="007D571E"/>
    <w:rsid w:val="007D5CAF"/>
    <w:rsid w:val="007D63F9"/>
    <w:rsid w:val="007D6449"/>
    <w:rsid w:val="007D6455"/>
    <w:rsid w:val="007D6759"/>
    <w:rsid w:val="007D6975"/>
    <w:rsid w:val="007D6A6E"/>
    <w:rsid w:val="007D6DE5"/>
    <w:rsid w:val="007D72E2"/>
    <w:rsid w:val="007D73A3"/>
    <w:rsid w:val="007D7437"/>
    <w:rsid w:val="007D7492"/>
    <w:rsid w:val="007D774B"/>
    <w:rsid w:val="007D7CB0"/>
    <w:rsid w:val="007E0D1F"/>
    <w:rsid w:val="007E114E"/>
    <w:rsid w:val="007E117D"/>
    <w:rsid w:val="007E11E0"/>
    <w:rsid w:val="007E1849"/>
    <w:rsid w:val="007E23B3"/>
    <w:rsid w:val="007E2458"/>
    <w:rsid w:val="007E2464"/>
    <w:rsid w:val="007E2B5C"/>
    <w:rsid w:val="007E30C1"/>
    <w:rsid w:val="007E32A9"/>
    <w:rsid w:val="007E34E0"/>
    <w:rsid w:val="007E3506"/>
    <w:rsid w:val="007E37E5"/>
    <w:rsid w:val="007E3D01"/>
    <w:rsid w:val="007E426F"/>
    <w:rsid w:val="007E444C"/>
    <w:rsid w:val="007E44E6"/>
    <w:rsid w:val="007E4862"/>
    <w:rsid w:val="007E4894"/>
    <w:rsid w:val="007E49B9"/>
    <w:rsid w:val="007E50ED"/>
    <w:rsid w:val="007E52D6"/>
    <w:rsid w:val="007E5428"/>
    <w:rsid w:val="007E58EA"/>
    <w:rsid w:val="007E5985"/>
    <w:rsid w:val="007E5B90"/>
    <w:rsid w:val="007E635F"/>
    <w:rsid w:val="007E64FD"/>
    <w:rsid w:val="007E6873"/>
    <w:rsid w:val="007E7160"/>
    <w:rsid w:val="007E74CB"/>
    <w:rsid w:val="007E7A23"/>
    <w:rsid w:val="007E7C82"/>
    <w:rsid w:val="007E7CD6"/>
    <w:rsid w:val="007E7DED"/>
    <w:rsid w:val="007F0004"/>
    <w:rsid w:val="007F0266"/>
    <w:rsid w:val="007F089F"/>
    <w:rsid w:val="007F09DA"/>
    <w:rsid w:val="007F0BB3"/>
    <w:rsid w:val="007F0C53"/>
    <w:rsid w:val="007F0D2D"/>
    <w:rsid w:val="007F0DF9"/>
    <w:rsid w:val="007F107D"/>
    <w:rsid w:val="007F142C"/>
    <w:rsid w:val="007F16A8"/>
    <w:rsid w:val="007F2067"/>
    <w:rsid w:val="007F245E"/>
    <w:rsid w:val="007F2464"/>
    <w:rsid w:val="007F2986"/>
    <w:rsid w:val="007F2B0C"/>
    <w:rsid w:val="007F3131"/>
    <w:rsid w:val="007F326C"/>
    <w:rsid w:val="007F32C0"/>
    <w:rsid w:val="007F341F"/>
    <w:rsid w:val="007F369C"/>
    <w:rsid w:val="007F39A8"/>
    <w:rsid w:val="007F3B1D"/>
    <w:rsid w:val="007F3CB7"/>
    <w:rsid w:val="007F3DBC"/>
    <w:rsid w:val="007F455D"/>
    <w:rsid w:val="007F4773"/>
    <w:rsid w:val="007F4A2A"/>
    <w:rsid w:val="007F4E8C"/>
    <w:rsid w:val="007F53CC"/>
    <w:rsid w:val="007F53D6"/>
    <w:rsid w:val="007F5AFD"/>
    <w:rsid w:val="007F684A"/>
    <w:rsid w:val="007F6DF3"/>
    <w:rsid w:val="007F6FCE"/>
    <w:rsid w:val="007F722B"/>
    <w:rsid w:val="007F7424"/>
    <w:rsid w:val="007F79ED"/>
    <w:rsid w:val="007F7D03"/>
    <w:rsid w:val="0080033E"/>
    <w:rsid w:val="008007CA"/>
    <w:rsid w:val="008008CB"/>
    <w:rsid w:val="008009B5"/>
    <w:rsid w:val="008016DE"/>
    <w:rsid w:val="00801C3A"/>
    <w:rsid w:val="00801E05"/>
    <w:rsid w:val="00802726"/>
    <w:rsid w:val="00802888"/>
    <w:rsid w:val="00802921"/>
    <w:rsid w:val="00803192"/>
    <w:rsid w:val="00803499"/>
    <w:rsid w:val="008038A8"/>
    <w:rsid w:val="00803B23"/>
    <w:rsid w:val="00804043"/>
    <w:rsid w:val="008053EA"/>
    <w:rsid w:val="0080597B"/>
    <w:rsid w:val="00805A9C"/>
    <w:rsid w:val="0080651F"/>
    <w:rsid w:val="0080680D"/>
    <w:rsid w:val="00806C5F"/>
    <w:rsid w:val="00807567"/>
    <w:rsid w:val="00807772"/>
    <w:rsid w:val="008079E7"/>
    <w:rsid w:val="00807A4E"/>
    <w:rsid w:val="00807C17"/>
    <w:rsid w:val="00807E7C"/>
    <w:rsid w:val="00810049"/>
    <w:rsid w:val="00810092"/>
    <w:rsid w:val="008101E3"/>
    <w:rsid w:val="00810300"/>
    <w:rsid w:val="00810412"/>
    <w:rsid w:val="008104B7"/>
    <w:rsid w:val="008104E7"/>
    <w:rsid w:val="008107D5"/>
    <w:rsid w:val="00810CA9"/>
    <w:rsid w:val="00810D23"/>
    <w:rsid w:val="00810D63"/>
    <w:rsid w:val="00811388"/>
    <w:rsid w:val="00811848"/>
    <w:rsid w:val="00811AEF"/>
    <w:rsid w:val="00811EAA"/>
    <w:rsid w:val="00812076"/>
    <w:rsid w:val="0081262C"/>
    <w:rsid w:val="00812CC9"/>
    <w:rsid w:val="00812F20"/>
    <w:rsid w:val="0081321B"/>
    <w:rsid w:val="00813B5E"/>
    <w:rsid w:val="008145DF"/>
    <w:rsid w:val="008146B8"/>
    <w:rsid w:val="008148EC"/>
    <w:rsid w:val="00814D9C"/>
    <w:rsid w:val="00814EC4"/>
    <w:rsid w:val="00815646"/>
    <w:rsid w:val="00815B67"/>
    <w:rsid w:val="00815D46"/>
    <w:rsid w:val="00816557"/>
    <w:rsid w:val="00816B7C"/>
    <w:rsid w:val="0081730A"/>
    <w:rsid w:val="008176C4"/>
    <w:rsid w:val="00817CF3"/>
    <w:rsid w:val="00817E7E"/>
    <w:rsid w:val="008200AD"/>
    <w:rsid w:val="0082012D"/>
    <w:rsid w:val="0082086E"/>
    <w:rsid w:val="00820962"/>
    <w:rsid w:val="008209FA"/>
    <w:rsid w:val="00820E63"/>
    <w:rsid w:val="00820EDC"/>
    <w:rsid w:val="00820FCC"/>
    <w:rsid w:val="00821297"/>
    <w:rsid w:val="008212AB"/>
    <w:rsid w:val="008215C8"/>
    <w:rsid w:val="0082161D"/>
    <w:rsid w:val="00821752"/>
    <w:rsid w:val="00822987"/>
    <w:rsid w:val="00822C3C"/>
    <w:rsid w:val="00823038"/>
    <w:rsid w:val="00823138"/>
    <w:rsid w:val="00823175"/>
    <w:rsid w:val="0082352F"/>
    <w:rsid w:val="008236A0"/>
    <w:rsid w:val="00823A5C"/>
    <w:rsid w:val="00823BC6"/>
    <w:rsid w:val="00823F96"/>
    <w:rsid w:val="00823FD6"/>
    <w:rsid w:val="008241CC"/>
    <w:rsid w:val="00824374"/>
    <w:rsid w:val="0082466A"/>
    <w:rsid w:val="00824919"/>
    <w:rsid w:val="0082568D"/>
    <w:rsid w:val="008256BA"/>
    <w:rsid w:val="00825C8E"/>
    <w:rsid w:val="00826659"/>
    <w:rsid w:val="00826B2D"/>
    <w:rsid w:val="00826B36"/>
    <w:rsid w:val="00826C56"/>
    <w:rsid w:val="00826C74"/>
    <w:rsid w:val="00826F6E"/>
    <w:rsid w:val="008279FF"/>
    <w:rsid w:val="00827CE1"/>
    <w:rsid w:val="008300B9"/>
    <w:rsid w:val="0083079D"/>
    <w:rsid w:val="0083083E"/>
    <w:rsid w:val="00831084"/>
    <w:rsid w:val="008318B2"/>
    <w:rsid w:val="00831D7A"/>
    <w:rsid w:val="00831E41"/>
    <w:rsid w:val="008323DD"/>
    <w:rsid w:val="00832A76"/>
    <w:rsid w:val="00833215"/>
    <w:rsid w:val="00833D61"/>
    <w:rsid w:val="008344BD"/>
    <w:rsid w:val="00835AEC"/>
    <w:rsid w:val="00835C6E"/>
    <w:rsid w:val="00836C6D"/>
    <w:rsid w:val="008374ED"/>
    <w:rsid w:val="008378AF"/>
    <w:rsid w:val="00837CC9"/>
    <w:rsid w:val="008400D0"/>
    <w:rsid w:val="0084020C"/>
    <w:rsid w:val="00840299"/>
    <w:rsid w:val="00840433"/>
    <w:rsid w:val="00840519"/>
    <w:rsid w:val="00840784"/>
    <w:rsid w:val="0084082D"/>
    <w:rsid w:val="0084097D"/>
    <w:rsid w:val="00841E5B"/>
    <w:rsid w:val="008421A2"/>
    <w:rsid w:val="00842460"/>
    <w:rsid w:val="00842C55"/>
    <w:rsid w:val="00842EEF"/>
    <w:rsid w:val="00843633"/>
    <w:rsid w:val="008436F1"/>
    <w:rsid w:val="0084373F"/>
    <w:rsid w:val="0084379A"/>
    <w:rsid w:val="0084385B"/>
    <w:rsid w:val="00843BB3"/>
    <w:rsid w:val="00844270"/>
    <w:rsid w:val="00844352"/>
    <w:rsid w:val="0084545B"/>
    <w:rsid w:val="008457BA"/>
    <w:rsid w:val="0084584F"/>
    <w:rsid w:val="00845C46"/>
    <w:rsid w:val="00845FB2"/>
    <w:rsid w:val="008466D5"/>
    <w:rsid w:val="00846F9C"/>
    <w:rsid w:val="008471E2"/>
    <w:rsid w:val="008471E3"/>
    <w:rsid w:val="00847985"/>
    <w:rsid w:val="00847BD6"/>
    <w:rsid w:val="00847ED2"/>
    <w:rsid w:val="00847FEB"/>
    <w:rsid w:val="00850291"/>
    <w:rsid w:val="00850350"/>
    <w:rsid w:val="00850497"/>
    <w:rsid w:val="00850972"/>
    <w:rsid w:val="00850B07"/>
    <w:rsid w:val="00850D30"/>
    <w:rsid w:val="00850DDF"/>
    <w:rsid w:val="00850F19"/>
    <w:rsid w:val="008515CD"/>
    <w:rsid w:val="00851681"/>
    <w:rsid w:val="008517E1"/>
    <w:rsid w:val="008517F9"/>
    <w:rsid w:val="0085188C"/>
    <w:rsid w:val="00851993"/>
    <w:rsid w:val="00851A29"/>
    <w:rsid w:val="00851C92"/>
    <w:rsid w:val="00852039"/>
    <w:rsid w:val="008527DF"/>
    <w:rsid w:val="008528AB"/>
    <w:rsid w:val="00852B0D"/>
    <w:rsid w:val="00852C4A"/>
    <w:rsid w:val="008531FF"/>
    <w:rsid w:val="0085331C"/>
    <w:rsid w:val="0085396E"/>
    <w:rsid w:val="00853EE5"/>
    <w:rsid w:val="008541F3"/>
    <w:rsid w:val="00854A2B"/>
    <w:rsid w:val="00854A55"/>
    <w:rsid w:val="00854A68"/>
    <w:rsid w:val="00854F6A"/>
    <w:rsid w:val="008554D8"/>
    <w:rsid w:val="008558D6"/>
    <w:rsid w:val="00855BDB"/>
    <w:rsid w:val="00855C65"/>
    <w:rsid w:val="00855C7B"/>
    <w:rsid w:val="00855D7D"/>
    <w:rsid w:val="00856273"/>
    <w:rsid w:val="0085657E"/>
    <w:rsid w:val="008565C6"/>
    <w:rsid w:val="008566AB"/>
    <w:rsid w:val="008567B4"/>
    <w:rsid w:val="00856B4D"/>
    <w:rsid w:val="00856BDF"/>
    <w:rsid w:val="00856EC8"/>
    <w:rsid w:val="0085790B"/>
    <w:rsid w:val="0085799A"/>
    <w:rsid w:val="00857A61"/>
    <w:rsid w:val="008601CB"/>
    <w:rsid w:val="0086040E"/>
    <w:rsid w:val="0086078C"/>
    <w:rsid w:val="008607D8"/>
    <w:rsid w:val="008608EB"/>
    <w:rsid w:val="0086099D"/>
    <w:rsid w:val="00860DFB"/>
    <w:rsid w:val="00861192"/>
    <w:rsid w:val="008613C1"/>
    <w:rsid w:val="008622DE"/>
    <w:rsid w:val="0086247C"/>
    <w:rsid w:val="0086289C"/>
    <w:rsid w:val="008629FE"/>
    <w:rsid w:val="00862DCE"/>
    <w:rsid w:val="0086335E"/>
    <w:rsid w:val="00863415"/>
    <w:rsid w:val="008636DB"/>
    <w:rsid w:val="008637A5"/>
    <w:rsid w:val="00863D8D"/>
    <w:rsid w:val="00863E22"/>
    <w:rsid w:val="008640CA"/>
    <w:rsid w:val="00864156"/>
    <w:rsid w:val="008644FA"/>
    <w:rsid w:val="00864A13"/>
    <w:rsid w:val="00864BD1"/>
    <w:rsid w:val="00865085"/>
    <w:rsid w:val="008650E5"/>
    <w:rsid w:val="008652BE"/>
    <w:rsid w:val="00865B8B"/>
    <w:rsid w:val="00865C82"/>
    <w:rsid w:val="00865EEA"/>
    <w:rsid w:val="00866235"/>
    <w:rsid w:val="0086645D"/>
    <w:rsid w:val="008668BD"/>
    <w:rsid w:val="00866944"/>
    <w:rsid w:val="00866968"/>
    <w:rsid w:val="00866B71"/>
    <w:rsid w:val="00867074"/>
    <w:rsid w:val="00867930"/>
    <w:rsid w:val="00870202"/>
    <w:rsid w:val="008702D5"/>
    <w:rsid w:val="008711DB"/>
    <w:rsid w:val="008717CE"/>
    <w:rsid w:val="0087199F"/>
    <w:rsid w:val="00871FD2"/>
    <w:rsid w:val="008727EF"/>
    <w:rsid w:val="008737F1"/>
    <w:rsid w:val="008738CC"/>
    <w:rsid w:val="00873D09"/>
    <w:rsid w:val="00873E9E"/>
    <w:rsid w:val="008743C4"/>
    <w:rsid w:val="008747A5"/>
    <w:rsid w:val="00874B9C"/>
    <w:rsid w:val="00874D19"/>
    <w:rsid w:val="00875420"/>
    <w:rsid w:val="008758C7"/>
    <w:rsid w:val="00875AD0"/>
    <w:rsid w:val="00875B8A"/>
    <w:rsid w:val="00875F06"/>
    <w:rsid w:val="00876319"/>
    <w:rsid w:val="0087656E"/>
    <w:rsid w:val="008765D2"/>
    <w:rsid w:val="0087681D"/>
    <w:rsid w:val="00876D5F"/>
    <w:rsid w:val="00877763"/>
    <w:rsid w:val="00877C0A"/>
    <w:rsid w:val="00880074"/>
    <w:rsid w:val="008800CC"/>
    <w:rsid w:val="00880222"/>
    <w:rsid w:val="008809B1"/>
    <w:rsid w:val="00880B91"/>
    <w:rsid w:val="00880D2E"/>
    <w:rsid w:val="0088152D"/>
    <w:rsid w:val="00881798"/>
    <w:rsid w:val="0088181A"/>
    <w:rsid w:val="0088184B"/>
    <w:rsid w:val="00881C2F"/>
    <w:rsid w:val="00882377"/>
    <w:rsid w:val="008829EF"/>
    <w:rsid w:val="00882D98"/>
    <w:rsid w:val="00882E64"/>
    <w:rsid w:val="00883751"/>
    <w:rsid w:val="00883F92"/>
    <w:rsid w:val="008841D6"/>
    <w:rsid w:val="008848DC"/>
    <w:rsid w:val="00884C82"/>
    <w:rsid w:val="008850AE"/>
    <w:rsid w:val="00885CEF"/>
    <w:rsid w:val="008860F4"/>
    <w:rsid w:val="008863D7"/>
    <w:rsid w:val="008867A3"/>
    <w:rsid w:val="00886A38"/>
    <w:rsid w:val="00886C8F"/>
    <w:rsid w:val="00886E64"/>
    <w:rsid w:val="00886ED2"/>
    <w:rsid w:val="00887FF4"/>
    <w:rsid w:val="00890098"/>
    <w:rsid w:val="008901F1"/>
    <w:rsid w:val="0089029C"/>
    <w:rsid w:val="008905F3"/>
    <w:rsid w:val="008913B5"/>
    <w:rsid w:val="00891474"/>
    <w:rsid w:val="00891620"/>
    <w:rsid w:val="00891C4C"/>
    <w:rsid w:val="0089229B"/>
    <w:rsid w:val="00892CE0"/>
    <w:rsid w:val="00892F89"/>
    <w:rsid w:val="008934E5"/>
    <w:rsid w:val="00893D64"/>
    <w:rsid w:val="00893F0B"/>
    <w:rsid w:val="00894031"/>
    <w:rsid w:val="00894581"/>
    <w:rsid w:val="008946BE"/>
    <w:rsid w:val="008947CC"/>
    <w:rsid w:val="008948F6"/>
    <w:rsid w:val="00895107"/>
    <w:rsid w:val="00895207"/>
    <w:rsid w:val="00896117"/>
    <w:rsid w:val="00896618"/>
    <w:rsid w:val="008966DC"/>
    <w:rsid w:val="00896905"/>
    <w:rsid w:val="00896A50"/>
    <w:rsid w:val="008976A8"/>
    <w:rsid w:val="00897741"/>
    <w:rsid w:val="00897E7F"/>
    <w:rsid w:val="008A0632"/>
    <w:rsid w:val="008A09B4"/>
    <w:rsid w:val="008A09F0"/>
    <w:rsid w:val="008A1CB9"/>
    <w:rsid w:val="008A225E"/>
    <w:rsid w:val="008A2412"/>
    <w:rsid w:val="008A2592"/>
    <w:rsid w:val="008A28C3"/>
    <w:rsid w:val="008A2E54"/>
    <w:rsid w:val="008A3272"/>
    <w:rsid w:val="008A358F"/>
    <w:rsid w:val="008A3833"/>
    <w:rsid w:val="008A38CE"/>
    <w:rsid w:val="008A39BE"/>
    <w:rsid w:val="008A4393"/>
    <w:rsid w:val="008A4647"/>
    <w:rsid w:val="008A4A8E"/>
    <w:rsid w:val="008A4C7C"/>
    <w:rsid w:val="008A4CB4"/>
    <w:rsid w:val="008A5F15"/>
    <w:rsid w:val="008A64C0"/>
    <w:rsid w:val="008A65A1"/>
    <w:rsid w:val="008A65F0"/>
    <w:rsid w:val="008A6B60"/>
    <w:rsid w:val="008A6C56"/>
    <w:rsid w:val="008A7815"/>
    <w:rsid w:val="008A7832"/>
    <w:rsid w:val="008B0075"/>
    <w:rsid w:val="008B0158"/>
    <w:rsid w:val="008B04C5"/>
    <w:rsid w:val="008B0806"/>
    <w:rsid w:val="008B0F7C"/>
    <w:rsid w:val="008B11AC"/>
    <w:rsid w:val="008B14E9"/>
    <w:rsid w:val="008B1658"/>
    <w:rsid w:val="008B1803"/>
    <w:rsid w:val="008B1C41"/>
    <w:rsid w:val="008B1D0B"/>
    <w:rsid w:val="008B240E"/>
    <w:rsid w:val="008B24E4"/>
    <w:rsid w:val="008B2C89"/>
    <w:rsid w:val="008B2D19"/>
    <w:rsid w:val="008B2D88"/>
    <w:rsid w:val="008B326E"/>
    <w:rsid w:val="008B3366"/>
    <w:rsid w:val="008B34A7"/>
    <w:rsid w:val="008B3814"/>
    <w:rsid w:val="008B3B77"/>
    <w:rsid w:val="008B3E37"/>
    <w:rsid w:val="008B4179"/>
    <w:rsid w:val="008B4564"/>
    <w:rsid w:val="008B461B"/>
    <w:rsid w:val="008B479B"/>
    <w:rsid w:val="008B47FA"/>
    <w:rsid w:val="008B4AC3"/>
    <w:rsid w:val="008B4D13"/>
    <w:rsid w:val="008B505C"/>
    <w:rsid w:val="008B5148"/>
    <w:rsid w:val="008B58B7"/>
    <w:rsid w:val="008B5D77"/>
    <w:rsid w:val="008B658C"/>
    <w:rsid w:val="008B733B"/>
    <w:rsid w:val="008B7835"/>
    <w:rsid w:val="008C049E"/>
    <w:rsid w:val="008C06BA"/>
    <w:rsid w:val="008C0994"/>
    <w:rsid w:val="008C12C6"/>
    <w:rsid w:val="008C1653"/>
    <w:rsid w:val="008C176A"/>
    <w:rsid w:val="008C1F6D"/>
    <w:rsid w:val="008C22B6"/>
    <w:rsid w:val="008C2531"/>
    <w:rsid w:val="008C25C9"/>
    <w:rsid w:val="008C26C6"/>
    <w:rsid w:val="008C34C6"/>
    <w:rsid w:val="008C3594"/>
    <w:rsid w:val="008C3772"/>
    <w:rsid w:val="008C39C0"/>
    <w:rsid w:val="008C3BB3"/>
    <w:rsid w:val="008C4399"/>
    <w:rsid w:val="008C4BA5"/>
    <w:rsid w:val="008C4CC4"/>
    <w:rsid w:val="008C524E"/>
    <w:rsid w:val="008C53D4"/>
    <w:rsid w:val="008C5512"/>
    <w:rsid w:val="008C60CB"/>
    <w:rsid w:val="008C61F2"/>
    <w:rsid w:val="008C62CE"/>
    <w:rsid w:val="008C6771"/>
    <w:rsid w:val="008C6869"/>
    <w:rsid w:val="008C69C0"/>
    <w:rsid w:val="008C6D39"/>
    <w:rsid w:val="008C70D0"/>
    <w:rsid w:val="008C765A"/>
    <w:rsid w:val="008C77BD"/>
    <w:rsid w:val="008C7E78"/>
    <w:rsid w:val="008D13F3"/>
    <w:rsid w:val="008D19AD"/>
    <w:rsid w:val="008D1F83"/>
    <w:rsid w:val="008D2371"/>
    <w:rsid w:val="008D2800"/>
    <w:rsid w:val="008D2B56"/>
    <w:rsid w:val="008D3490"/>
    <w:rsid w:val="008D34AD"/>
    <w:rsid w:val="008D3AF6"/>
    <w:rsid w:val="008D3D53"/>
    <w:rsid w:val="008D3EB7"/>
    <w:rsid w:val="008D4887"/>
    <w:rsid w:val="008D48E0"/>
    <w:rsid w:val="008D4BFE"/>
    <w:rsid w:val="008D4EC8"/>
    <w:rsid w:val="008D4F94"/>
    <w:rsid w:val="008D51CE"/>
    <w:rsid w:val="008D51E6"/>
    <w:rsid w:val="008D54D6"/>
    <w:rsid w:val="008D5C82"/>
    <w:rsid w:val="008D5E24"/>
    <w:rsid w:val="008D6F27"/>
    <w:rsid w:val="008D6FBD"/>
    <w:rsid w:val="008D70AC"/>
    <w:rsid w:val="008D715E"/>
    <w:rsid w:val="008D72A5"/>
    <w:rsid w:val="008D7789"/>
    <w:rsid w:val="008D7D25"/>
    <w:rsid w:val="008E0139"/>
    <w:rsid w:val="008E0180"/>
    <w:rsid w:val="008E01C4"/>
    <w:rsid w:val="008E0773"/>
    <w:rsid w:val="008E0ED5"/>
    <w:rsid w:val="008E1434"/>
    <w:rsid w:val="008E14D7"/>
    <w:rsid w:val="008E1800"/>
    <w:rsid w:val="008E18A3"/>
    <w:rsid w:val="008E37EA"/>
    <w:rsid w:val="008E3884"/>
    <w:rsid w:val="008E38AC"/>
    <w:rsid w:val="008E3CD4"/>
    <w:rsid w:val="008E3EE8"/>
    <w:rsid w:val="008E4032"/>
    <w:rsid w:val="008E451F"/>
    <w:rsid w:val="008E476F"/>
    <w:rsid w:val="008E484E"/>
    <w:rsid w:val="008E4864"/>
    <w:rsid w:val="008E4CA4"/>
    <w:rsid w:val="008E5695"/>
    <w:rsid w:val="008E5728"/>
    <w:rsid w:val="008E5E8A"/>
    <w:rsid w:val="008E6174"/>
    <w:rsid w:val="008E6219"/>
    <w:rsid w:val="008E67C0"/>
    <w:rsid w:val="008E6809"/>
    <w:rsid w:val="008F0BC0"/>
    <w:rsid w:val="008F1281"/>
    <w:rsid w:val="008F1DFC"/>
    <w:rsid w:val="008F24CA"/>
    <w:rsid w:val="008F2977"/>
    <w:rsid w:val="008F2F4B"/>
    <w:rsid w:val="008F3636"/>
    <w:rsid w:val="008F3F3E"/>
    <w:rsid w:val="008F3F6E"/>
    <w:rsid w:val="008F45A9"/>
    <w:rsid w:val="008F45CF"/>
    <w:rsid w:val="008F4697"/>
    <w:rsid w:val="008F495B"/>
    <w:rsid w:val="008F4A8B"/>
    <w:rsid w:val="008F4A9F"/>
    <w:rsid w:val="008F4DFC"/>
    <w:rsid w:val="008F4E1B"/>
    <w:rsid w:val="008F5526"/>
    <w:rsid w:val="008F583A"/>
    <w:rsid w:val="008F5898"/>
    <w:rsid w:val="008F5E1F"/>
    <w:rsid w:val="008F5FA1"/>
    <w:rsid w:val="008F5FAC"/>
    <w:rsid w:val="008F6237"/>
    <w:rsid w:val="008F6416"/>
    <w:rsid w:val="008F6962"/>
    <w:rsid w:val="008F73F4"/>
    <w:rsid w:val="008F7561"/>
    <w:rsid w:val="008F75C8"/>
    <w:rsid w:val="008F79C9"/>
    <w:rsid w:val="008F7A56"/>
    <w:rsid w:val="00900692"/>
    <w:rsid w:val="00900D7C"/>
    <w:rsid w:val="00900EAD"/>
    <w:rsid w:val="00901631"/>
    <w:rsid w:val="009016BF"/>
    <w:rsid w:val="009017BE"/>
    <w:rsid w:val="009019D5"/>
    <w:rsid w:val="00901BB9"/>
    <w:rsid w:val="00901D48"/>
    <w:rsid w:val="00902CC2"/>
    <w:rsid w:val="009031FF"/>
    <w:rsid w:val="00903A4F"/>
    <w:rsid w:val="00903AC0"/>
    <w:rsid w:val="00903C72"/>
    <w:rsid w:val="009042A1"/>
    <w:rsid w:val="00904584"/>
    <w:rsid w:val="00905136"/>
    <w:rsid w:val="00905203"/>
    <w:rsid w:val="009053F2"/>
    <w:rsid w:val="009054BF"/>
    <w:rsid w:val="00905910"/>
    <w:rsid w:val="009063FB"/>
    <w:rsid w:val="00906AAA"/>
    <w:rsid w:val="00906AAE"/>
    <w:rsid w:val="00906BFB"/>
    <w:rsid w:val="0090705C"/>
    <w:rsid w:val="009070F8"/>
    <w:rsid w:val="00907592"/>
    <w:rsid w:val="00907BDD"/>
    <w:rsid w:val="00910287"/>
    <w:rsid w:val="00910C44"/>
    <w:rsid w:val="00910D1F"/>
    <w:rsid w:val="00911115"/>
    <w:rsid w:val="009112C6"/>
    <w:rsid w:val="009113A9"/>
    <w:rsid w:val="0091143F"/>
    <w:rsid w:val="0091186E"/>
    <w:rsid w:val="009122EB"/>
    <w:rsid w:val="009124D9"/>
    <w:rsid w:val="00912BC1"/>
    <w:rsid w:val="00912C0A"/>
    <w:rsid w:val="00912E1C"/>
    <w:rsid w:val="009134D0"/>
    <w:rsid w:val="009144C0"/>
    <w:rsid w:val="0091473B"/>
    <w:rsid w:val="00914B87"/>
    <w:rsid w:val="00914ED0"/>
    <w:rsid w:val="00915127"/>
    <w:rsid w:val="00915337"/>
    <w:rsid w:val="00915385"/>
    <w:rsid w:val="009155B9"/>
    <w:rsid w:val="00915664"/>
    <w:rsid w:val="009159AE"/>
    <w:rsid w:val="00915AB9"/>
    <w:rsid w:val="0091606A"/>
    <w:rsid w:val="0091667B"/>
    <w:rsid w:val="009168A2"/>
    <w:rsid w:val="00916C12"/>
    <w:rsid w:val="00917153"/>
    <w:rsid w:val="00917394"/>
    <w:rsid w:val="009176FC"/>
    <w:rsid w:val="00917EAD"/>
    <w:rsid w:val="00917FA8"/>
    <w:rsid w:val="00920275"/>
    <w:rsid w:val="0092041F"/>
    <w:rsid w:val="009206B5"/>
    <w:rsid w:val="00920C1A"/>
    <w:rsid w:val="009211C9"/>
    <w:rsid w:val="00921392"/>
    <w:rsid w:val="00921931"/>
    <w:rsid w:val="0092295C"/>
    <w:rsid w:val="00922A16"/>
    <w:rsid w:val="00922A7F"/>
    <w:rsid w:val="00922D48"/>
    <w:rsid w:val="009234F0"/>
    <w:rsid w:val="009239B3"/>
    <w:rsid w:val="0092433C"/>
    <w:rsid w:val="009248F8"/>
    <w:rsid w:val="00924A1F"/>
    <w:rsid w:val="00924A6C"/>
    <w:rsid w:val="00924F2B"/>
    <w:rsid w:val="00924F83"/>
    <w:rsid w:val="009252CC"/>
    <w:rsid w:val="0092562E"/>
    <w:rsid w:val="0092570E"/>
    <w:rsid w:val="009257E3"/>
    <w:rsid w:val="009259A6"/>
    <w:rsid w:val="00926436"/>
    <w:rsid w:val="009269F7"/>
    <w:rsid w:val="00926ABE"/>
    <w:rsid w:val="00926C3C"/>
    <w:rsid w:val="00926CBE"/>
    <w:rsid w:val="00927624"/>
    <w:rsid w:val="009277BD"/>
    <w:rsid w:val="00927B5B"/>
    <w:rsid w:val="00927F24"/>
    <w:rsid w:val="009303FB"/>
    <w:rsid w:val="009305F8"/>
    <w:rsid w:val="00930A85"/>
    <w:rsid w:val="00930FF4"/>
    <w:rsid w:val="0093162F"/>
    <w:rsid w:val="00931CAF"/>
    <w:rsid w:val="00932435"/>
    <w:rsid w:val="00932679"/>
    <w:rsid w:val="00932904"/>
    <w:rsid w:val="00932F94"/>
    <w:rsid w:val="009332CA"/>
    <w:rsid w:val="00933304"/>
    <w:rsid w:val="00933464"/>
    <w:rsid w:val="00933629"/>
    <w:rsid w:val="00933B3E"/>
    <w:rsid w:val="00933CFE"/>
    <w:rsid w:val="00933FE9"/>
    <w:rsid w:val="0093428D"/>
    <w:rsid w:val="00934681"/>
    <w:rsid w:val="00934817"/>
    <w:rsid w:val="00934CF6"/>
    <w:rsid w:val="0093517B"/>
    <w:rsid w:val="009358B3"/>
    <w:rsid w:val="00935AE2"/>
    <w:rsid w:val="00935D81"/>
    <w:rsid w:val="009360D1"/>
    <w:rsid w:val="00936159"/>
    <w:rsid w:val="0093640C"/>
    <w:rsid w:val="00936934"/>
    <w:rsid w:val="0093732B"/>
    <w:rsid w:val="00937C34"/>
    <w:rsid w:val="00937C37"/>
    <w:rsid w:val="009403CC"/>
    <w:rsid w:val="009409B0"/>
    <w:rsid w:val="009409D4"/>
    <w:rsid w:val="00940C96"/>
    <w:rsid w:val="00940F6B"/>
    <w:rsid w:val="00940FA9"/>
    <w:rsid w:val="009413EA"/>
    <w:rsid w:val="00941D17"/>
    <w:rsid w:val="00942046"/>
    <w:rsid w:val="00942442"/>
    <w:rsid w:val="009424A8"/>
    <w:rsid w:val="0094291E"/>
    <w:rsid w:val="00942A0A"/>
    <w:rsid w:val="00942D09"/>
    <w:rsid w:val="00942E43"/>
    <w:rsid w:val="00942E60"/>
    <w:rsid w:val="00943117"/>
    <w:rsid w:val="00943308"/>
    <w:rsid w:val="0094369C"/>
    <w:rsid w:val="0094373D"/>
    <w:rsid w:val="00943F76"/>
    <w:rsid w:val="00944204"/>
    <w:rsid w:val="00944296"/>
    <w:rsid w:val="00944E83"/>
    <w:rsid w:val="009453DE"/>
    <w:rsid w:val="00945563"/>
    <w:rsid w:val="00945E97"/>
    <w:rsid w:val="0094667E"/>
    <w:rsid w:val="00946A7B"/>
    <w:rsid w:val="00947328"/>
    <w:rsid w:val="00947806"/>
    <w:rsid w:val="00947944"/>
    <w:rsid w:val="00947C88"/>
    <w:rsid w:val="0095004B"/>
    <w:rsid w:val="009509F5"/>
    <w:rsid w:val="00950A22"/>
    <w:rsid w:val="00950AAD"/>
    <w:rsid w:val="00950C04"/>
    <w:rsid w:val="00950CFB"/>
    <w:rsid w:val="00950FB7"/>
    <w:rsid w:val="0095116E"/>
    <w:rsid w:val="00952D36"/>
    <w:rsid w:val="00952D78"/>
    <w:rsid w:val="00953516"/>
    <w:rsid w:val="0095354A"/>
    <w:rsid w:val="00953AEB"/>
    <w:rsid w:val="00953CEB"/>
    <w:rsid w:val="00953E9C"/>
    <w:rsid w:val="0095453C"/>
    <w:rsid w:val="009545AA"/>
    <w:rsid w:val="009548D7"/>
    <w:rsid w:val="00954A4E"/>
    <w:rsid w:val="00955202"/>
    <w:rsid w:val="00955258"/>
    <w:rsid w:val="0095554F"/>
    <w:rsid w:val="00955559"/>
    <w:rsid w:val="00955BC1"/>
    <w:rsid w:val="00955E52"/>
    <w:rsid w:val="0095602A"/>
    <w:rsid w:val="00956BD8"/>
    <w:rsid w:val="00956C7C"/>
    <w:rsid w:val="00956CE4"/>
    <w:rsid w:val="00956E70"/>
    <w:rsid w:val="00957612"/>
    <w:rsid w:val="00957739"/>
    <w:rsid w:val="009601D8"/>
    <w:rsid w:val="00960BBF"/>
    <w:rsid w:val="00960BC6"/>
    <w:rsid w:val="00960E66"/>
    <w:rsid w:val="0096274C"/>
    <w:rsid w:val="009627F7"/>
    <w:rsid w:val="00962B7D"/>
    <w:rsid w:val="00962D98"/>
    <w:rsid w:val="00963501"/>
    <w:rsid w:val="00963639"/>
    <w:rsid w:val="00963CB5"/>
    <w:rsid w:val="009640A6"/>
    <w:rsid w:val="00964494"/>
    <w:rsid w:val="00964841"/>
    <w:rsid w:val="009649BC"/>
    <w:rsid w:val="009649DB"/>
    <w:rsid w:val="00964B8D"/>
    <w:rsid w:val="00964D2B"/>
    <w:rsid w:val="00964E43"/>
    <w:rsid w:val="00964EF7"/>
    <w:rsid w:val="009659EC"/>
    <w:rsid w:val="00965A3B"/>
    <w:rsid w:val="009660AB"/>
    <w:rsid w:val="0096630E"/>
    <w:rsid w:val="00966955"/>
    <w:rsid w:val="009671E3"/>
    <w:rsid w:val="009674E4"/>
    <w:rsid w:val="0096754F"/>
    <w:rsid w:val="009675FF"/>
    <w:rsid w:val="0096763A"/>
    <w:rsid w:val="0096796A"/>
    <w:rsid w:val="009679C3"/>
    <w:rsid w:val="00967CBF"/>
    <w:rsid w:val="00970518"/>
    <w:rsid w:val="00970A77"/>
    <w:rsid w:val="00970DA6"/>
    <w:rsid w:val="00971280"/>
    <w:rsid w:val="00971433"/>
    <w:rsid w:val="0097164D"/>
    <w:rsid w:val="00971951"/>
    <w:rsid w:val="00971BA7"/>
    <w:rsid w:val="00971C74"/>
    <w:rsid w:val="00971E73"/>
    <w:rsid w:val="00972340"/>
    <w:rsid w:val="00972390"/>
    <w:rsid w:val="009723C1"/>
    <w:rsid w:val="00972682"/>
    <w:rsid w:val="00972A77"/>
    <w:rsid w:val="00972F21"/>
    <w:rsid w:val="009732B4"/>
    <w:rsid w:val="00973322"/>
    <w:rsid w:val="0097341C"/>
    <w:rsid w:val="0097359D"/>
    <w:rsid w:val="00973810"/>
    <w:rsid w:val="009738B0"/>
    <w:rsid w:val="00973B8F"/>
    <w:rsid w:val="00973E8F"/>
    <w:rsid w:val="0097413F"/>
    <w:rsid w:val="0097426F"/>
    <w:rsid w:val="00974356"/>
    <w:rsid w:val="009748F6"/>
    <w:rsid w:val="009749DC"/>
    <w:rsid w:val="00974E1D"/>
    <w:rsid w:val="009759A6"/>
    <w:rsid w:val="009759CB"/>
    <w:rsid w:val="00975A12"/>
    <w:rsid w:val="00975B43"/>
    <w:rsid w:val="00975CB0"/>
    <w:rsid w:val="00975D47"/>
    <w:rsid w:val="00976296"/>
    <w:rsid w:val="0097649F"/>
    <w:rsid w:val="00976639"/>
    <w:rsid w:val="009766C1"/>
    <w:rsid w:val="00976D8B"/>
    <w:rsid w:val="00976FC9"/>
    <w:rsid w:val="0097756D"/>
    <w:rsid w:val="0098027C"/>
    <w:rsid w:val="0098078A"/>
    <w:rsid w:val="009807BC"/>
    <w:rsid w:val="00980A5A"/>
    <w:rsid w:val="00981F57"/>
    <w:rsid w:val="009827E8"/>
    <w:rsid w:val="0098280B"/>
    <w:rsid w:val="00982B47"/>
    <w:rsid w:val="00982E18"/>
    <w:rsid w:val="00982FBD"/>
    <w:rsid w:val="0098344C"/>
    <w:rsid w:val="009839F7"/>
    <w:rsid w:val="00983C7D"/>
    <w:rsid w:val="00983DA4"/>
    <w:rsid w:val="00984154"/>
    <w:rsid w:val="00984532"/>
    <w:rsid w:val="00984A82"/>
    <w:rsid w:val="00984BB4"/>
    <w:rsid w:val="00985015"/>
    <w:rsid w:val="009850DC"/>
    <w:rsid w:val="009851F3"/>
    <w:rsid w:val="009852E2"/>
    <w:rsid w:val="009852FB"/>
    <w:rsid w:val="0098595A"/>
    <w:rsid w:val="00985E8A"/>
    <w:rsid w:val="00986064"/>
    <w:rsid w:val="0098609F"/>
    <w:rsid w:val="0098650C"/>
    <w:rsid w:val="00986AA1"/>
    <w:rsid w:val="00986B7C"/>
    <w:rsid w:val="00986C38"/>
    <w:rsid w:val="00986D0F"/>
    <w:rsid w:val="00986F28"/>
    <w:rsid w:val="00987D41"/>
    <w:rsid w:val="00987D65"/>
    <w:rsid w:val="00987DB9"/>
    <w:rsid w:val="0099035F"/>
    <w:rsid w:val="009907E1"/>
    <w:rsid w:val="00990839"/>
    <w:rsid w:val="00990C54"/>
    <w:rsid w:val="00990CC4"/>
    <w:rsid w:val="00990EFA"/>
    <w:rsid w:val="0099169D"/>
    <w:rsid w:val="00991719"/>
    <w:rsid w:val="00991764"/>
    <w:rsid w:val="0099178F"/>
    <w:rsid w:val="00991BC6"/>
    <w:rsid w:val="00991C56"/>
    <w:rsid w:val="00991C88"/>
    <w:rsid w:val="00991F2E"/>
    <w:rsid w:val="0099202B"/>
    <w:rsid w:val="0099340B"/>
    <w:rsid w:val="00993B86"/>
    <w:rsid w:val="00993DAF"/>
    <w:rsid w:val="00993EF8"/>
    <w:rsid w:val="0099433D"/>
    <w:rsid w:val="009945D5"/>
    <w:rsid w:val="00994A28"/>
    <w:rsid w:val="00994A39"/>
    <w:rsid w:val="00994DCA"/>
    <w:rsid w:val="009950BE"/>
    <w:rsid w:val="009951AF"/>
    <w:rsid w:val="00995724"/>
    <w:rsid w:val="00995754"/>
    <w:rsid w:val="0099585D"/>
    <w:rsid w:val="009959C2"/>
    <w:rsid w:val="00995A10"/>
    <w:rsid w:val="00995D07"/>
    <w:rsid w:val="00995E86"/>
    <w:rsid w:val="00996BE8"/>
    <w:rsid w:val="00996C3C"/>
    <w:rsid w:val="0099712D"/>
    <w:rsid w:val="009972B7"/>
    <w:rsid w:val="00997802"/>
    <w:rsid w:val="009979EE"/>
    <w:rsid w:val="00997AA8"/>
    <w:rsid w:val="00997AEC"/>
    <w:rsid w:val="00997DA4"/>
    <w:rsid w:val="009A05A4"/>
    <w:rsid w:val="009A0706"/>
    <w:rsid w:val="009A0D07"/>
    <w:rsid w:val="009A119B"/>
    <w:rsid w:val="009A13D0"/>
    <w:rsid w:val="009A15FA"/>
    <w:rsid w:val="009A16A9"/>
    <w:rsid w:val="009A1D3D"/>
    <w:rsid w:val="009A1E0B"/>
    <w:rsid w:val="009A2047"/>
    <w:rsid w:val="009A22D5"/>
    <w:rsid w:val="009A250A"/>
    <w:rsid w:val="009A2631"/>
    <w:rsid w:val="009A2C3B"/>
    <w:rsid w:val="009A2D3C"/>
    <w:rsid w:val="009A2D68"/>
    <w:rsid w:val="009A2E6E"/>
    <w:rsid w:val="009A2FC1"/>
    <w:rsid w:val="009A35EB"/>
    <w:rsid w:val="009A3A40"/>
    <w:rsid w:val="009A3CA4"/>
    <w:rsid w:val="009A43A1"/>
    <w:rsid w:val="009A493D"/>
    <w:rsid w:val="009A4A76"/>
    <w:rsid w:val="009A4C7C"/>
    <w:rsid w:val="009A4E67"/>
    <w:rsid w:val="009A5FE4"/>
    <w:rsid w:val="009A60B6"/>
    <w:rsid w:val="009A6F00"/>
    <w:rsid w:val="009A6F19"/>
    <w:rsid w:val="009A73CF"/>
    <w:rsid w:val="009A7481"/>
    <w:rsid w:val="009A7485"/>
    <w:rsid w:val="009A74BE"/>
    <w:rsid w:val="009A79B3"/>
    <w:rsid w:val="009B038C"/>
    <w:rsid w:val="009B0586"/>
    <w:rsid w:val="009B0C88"/>
    <w:rsid w:val="009B0E45"/>
    <w:rsid w:val="009B0E4B"/>
    <w:rsid w:val="009B0F2F"/>
    <w:rsid w:val="009B1042"/>
    <w:rsid w:val="009B14B8"/>
    <w:rsid w:val="009B1741"/>
    <w:rsid w:val="009B1931"/>
    <w:rsid w:val="009B1A93"/>
    <w:rsid w:val="009B1F76"/>
    <w:rsid w:val="009B1FEA"/>
    <w:rsid w:val="009B1FFD"/>
    <w:rsid w:val="009B1FFE"/>
    <w:rsid w:val="009B2112"/>
    <w:rsid w:val="009B26C7"/>
    <w:rsid w:val="009B2DBA"/>
    <w:rsid w:val="009B2F8D"/>
    <w:rsid w:val="009B3847"/>
    <w:rsid w:val="009B3DFE"/>
    <w:rsid w:val="009B3EF0"/>
    <w:rsid w:val="009B42FA"/>
    <w:rsid w:val="009B4546"/>
    <w:rsid w:val="009B47FF"/>
    <w:rsid w:val="009B4883"/>
    <w:rsid w:val="009B4906"/>
    <w:rsid w:val="009B4A25"/>
    <w:rsid w:val="009B4BC8"/>
    <w:rsid w:val="009B4EAE"/>
    <w:rsid w:val="009B557D"/>
    <w:rsid w:val="009B5B17"/>
    <w:rsid w:val="009B5C38"/>
    <w:rsid w:val="009B5DFD"/>
    <w:rsid w:val="009B604C"/>
    <w:rsid w:val="009B6A23"/>
    <w:rsid w:val="009B798F"/>
    <w:rsid w:val="009C01AB"/>
    <w:rsid w:val="009C03FE"/>
    <w:rsid w:val="009C0824"/>
    <w:rsid w:val="009C0875"/>
    <w:rsid w:val="009C0990"/>
    <w:rsid w:val="009C0B42"/>
    <w:rsid w:val="009C14DE"/>
    <w:rsid w:val="009C1555"/>
    <w:rsid w:val="009C1946"/>
    <w:rsid w:val="009C21BC"/>
    <w:rsid w:val="009C237F"/>
    <w:rsid w:val="009C23E0"/>
    <w:rsid w:val="009C24CD"/>
    <w:rsid w:val="009C2A88"/>
    <w:rsid w:val="009C39F7"/>
    <w:rsid w:val="009C3A97"/>
    <w:rsid w:val="009C3E2C"/>
    <w:rsid w:val="009C4094"/>
    <w:rsid w:val="009C41F8"/>
    <w:rsid w:val="009C458A"/>
    <w:rsid w:val="009C4E4D"/>
    <w:rsid w:val="009C523F"/>
    <w:rsid w:val="009C5380"/>
    <w:rsid w:val="009C59AF"/>
    <w:rsid w:val="009C5E9F"/>
    <w:rsid w:val="009C6240"/>
    <w:rsid w:val="009C6CBE"/>
    <w:rsid w:val="009C70A6"/>
    <w:rsid w:val="009C735A"/>
    <w:rsid w:val="009C79F7"/>
    <w:rsid w:val="009C7A3F"/>
    <w:rsid w:val="009C7F9E"/>
    <w:rsid w:val="009D051D"/>
    <w:rsid w:val="009D078D"/>
    <w:rsid w:val="009D0801"/>
    <w:rsid w:val="009D0DD3"/>
    <w:rsid w:val="009D15E8"/>
    <w:rsid w:val="009D1998"/>
    <w:rsid w:val="009D1EC9"/>
    <w:rsid w:val="009D1F4E"/>
    <w:rsid w:val="009D1F67"/>
    <w:rsid w:val="009D202F"/>
    <w:rsid w:val="009D2880"/>
    <w:rsid w:val="009D2A39"/>
    <w:rsid w:val="009D2C33"/>
    <w:rsid w:val="009D2C99"/>
    <w:rsid w:val="009D2F97"/>
    <w:rsid w:val="009D2FC7"/>
    <w:rsid w:val="009D37CF"/>
    <w:rsid w:val="009D3C85"/>
    <w:rsid w:val="009D43E3"/>
    <w:rsid w:val="009D4862"/>
    <w:rsid w:val="009D49CD"/>
    <w:rsid w:val="009D4C82"/>
    <w:rsid w:val="009D4EAE"/>
    <w:rsid w:val="009D50EA"/>
    <w:rsid w:val="009D553D"/>
    <w:rsid w:val="009D5A5A"/>
    <w:rsid w:val="009D61B0"/>
    <w:rsid w:val="009D6474"/>
    <w:rsid w:val="009D64DE"/>
    <w:rsid w:val="009D6BDD"/>
    <w:rsid w:val="009D704C"/>
    <w:rsid w:val="009D7406"/>
    <w:rsid w:val="009D77A9"/>
    <w:rsid w:val="009D7D4E"/>
    <w:rsid w:val="009E0425"/>
    <w:rsid w:val="009E046C"/>
    <w:rsid w:val="009E1A5B"/>
    <w:rsid w:val="009E1B2B"/>
    <w:rsid w:val="009E2393"/>
    <w:rsid w:val="009E2394"/>
    <w:rsid w:val="009E23D4"/>
    <w:rsid w:val="009E2B18"/>
    <w:rsid w:val="009E2F3B"/>
    <w:rsid w:val="009E3161"/>
    <w:rsid w:val="009E32BA"/>
    <w:rsid w:val="009E3826"/>
    <w:rsid w:val="009E388E"/>
    <w:rsid w:val="009E4241"/>
    <w:rsid w:val="009E42A2"/>
    <w:rsid w:val="009E44CF"/>
    <w:rsid w:val="009E477F"/>
    <w:rsid w:val="009E49C2"/>
    <w:rsid w:val="009E4C1A"/>
    <w:rsid w:val="009E56A8"/>
    <w:rsid w:val="009E5C82"/>
    <w:rsid w:val="009E5E96"/>
    <w:rsid w:val="009E6475"/>
    <w:rsid w:val="009E69C6"/>
    <w:rsid w:val="009E6C68"/>
    <w:rsid w:val="009E6CBA"/>
    <w:rsid w:val="009E7858"/>
    <w:rsid w:val="009E79E5"/>
    <w:rsid w:val="009E7AB6"/>
    <w:rsid w:val="009E7CB2"/>
    <w:rsid w:val="009E7F59"/>
    <w:rsid w:val="009F00AE"/>
    <w:rsid w:val="009F00DA"/>
    <w:rsid w:val="009F01D1"/>
    <w:rsid w:val="009F0C89"/>
    <w:rsid w:val="009F10BE"/>
    <w:rsid w:val="009F154E"/>
    <w:rsid w:val="009F1B83"/>
    <w:rsid w:val="009F1C75"/>
    <w:rsid w:val="009F2523"/>
    <w:rsid w:val="009F25AE"/>
    <w:rsid w:val="009F25F6"/>
    <w:rsid w:val="009F2D09"/>
    <w:rsid w:val="009F2D84"/>
    <w:rsid w:val="009F2E0D"/>
    <w:rsid w:val="009F332A"/>
    <w:rsid w:val="009F33F8"/>
    <w:rsid w:val="009F350D"/>
    <w:rsid w:val="009F35BD"/>
    <w:rsid w:val="009F374B"/>
    <w:rsid w:val="009F38DA"/>
    <w:rsid w:val="009F3EC2"/>
    <w:rsid w:val="009F4027"/>
    <w:rsid w:val="009F406F"/>
    <w:rsid w:val="009F4250"/>
    <w:rsid w:val="009F4450"/>
    <w:rsid w:val="009F4486"/>
    <w:rsid w:val="009F48AB"/>
    <w:rsid w:val="009F4969"/>
    <w:rsid w:val="009F4D56"/>
    <w:rsid w:val="009F538A"/>
    <w:rsid w:val="009F5710"/>
    <w:rsid w:val="009F5B7D"/>
    <w:rsid w:val="009F5D0D"/>
    <w:rsid w:val="009F5DB3"/>
    <w:rsid w:val="009F5F5A"/>
    <w:rsid w:val="009F639E"/>
    <w:rsid w:val="009F671B"/>
    <w:rsid w:val="009F6C9C"/>
    <w:rsid w:val="009F707B"/>
    <w:rsid w:val="009F724D"/>
    <w:rsid w:val="009F7285"/>
    <w:rsid w:val="009F77A5"/>
    <w:rsid w:val="009F7AA4"/>
    <w:rsid w:val="009F7E73"/>
    <w:rsid w:val="009F7E9A"/>
    <w:rsid w:val="00A00021"/>
    <w:rsid w:val="00A0015D"/>
    <w:rsid w:val="00A003DC"/>
    <w:rsid w:val="00A009A8"/>
    <w:rsid w:val="00A00C7D"/>
    <w:rsid w:val="00A00ECF"/>
    <w:rsid w:val="00A00F4B"/>
    <w:rsid w:val="00A01339"/>
    <w:rsid w:val="00A0145E"/>
    <w:rsid w:val="00A01C19"/>
    <w:rsid w:val="00A01C38"/>
    <w:rsid w:val="00A02132"/>
    <w:rsid w:val="00A0220E"/>
    <w:rsid w:val="00A0257B"/>
    <w:rsid w:val="00A02709"/>
    <w:rsid w:val="00A027C0"/>
    <w:rsid w:val="00A02F6F"/>
    <w:rsid w:val="00A03188"/>
    <w:rsid w:val="00A03437"/>
    <w:rsid w:val="00A0355A"/>
    <w:rsid w:val="00A03889"/>
    <w:rsid w:val="00A03EA6"/>
    <w:rsid w:val="00A0472E"/>
    <w:rsid w:val="00A04A66"/>
    <w:rsid w:val="00A0529B"/>
    <w:rsid w:val="00A05572"/>
    <w:rsid w:val="00A055EC"/>
    <w:rsid w:val="00A058A1"/>
    <w:rsid w:val="00A065B4"/>
    <w:rsid w:val="00A06BAF"/>
    <w:rsid w:val="00A06FFD"/>
    <w:rsid w:val="00A073EF"/>
    <w:rsid w:val="00A07610"/>
    <w:rsid w:val="00A076AF"/>
    <w:rsid w:val="00A0773F"/>
    <w:rsid w:val="00A078CF"/>
    <w:rsid w:val="00A07B97"/>
    <w:rsid w:val="00A07D9B"/>
    <w:rsid w:val="00A10296"/>
    <w:rsid w:val="00A1037C"/>
    <w:rsid w:val="00A1090F"/>
    <w:rsid w:val="00A10A17"/>
    <w:rsid w:val="00A10D2F"/>
    <w:rsid w:val="00A10E35"/>
    <w:rsid w:val="00A1153E"/>
    <w:rsid w:val="00A1166C"/>
    <w:rsid w:val="00A116CE"/>
    <w:rsid w:val="00A1210D"/>
    <w:rsid w:val="00A1232D"/>
    <w:rsid w:val="00A1253D"/>
    <w:rsid w:val="00A12AC8"/>
    <w:rsid w:val="00A12CEB"/>
    <w:rsid w:val="00A12E0A"/>
    <w:rsid w:val="00A12E7F"/>
    <w:rsid w:val="00A1315F"/>
    <w:rsid w:val="00A13239"/>
    <w:rsid w:val="00A1351E"/>
    <w:rsid w:val="00A13827"/>
    <w:rsid w:val="00A13D25"/>
    <w:rsid w:val="00A14137"/>
    <w:rsid w:val="00A1436F"/>
    <w:rsid w:val="00A14B0B"/>
    <w:rsid w:val="00A14E1F"/>
    <w:rsid w:val="00A152BD"/>
    <w:rsid w:val="00A15B35"/>
    <w:rsid w:val="00A15C76"/>
    <w:rsid w:val="00A15D5B"/>
    <w:rsid w:val="00A16247"/>
    <w:rsid w:val="00A1632B"/>
    <w:rsid w:val="00A1640A"/>
    <w:rsid w:val="00A16423"/>
    <w:rsid w:val="00A16513"/>
    <w:rsid w:val="00A16701"/>
    <w:rsid w:val="00A16806"/>
    <w:rsid w:val="00A16B46"/>
    <w:rsid w:val="00A17322"/>
    <w:rsid w:val="00A17CA4"/>
    <w:rsid w:val="00A17F3D"/>
    <w:rsid w:val="00A201A2"/>
    <w:rsid w:val="00A2049F"/>
    <w:rsid w:val="00A204D7"/>
    <w:rsid w:val="00A206B3"/>
    <w:rsid w:val="00A209AC"/>
    <w:rsid w:val="00A20AE2"/>
    <w:rsid w:val="00A210C4"/>
    <w:rsid w:val="00A2123C"/>
    <w:rsid w:val="00A2179F"/>
    <w:rsid w:val="00A21E51"/>
    <w:rsid w:val="00A22001"/>
    <w:rsid w:val="00A22D0E"/>
    <w:rsid w:val="00A230AF"/>
    <w:rsid w:val="00A231EF"/>
    <w:rsid w:val="00A23297"/>
    <w:rsid w:val="00A237B6"/>
    <w:rsid w:val="00A23EF8"/>
    <w:rsid w:val="00A23FB5"/>
    <w:rsid w:val="00A23FDB"/>
    <w:rsid w:val="00A24077"/>
    <w:rsid w:val="00A24285"/>
    <w:rsid w:val="00A243EF"/>
    <w:rsid w:val="00A24531"/>
    <w:rsid w:val="00A24660"/>
    <w:rsid w:val="00A24C87"/>
    <w:rsid w:val="00A24EA9"/>
    <w:rsid w:val="00A25A3F"/>
    <w:rsid w:val="00A25CD0"/>
    <w:rsid w:val="00A25E4C"/>
    <w:rsid w:val="00A262E3"/>
    <w:rsid w:val="00A269ED"/>
    <w:rsid w:val="00A26E10"/>
    <w:rsid w:val="00A2757A"/>
    <w:rsid w:val="00A27855"/>
    <w:rsid w:val="00A27BD6"/>
    <w:rsid w:val="00A27DCC"/>
    <w:rsid w:val="00A304E0"/>
    <w:rsid w:val="00A304E1"/>
    <w:rsid w:val="00A30AFD"/>
    <w:rsid w:val="00A30D69"/>
    <w:rsid w:val="00A315BB"/>
    <w:rsid w:val="00A31AC0"/>
    <w:rsid w:val="00A31E70"/>
    <w:rsid w:val="00A32190"/>
    <w:rsid w:val="00A321A7"/>
    <w:rsid w:val="00A32BAD"/>
    <w:rsid w:val="00A336DB"/>
    <w:rsid w:val="00A33BAD"/>
    <w:rsid w:val="00A33C03"/>
    <w:rsid w:val="00A33F24"/>
    <w:rsid w:val="00A34A96"/>
    <w:rsid w:val="00A34F77"/>
    <w:rsid w:val="00A3520E"/>
    <w:rsid w:val="00A3581B"/>
    <w:rsid w:val="00A35975"/>
    <w:rsid w:val="00A35AF0"/>
    <w:rsid w:val="00A35BB9"/>
    <w:rsid w:val="00A35D24"/>
    <w:rsid w:val="00A366DD"/>
    <w:rsid w:val="00A36AD4"/>
    <w:rsid w:val="00A3770D"/>
    <w:rsid w:val="00A379DC"/>
    <w:rsid w:val="00A37B55"/>
    <w:rsid w:val="00A37FF5"/>
    <w:rsid w:val="00A40719"/>
    <w:rsid w:val="00A40C31"/>
    <w:rsid w:val="00A4173B"/>
    <w:rsid w:val="00A41CE4"/>
    <w:rsid w:val="00A41EAE"/>
    <w:rsid w:val="00A422B8"/>
    <w:rsid w:val="00A4290E"/>
    <w:rsid w:val="00A42D25"/>
    <w:rsid w:val="00A42D73"/>
    <w:rsid w:val="00A42EAC"/>
    <w:rsid w:val="00A432CE"/>
    <w:rsid w:val="00A4376A"/>
    <w:rsid w:val="00A43AC1"/>
    <w:rsid w:val="00A43B41"/>
    <w:rsid w:val="00A43F2E"/>
    <w:rsid w:val="00A441F0"/>
    <w:rsid w:val="00A44401"/>
    <w:rsid w:val="00A44545"/>
    <w:rsid w:val="00A449AC"/>
    <w:rsid w:val="00A4502D"/>
    <w:rsid w:val="00A45806"/>
    <w:rsid w:val="00A45AE6"/>
    <w:rsid w:val="00A4613E"/>
    <w:rsid w:val="00A46F72"/>
    <w:rsid w:val="00A46FF9"/>
    <w:rsid w:val="00A4700C"/>
    <w:rsid w:val="00A47104"/>
    <w:rsid w:val="00A472BB"/>
    <w:rsid w:val="00A47EDA"/>
    <w:rsid w:val="00A50708"/>
    <w:rsid w:val="00A508C2"/>
    <w:rsid w:val="00A50A8F"/>
    <w:rsid w:val="00A50EC6"/>
    <w:rsid w:val="00A50F2A"/>
    <w:rsid w:val="00A50FF0"/>
    <w:rsid w:val="00A51CD7"/>
    <w:rsid w:val="00A51E1C"/>
    <w:rsid w:val="00A51FC6"/>
    <w:rsid w:val="00A521FC"/>
    <w:rsid w:val="00A528D8"/>
    <w:rsid w:val="00A52981"/>
    <w:rsid w:val="00A52EE5"/>
    <w:rsid w:val="00A5408A"/>
    <w:rsid w:val="00A542BF"/>
    <w:rsid w:val="00A54826"/>
    <w:rsid w:val="00A55091"/>
    <w:rsid w:val="00A55516"/>
    <w:rsid w:val="00A55595"/>
    <w:rsid w:val="00A556FD"/>
    <w:rsid w:val="00A55726"/>
    <w:rsid w:val="00A558F4"/>
    <w:rsid w:val="00A55B0B"/>
    <w:rsid w:val="00A55C38"/>
    <w:rsid w:val="00A56377"/>
    <w:rsid w:val="00A56567"/>
    <w:rsid w:val="00A567FD"/>
    <w:rsid w:val="00A56AB3"/>
    <w:rsid w:val="00A56AD6"/>
    <w:rsid w:val="00A56E05"/>
    <w:rsid w:val="00A56F32"/>
    <w:rsid w:val="00A57387"/>
    <w:rsid w:val="00A57458"/>
    <w:rsid w:val="00A574B2"/>
    <w:rsid w:val="00A574BC"/>
    <w:rsid w:val="00A57C54"/>
    <w:rsid w:val="00A57F15"/>
    <w:rsid w:val="00A57F27"/>
    <w:rsid w:val="00A57FE9"/>
    <w:rsid w:val="00A57FF6"/>
    <w:rsid w:val="00A6008E"/>
    <w:rsid w:val="00A611AE"/>
    <w:rsid w:val="00A6125F"/>
    <w:rsid w:val="00A6129F"/>
    <w:rsid w:val="00A61456"/>
    <w:rsid w:val="00A61544"/>
    <w:rsid w:val="00A616CE"/>
    <w:rsid w:val="00A6170C"/>
    <w:rsid w:val="00A617BD"/>
    <w:rsid w:val="00A61844"/>
    <w:rsid w:val="00A619C4"/>
    <w:rsid w:val="00A620CF"/>
    <w:rsid w:val="00A621AA"/>
    <w:rsid w:val="00A62282"/>
    <w:rsid w:val="00A62631"/>
    <w:rsid w:val="00A62687"/>
    <w:rsid w:val="00A62FE1"/>
    <w:rsid w:val="00A63A07"/>
    <w:rsid w:val="00A63AD0"/>
    <w:rsid w:val="00A63AF8"/>
    <w:rsid w:val="00A63B3C"/>
    <w:rsid w:val="00A6424F"/>
    <w:rsid w:val="00A647EB"/>
    <w:rsid w:val="00A64890"/>
    <w:rsid w:val="00A65773"/>
    <w:rsid w:val="00A6592C"/>
    <w:rsid w:val="00A65C10"/>
    <w:rsid w:val="00A65C29"/>
    <w:rsid w:val="00A66229"/>
    <w:rsid w:val="00A6680E"/>
    <w:rsid w:val="00A66A9A"/>
    <w:rsid w:val="00A67138"/>
    <w:rsid w:val="00A67B54"/>
    <w:rsid w:val="00A702DB"/>
    <w:rsid w:val="00A70513"/>
    <w:rsid w:val="00A705C1"/>
    <w:rsid w:val="00A70709"/>
    <w:rsid w:val="00A707BD"/>
    <w:rsid w:val="00A70CAA"/>
    <w:rsid w:val="00A710EC"/>
    <w:rsid w:val="00A7135A"/>
    <w:rsid w:val="00A7138A"/>
    <w:rsid w:val="00A713E4"/>
    <w:rsid w:val="00A715DA"/>
    <w:rsid w:val="00A715FD"/>
    <w:rsid w:val="00A716B0"/>
    <w:rsid w:val="00A716C8"/>
    <w:rsid w:val="00A7182D"/>
    <w:rsid w:val="00A71B32"/>
    <w:rsid w:val="00A71BFF"/>
    <w:rsid w:val="00A71F1C"/>
    <w:rsid w:val="00A7223F"/>
    <w:rsid w:val="00A72AEB"/>
    <w:rsid w:val="00A73234"/>
    <w:rsid w:val="00A734D0"/>
    <w:rsid w:val="00A73539"/>
    <w:rsid w:val="00A736F5"/>
    <w:rsid w:val="00A737AC"/>
    <w:rsid w:val="00A73DD0"/>
    <w:rsid w:val="00A73E49"/>
    <w:rsid w:val="00A74766"/>
    <w:rsid w:val="00A7519B"/>
    <w:rsid w:val="00A752A8"/>
    <w:rsid w:val="00A7563B"/>
    <w:rsid w:val="00A75718"/>
    <w:rsid w:val="00A75B43"/>
    <w:rsid w:val="00A75D3E"/>
    <w:rsid w:val="00A76144"/>
    <w:rsid w:val="00A76693"/>
    <w:rsid w:val="00A7687B"/>
    <w:rsid w:val="00A76B03"/>
    <w:rsid w:val="00A76B2B"/>
    <w:rsid w:val="00A76FE6"/>
    <w:rsid w:val="00A771BE"/>
    <w:rsid w:val="00A7782E"/>
    <w:rsid w:val="00A77B82"/>
    <w:rsid w:val="00A77BC5"/>
    <w:rsid w:val="00A8034F"/>
    <w:rsid w:val="00A808E2"/>
    <w:rsid w:val="00A80A3B"/>
    <w:rsid w:val="00A80B47"/>
    <w:rsid w:val="00A80F64"/>
    <w:rsid w:val="00A81AD7"/>
    <w:rsid w:val="00A81B0B"/>
    <w:rsid w:val="00A81B82"/>
    <w:rsid w:val="00A82032"/>
    <w:rsid w:val="00A82279"/>
    <w:rsid w:val="00A82618"/>
    <w:rsid w:val="00A82F1E"/>
    <w:rsid w:val="00A832F9"/>
    <w:rsid w:val="00A83A8E"/>
    <w:rsid w:val="00A83C78"/>
    <w:rsid w:val="00A83CB4"/>
    <w:rsid w:val="00A83FF1"/>
    <w:rsid w:val="00A8407A"/>
    <w:rsid w:val="00A84943"/>
    <w:rsid w:val="00A84BF1"/>
    <w:rsid w:val="00A84FED"/>
    <w:rsid w:val="00A85651"/>
    <w:rsid w:val="00A8566C"/>
    <w:rsid w:val="00A85A2F"/>
    <w:rsid w:val="00A86073"/>
    <w:rsid w:val="00A863FB"/>
    <w:rsid w:val="00A86C35"/>
    <w:rsid w:val="00A86CE5"/>
    <w:rsid w:val="00A86FEF"/>
    <w:rsid w:val="00A874A2"/>
    <w:rsid w:val="00A875F2"/>
    <w:rsid w:val="00A87A95"/>
    <w:rsid w:val="00A87C14"/>
    <w:rsid w:val="00A906D5"/>
    <w:rsid w:val="00A909AC"/>
    <w:rsid w:val="00A90ADE"/>
    <w:rsid w:val="00A91951"/>
    <w:rsid w:val="00A920CC"/>
    <w:rsid w:val="00A9255F"/>
    <w:rsid w:val="00A92704"/>
    <w:rsid w:val="00A92AA7"/>
    <w:rsid w:val="00A92ECB"/>
    <w:rsid w:val="00A93244"/>
    <w:rsid w:val="00A934DD"/>
    <w:rsid w:val="00A93806"/>
    <w:rsid w:val="00A93891"/>
    <w:rsid w:val="00A93D41"/>
    <w:rsid w:val="00A93F63"/>
    <w:rsid w:val="00A9445B"/>
    <w:rsid w:val="00A946DE"/>
    <w:rsid w:val="00A94927"/>
    <w:rsid w:val="00A95E5B"/>
    <w:rsid w:val="00A961DF"/>
    <w:rsid w:val="00A9671F"/>
    <w:rsid w:val="00A968DA"/>
    <w:rsid w:val="00A96F9D"/>
    <w:rsid w:val="00A97558"/>
    <w:rsid w:val="00A9798D"/>
    <w:rsid w:val="00A97B9D"/>
    <w:rsid w:val="00A97CAA"/>
    <w:rsid w:val="00A97CD8"/>
    <w:rsid w:val="00AA06A9"/>
    <w:rsid w:val="00AA06BC"/>
    <w:rsid w:val="00AA0A50"/>
    <w:rsid w:val="00AA1394"/>
    <w:rsid w:val="00AA17CB"/>
    <w:rsid w:val="00AA1A6F"/>
    <w:rsid w:val="00AA21A7"/>
    <w:rsid w:val="00AA24C4"/>
    <w:rsid w:val="00AA27CC"/>
    <w:rsid w:val="00AA28E4"/>
    <w:rsid w:val="00AA2BE5"/>
    <w:rsid w:val="00AA2E76"/>
    <w:rsid w:val="00AA31D0"/>
    <w:rsid w:val="00AA3404"/>
    <w:rsid w:val="00AA35B2"/>
    <w:rsid w:val="00AA36E6"/>
    <w:rsid w:val="00AA3A2D"/>
    <w:rsid w:val="00AA3A7A"/>
    <w:rsid w:val="00AA3FC7"/>
    <w:rsid w:val="00AA4505"/>
    <w:rsid w:val="00AA4949"/>
    <w:rsid w:val="00AA501B"/>
    <w:rsid w:val="00AA5223"/>
    <w:rsid w:val="00AA5BAB"/>
    <w:rsid w:val="00AA5C08"/>
    <w:rsid w:val="00AA5D21"/>
    <w:rsid w:val="00AA6003"/>
    <w:rsid w:val="00AA7313"/>
    <w:rsid w:val="00AA7E56"/>
    <w:rsid w:val="00AB016D"/>
    <w:rsid w:val="00AB024D"/>
    <w:rsid w:val="00AB0264"/>
    <w:rsid w:val="00AB0278"/>
    <w:rsid w:val="00AB0900"/>
    <w:rsid w:val="00AB0CAA"/>
    <w:rsid w:val="00AB0CF6"/>
    <w:rsid w:val="00AB0DDB"/>
    <w:rsid w:val="00AB0F6B"/>
    <w:rsid w:val="00AB116E"/>
    <w:rsid w:val="00AB1FA5"/>
    <w:rsid w:val="00AB219E"/>
    <w:rsid w:val="00AB2284"/>
    <w:rsid w:val="00AB23FB"/>
    <w:rsid w:val="00AB2535"/>
    <w:rsid w:val="00AB27B6"/>
    <w:rsid w:val="00AB2ACB"/>
    <w:rsid w:val="00AB2E26"/>
    <w:rsid w:val="00AB361D"/>
    <w:rsid w:val="00AB3C07"/>
    <w:rsid w:val="00AB3EF0"/>
    <w:rsid w:val="00AB4020"/>
    <w:rsid w:val="00AB41FD"/>
    <w:rsid w:val="00AB441D"/>
    <w:rsid w:val="00AB459A"/>
    <w:rsid w:val="00AB4BDA"/>
    <w:rsid w:val="00AB51AB"/>
    <w:rsid w:val="00AB51DF"/>
    <w:rsid w:val="00AB5456"/>
    <w:rsid w:val="00AB5635"/>
    <w:rsid w:val="00AB581B"/>
    <w:rsid w:val="00AB62E9"/>
    <w:rsid w:val="00AB6359"/>
    <w:rsid w:val="00AB63F6"/>
    <w:rsid w:val="00AB7220"/>
    <w:rsid w:val="00AB773F"/>
    <w:rsid w:val="00AB7909"/>
    <w:rsid w:val="00AB79D9"/>
    <w:rsid w:val="00AB7B95"/>
    <w:rsid w:val="00AB7E4C"/>
    <w:rsid w:val="00AC098F"/>
    <w:rsid w:val="00AC0C52"/>
    <w:rsid w:val="00AC0ECB"/>
    <w:rsid w:val="00AC1075"/>
    <w:rsid w:val="00AC1C84"/>
    <w:rsid w:val="00AC2439"/>
    <w:rsid w:val="00AC2690"/>
    <w:rsid w:val="00AC291A"/>
    <w:rsid w:val="00AC29A0"/>
    <w:rsid w:val="00AC2ADB"/>
    <w:rsid w:val="00AC30B0"/>
    <w:rsid w:val="00AC36CE"/>
    <w:rsid w:val="00AC3927"/>
    <w:rsid w:val="00AC3A48"/>
    <w:rsid w:val="00AC3F86"/>
    <w:rsid w:val="00AC4428"/>
    <w:rsid w:val="00AC444F"/>
    <w:rsid w:val="00AC4741"/>
    <w:rsid w:val="00AC48CB"/>
    <w:rsid w:val="00AC499A"/>
    <w:rsid w:val="00AC551F"/>
    <w:rsid w:val="00AC5836"/>
    <w:rsid w:val="00AC58E8"/>
    <w:rsid w:val="00AC5D1F"/>
    <w:rsid w:val="00AC5D7A"/>
    <w:rsid w:val="00AC5DEC"/>
    <w:rsid w:val="00AC609F"/>
    <w:rsid w:val="00AC640B"/>
    <w:rsid w:val="00AC6936"/>
    <w:rsid w:val="00AC787D"/>
    <w:rsid w:val="00AC7A5B"/>
    <w:rsid w:val="00AC7DF4"/>
    <w:rsid w:val="00AD028C"/>
    <w:rsid w:val="00AD0A55"/>
    <w:rsid w:val="00AD0B62"/>
    <w:rsid w:val="00AD0D46"/>
    <w:rsid w:val="00AD12FF"/>
    <w:rsid w:val="00AD1533"/>
    <w:rsid w:val="00AD18CE"/>
    <w:rsid w:val="00AD18D7"/>
    <w:rsid w:val="00AD1B30"/>
    <w:rsid w:val="00AD1C02"/>
    <w:rsid w:val="00AD1DFF"/>
    <w:rsid w:val="00AD1E97"/>
    <w:rsid w:val="00AD20BE"/>
    <w:rsid w:val="00AD2445"/>
    <w:rsid w:val="00AD2986"/>
    <w:rsid w:val="00AD2D3E"/>
    <w:rsid w:val="00AD2FCC"/>
    <w:rsid w:val="00AD31F5"/>
    <w:rsid w:val="00AD348C"/>
    <w:rsid w:val="00AD3856"/>
    <w:rsid w:val="00AD3B15"/>
    <w:rsid w:val="00AD40DB"/>
    <w:rsid w:val="00AD4305"/>
    <w:rsid w:val="00AD47CC"/>
    <w:rsid w:val="00AD491F"/>
    <w:rsid w:val="00AD4921"/>
    <w:rsid w:val="00AD4C89"/>
    <w:rsid w:val="00AD4FB4"/>
    <w:rsid w:val="00AD507B"/>
    <w:rsid w:val="00AD558A"/>
    <w:rsid w:val="00AD5670"/>
    <w:rsid w:val="00AD5B9A"/>
    <w:rsid w:val="00AD5E9C"/>
    <w:rsid w:val="00AD5F7A"/>
    <w:rsid w:val="00AD5FF1"/>
    <w:rsid w:val="00AD65BD"/>
    <w:rsid w:val="00AD670B"/>
    <w:rsid w:val="00AD6ACB"/>
    <w:rsid w:val="00AD76BE"/>
    <w:rsid w:val="00AD78DB"/>
    <w:rsid w:val="00AD7A47"/>
    <w:rsid w:val="00AD7D00"/>
    <w:rsid w:val="00AD7ECF"/>
    <w:rsid w:val="00AE0881"/>
    <w:rsid w:val="00AE0ED7"/>
    <w:rsid w:val="00AE1383"/>
    <w:rsid w:val="00AE18C1"/>
    <w:rsid w:val="00AE1D65"/>
    <w:rsid w:val="00AE21F1"/>
    <w:rsid w:val="00AE26D5"/>
    <w:rsid w:val="00AE27A4"/>
    <w:rsid w:val="00AE27D4"/>
    <w:rsid w:val="00AE2885"/>
    <w:rsid w:val="00AE29BD"/>
    <w:rsid w:val="00AE29FA"/>
    <w:rsid w:val="00AE2E10"/>
    <w:rsid w:val="00AE30F4"/>
    <w:rsid w:val="00AE34E3"/>
    <w:rsid w:val="00AE3784"/>
    <w:rsid w:val="00AE3ADD"/>
    <w:rsid w:val="00AE406F"/>
    <w:rsid w:val="00AE4299"/>
    <w:rsid w:val="00AE44B6"/>
    <w:rsid w:val="00AE4A1F"/>
    <w:rsid w:val="00AE4C69"/>
    <w:rsid w:val="00AE4FFD"/>
    <w:rsid w:val="00AE56AC"/>
    <w:rsid w:val="00AE58D3"/>
    <w:rsid w:val="00AE5F43"/>
    <w:rsid w:val="00AE6046"/>
    <w:rsid w:val="00AE613C"/>
    <w:rsid w:val="00AE61E0"/>
    <w:rsid w:val="00AE6FFD"/>
    <w:rsid w:val="00AE70F2"/>
    <w:rsid w:val="00AE7441"/>
    <w:rsid w:val="00AE7535"/>
    <w:rsid w:val="00AE7B99"/>
    <w:rsid w:val="00AF07D5"/>
    <w:rsid w:val="00AF11F9"/>
    <w:rsid w:val="00AF1563"/>
    <w:rsid w:val="00AF1E6B"/>
    <w:rsid w:val="00AF1EE3"/>
    <w:rsid w:val="00AF207F"/>
    <w:rsid w:val="00AF25F9"/>
    <w:rsid w:val="00AF28C9"/>
    <w:rsid w:val="00AF28DC"/>
    <w:rsid w:val="00AF2CD7"/>
    <w:rsid w:val="00AF30E0"/>
    <w:rsid w:val="00AF3390"/>
    <w:rsid w:val="00AF33B7"/>
    <w:rsid w:val="00AF345B"/>
    <w:rsid w:val="00AF34E3"/>
    <w:rsid w:val="00AF3561"/>
    <w:rsid w:val="00AF3687"/>
    <w:rsid w:val="00AF378E"/>
    <w:rsid w:val="00AF3A1A"/>
    <w:rsid w:val="00AF3BF5"/>
    <w:rsid w:val="00AF3D39"/>
    <w:rsid w:val="00AF49B3"/>
    <w:rsid w:val="00AF55DE"/>
    <w:rsid w:val="00AF57D8"/>
    <w:rsid w:val="00AF59DB"/>
    <w:rsid w:val="00AF5F7C"/>
    <w:rsid w:val="00AF63D8"/>
    <w:rsid w:val="00AF6457"/>
    <w:rsid w:val="00AF64D2"/>
    <w:rsid w:val="00AF66C3"/>
    <w:rsid w:val="00AF695E"/>
    <w:rsid w:val="00AF6974"/>
    <w:rsid w:val="00AF6F5E"/>
    <w:rsid w:val="00AF6FEE"/>
    <w:rsid w:val="00AF7061"/>
    <w:rsid w:val="00AF73D6"/>
    <w:rsid w:val="00AF755D"/>
    <w:rsid w:val="00AF7704"/>
    <w:rsid w:val="00AF7729"/>
    <w:rsid w:val="00AF773E"/>
    <w:rsid w:val="00AF7DAB"/>
    <w:rsid w:val="00B000D3"/>
    <w:rsid w:val="00B00588"/>
    <w:rsid w:val="00B00DA7"/>
    <w:rsid w:val="00B00EA2"/>
    <w:rsid w:val="00B0177E"/>
    <w:rsid w:val="00B018C3"/>
    <w:rsid w:val="00B018C7"/>
    <w:rsid w:val="00B01DB0"/>
    <w:rsid w:val="00B0208E"/>
    <w:rsid w:val="00B020D6"/>
    <w:rsid w:val="00B02143"/>
    <w:rsid w:val="00B0217F"/>
    <w:rsid w:val="00B02182"/>
    <w:rsid w:val="00B025FF"/>
    <w:rsid w:val="00B02BD9"/>
    <w:rsid w:val="00B02EA1"/>
    <w:rsid w:val="00B03131"/>
    <w:rsid w:val="00B031DF"/>
    <w:rsid w:val="00B031FD"/>
    <w:rsid w:val="00B03207"/>
    <w:rsid w:val="00B03B5A"/>
    <w:rsid w:val="00B03D4A"/>
    <w:rsid w:val="00B03DE8"/>
    <w:rsid w:val="00B0475F"/>
    <w:rsid w:val="00B04AF0"/>
    <w:rsid w:val="00B04F42"/>
    <w:rsid w:val="00B050EB"/>
    <w:rsid w:val="00B053CA"/>
    <w:rsid w:val="00B053D9"/>
    <w:rsid w:val="00B0563E"/>
    <w:rsid w:val="00B05F4F"/>
    <w:rsid w:val="00B0635C"/>
    <w:rsid w:val="00B06384"/>
    <w:rsid w:val="00B06671"/>
    <w:rsid w:val="00B0698E"/>
    <w:rsid w:val="00B06E9B"/>
    <w:rsid w:val="00B06EF3"/>
    <w:rsid w:val="00B06F5B"/>
    <w:rsid w:val="00B074C6"/>
    <w:rsid w:val="00B078A1"/>
    <w:rsid w:val="00B07A97"/>
    <w:rsid w:val="00B07BFC"/>
    <w:rsid w:val="00B103C1"/>
    <w:rsid w:val="00B10540"/>
    <w:rsid w:val="00B10F3E"/>
    <w:rsid w:val="00B110E8"/>
    <w:rsid w:val="00B11820"/>
    <w:rsid w:val="00B11821"/>
    <w:rsid w:val="00B12246"/>
    <w:rsid w:val="00B12307"/>
    <w:rsid w:val="00B12AC7"/>
    <w:rsid w:val="00B12BC0"/>
    <w:rsid w:val="00B12E60"/>
    <w:rsid w:val="00B13163"/>
    <w:rsid w:val="00B13825"/>
    <w:rsid w:val="00B13BCA"/>
    <w:rsid w:val="00B13C8E"/>
    <w:rsid w:val="00B1419F"/>
    <w:rsid w:val="00B14912"/>
    <w:rsid w:val="00B14C43"/>
    <w:rsid w:val="00B14DA2"/>
    <w:rsid w:val="00B14E0D"/>
    <w:rsid w:val="00B15061"/>
    <w:rsid w:val="00B150D7"/>
    <w:rsid w:val="00B15267"/>
    <w:rsid w:val="00B1562A"/>
    <w:rsid w:val="00B1576F"/>
    <w:rsid w:val="00B15D6A"/>
    <w:rsid w:val="00B15E21"/>
    <w:rsid w:val="00B16778"/>
    <w:rsid w:val="00B167B4"/>
    <w:rsid w:val="00B17301"/>
    <w:rsid w:val="00B17B26"/>
    <w:rsid w:val="00B2079F"/>
    <w:rsid w:val="00B2085C"/>
    <w:rsid w:val="00B20E22"/>
    <w:rsid w:val="00B21025"/>
    <w:rsid w:val="00B219B9"/>
    <w:rsid w:val="00B21EE1"/>
    <w:rsid w:val="00B225EA"/>
    <w:rsid w:val="00B226E0"/>
    <w:rsid w:val="00B228F3"/>
    <w:rsid w:val="00B22E2A"/>
    <w:rsid w:val="00B22E64"/>
    <w:rsid w:val="00B235A7"/>
    <w:rsid w:val="00B23914"/>
    <w:rsid w:val="00B23B8B"/>
    <w:rsid w:val="00B23D5B"/>
    <w:rsid w:val="00B241C5"/>
    <w:rsid w:val="00B24277"/>
    <w:rsid w:val="00B242CF"/>
    <w:rsid w:val="00B243C1"/>
    <w:rsid w:val="00B252E0"/>
    <w:rsid w:val="00B25550"/>
    <w:rsid w:val="00B25AAC"/>
    <w:rsid w:val="00B26622"/>
    <w:rsid w:val="00B26854"/>
    <w:rsid w:val="00B268BF"/>
    <w:rsid w:val="00B27261"/>
    <w:rsid w:val="00B2797B"/>
    <w:rsid w:val="00B27C87"/>
    <w:rsid w:val="00B27F65"/>
    <w:rsid w:val="00B301E7"/>
    <w:rsid w:val="00B30AA8"/>
    <w:rsid w:val="00B30B5E"/>
    <w:rsid w:val="00B30C7E"/>
    <w:rsid w:val="00B30E8B"/>
    <w:rsid w:val="00B31191"/>
    <w:rsid w:val="00B31263"/>
    <w:rsid w:val="00B318A9"/>
    <w:rsid w:val="00B3190C"/>
    <w:rsid w:val="00B31A6B"/>
    <w:rsid w:val="00B31AB8"/>
    <w:rsid w:val="00B31CDA"/>
    <w:rsid w:val="00B32B4D"/>
    <w:rsid w:val="00B32B85"/>
    <w:rsid w:val="00B339CD"/>
    <w:rsid w:val="00B34070"/>
    <w:rsid w:val="00B34825"/>
    <w:rsid w:val="00B348B8"/>
    <w:rsid w:val="00B34C28"/>
    <w:rsid w:val="00B34E93"/>
    <w:rsid w:val="00B35959"/>
    <w:rsid w:val="00B35C9F"/>
    <w:rsid w:val="00B35DA9"/>
    <w:rsid w:val="00B35E56"/>
    <w:rsid w:val="00B35F06"/>
    <w:rsid w:val="00B36434"/>
    <w:rsid w:val="00B36B28"/>
    <w:rsid w:val="00B36B3D"/>
    <w:rsid w:val="00B372A8"/>
    <w:rsid w:val="00B37347"/>
    <w:rsid w:val="00B374B0"/>
    <w:rsid w:val="00B3792E"/>
    <w:rsid w:val="00B37977"/>
    <w:rsid w:val="00B379D2"/>
    <w:rsid w:val="00B37E3F"/>
    <w:rsid w:val="00B40023"/>
    <w:rsid w:val="00B40045"/>
    <w:rsid w:val="00B40088"/>
    <w:rsid w:val="00B40414"/>
    <w:rsid w:val="00B40540"/>
    <w:rsid w:val="00B406DE"/>
    <w:rsid w:val="00B4077C"/>
    <w:rsid w:val="00B40B3E"/>
    <w:rsid w:val="00B4160A"/>
    <w:rsid w:val="00B41968"/>
    <w:rsid w:val="00B41E00"/>
    <w:rsid w:val="00B42030"/>
    <w:rsid w:val="00B423BB"/>
    <w:rsid w:val="00B42899"/>
    <w:rsid w:val="00B44189"/>
    <w:rsid w:val="00B4423C"/>
    <w:rsid w:val="00B4457A"/>
    <w:rsid w:val="00B44776"/>
    <w:rsid w:val="00B447BC"/>
    <w:rsid w:val="00B44AA9"/>
    <w:rsid w:val="00B44B8B"/>
    <w:rsid w:val="00B44FA7"/>
    <w:rsid w:val="00B459C0"/>
    <w:rsid w:val="00B45CE3"/>
    <w:rsid w:val="00B45E53"/>
    <w:rsid w:val="00B45ED9"/>
    <w:rsid w:val="00B46736"/>
    <w:rsid w:val="00B47123"/>
    <w:rsid w:val="00B47AA6"/>
    <w:rsid w:val="00B47E16"/>
    <w:rsid w:val="00B47E3B"/>
    <w:rsid w:val="00B50021"/>
    <w:rsid w:val="00B5021F"/>
    <w:rsid w:val="00B5084F"/>
    <w:rsid w:val="00B50870"/>
    <w:rsid w:val="00B508B5"/>
    <w:rsid w:val="00B516D7"/>
    <w:rsid w:val="00B51B55"/>
    <w:rsid w:val="00B51B5B"/>
    <w:rsid w:val="00B52EEB"/>
    <w:rsid w:val="00B52F94"/>
    <w:rsid w:val="00B5370F"/>
    <w:rsid w:val="00B53B20"/>
    <w:rsid w:val="00B53DE3"/>
    <w:rsid w:val="00B550A3"/>
    <w:rsid w:val="00B5554A"/>
    <w:rsid w:val="00B555AC"/>
    <w:rsid w:val="00B55B7D"/>
    <w:rsid w:val="00B561E3"/>
    <w:rsid w:val="00B5622A"/>
    <w:rsid w:val="00B56993"/>
    <w:rsid w:val="00B57173"/>
    <w:rsid w:val="00B57283"/>
    <w:rsid w:val="00B57A46"/>
    <w:rsid w:val="00B57DA8"/>
    <w:rsid w:val="00B57FAB"/>
    <w:rsid w:val="00B603A3"/>
    <w:rsid w:val="00B608B2"/>
    <w:rsid w:val="00B608FA"/>
    <w:rsid w:val="00B611D4"/>
    <w:rsid w:val="00B61328"/>
    <w:rsid w:val="00B613AB"/>
    <w:rsid w:val="00B6145E"/>
    <w:rsid w:val="00B61A66"/>
    <w:rsid w:val="00B61E7E"/>
    <w:rsid w:val="00B62293"/>
    <w:rsid w:val="00B62C58"/>
    <w:rsid w:val="00B62EC0"/>
    <w:rsid w:val="00B63132"/>
    <w:rsid w:val="00B632E0"/>
    <w:rsid w:val="00B634EE"/>
    <w:rsid w:val="00B63A4C"/>
    <w:rsid w:val="00B63C48"/>
    <w:rsid w:val="00B63D07"/>
    <w:rsid w:val="00B63F58"/>
    <w:rsid w:val="00B64106"/>
    <w:rsid w:val="00B642CA"/>
    <w:rsid w:val="00B6489F"/>
    <w:rsid w:val="00B64934"/>
    <w:rsid w:val="00B64E7D"/>
    <w:rsid w:val="00B65219"/>
    <w:rsid w:val="00B6521E"/>
    <w:rsid w:val="00B653F6"/>
    <w:rsid w:val="00B654FC"/>
    <w:rsid w:val="00B6552B"/>
    <w:rsid w:val="00B6582A"/>
    <w:rsid w:val="00B65851"/>
    <w:rsid w:val="00B65ADF"/>
    <w:rsid w:val="00B66532"/>
    <w:rsid w:val="00B6664E"/>
    <w:rsid w:val="00B66ED4"/>
    <w:rsid w:val="00B66F7F"/>
    <w:rsid w:val="00B67156"/>
    <w:rsid w:val="00B67412"/>
    <w:rsid w:val="00B67848"/>
    <w:rsid w:val="00B6793F"/>
    <w:rsid w:val="00B700E5"/>
    <w:rsid w:val="00B70283"/>
    <w:rsid w:val="00B71340"/>
    <w:rsid w:val="00B71AB4"/>
    <w:rsid w:val="00B71B37"/>
    <w:rsid w:val="00B71C0A"/>
    <w:rsid w:val="00B71CF5"/>
    <w:rsid w:val="00B71D9D"/>
    <w:rsid w:val="00B71DD1"/>
    <w:rsid w:val="00B71F8F"/>
    <w:rsid w:val="00B7237A"/>
    <w:rsid w:val="00B726D7"/>
    <w:rsid w:val="00B72B92"/>
    <w:rsid w:val="00B72BE5"/>
    <w:rsid w:val="00B72E50"/>
    <w:rsid w:val="00B72F62"/>
    <w:rsid w:val="00B731A3"/>
    <w:rsid w:val="00B734BE"/>
    <w:rsid w:val="00B73BF9"/>
    <w:rsid w:val="00B73D0F"/>
    <w:rsid w:val="00B73D9D"/>
    <w:rsid w:val="00B74F3A"/>
    <w:rsid w:val="00B7537B"/>
    <w:rsid w:val="00B75447"/>
    <w:rsid w:val="00B759DA"/>
    <w:rsid w:val="00B75D83"/>
    <w:rsid w:val="00B7697E"/>
    <w:rsid w:val="00B770DA"/>
    <w:rsid w:val="00B7720A"/>
    <w:rsid w:val="00B803C3"/>
    <w:rsid w:val="00B803E9"/>
    <w:rsid w:val="00B805B0"/>
    <w:rsid w:val="00B80862"/>
    <w:rsid w:val="00B80E9D"/>
    <w:rsid w:val="00B80F15"/>
    <w:rsid w:val="00B80F94"/>
    <w:rsid w:val="00B8123E"/>
    <w:rsid w:val="00B81569"/>
    <w:rsid w:val="00B81ABE"/>
    <w:rsid w:val="00B8206D"/>
    <w:rsid w:val="00B8225A"/>
    <w:rsid w:val="00B8249E"/>
    <w:rsid w:val="00B828A3"/>
    <w:rsid w:val="00B8302C"/>
    <w:rsid w:val="00B83310"/>
    <w:rsid w:val="00B8345D"/>
    <w:rsid w:val="00B8356A"/>
    <w:rsid w:val="00B83684"/>
    <w:rsid w:val="00B83E16"/>
    <w:rsid w:val="00B842D7"/>
    <w:rsid w:val="00B84AC2"/>
    <w:rsid w:val="00B84D82"/>
    <w:rsid w:val="00B84E7F"/>
    <w:rsid w:val="00B84F10"/>
    <w:rsid w:val="00B851BE"/>
    <w:rsid w:val="00B8557B"/>
    <w:rsid w:val="00B855F5"/>
    <w:rsid w:val="00B85748"/>
    <w:rsid w:val="00B85D8D"/>
    <w:rsid w:val="00B8685E"/>
    <w:rsid w:val="00B869A4"/>
    <w:rsid w:val="00B869E9"/>
    <w:rsid w:val="00B86D11"/>
    <w:rsid w:val="00B86F95"/>
    <w:rsid w:val="00B87021"/>
    <w:rsid w:val="00B8736D"/>
    <w:rsid w:val="00B874EF"/>
    <w:rsid w:val="00B87684"/>
    <w:rsid w:val="00B876D9"/>
    <w:rsid w:val="00B8798D"/>
    <w:rsid w:val="00B87A82"/>
    <w:rsid w:val="00B90BDF"/>
    <w:rsid w:val="00B913CB"/>
    <w:rsid w:val="00B916B2"/>
    <w:rsid w:val="00B917E7"/>
    <w:rsid w:val="00B919C8"/>
    <w:rsid w:val="00B91F0C"/>
    <w:rsid w:val="00B91FEF"/>
    <w:rsid w:val="00B92249"/>
    <w:rsid w:val="00B929E6"/>
    <w:rsid w:val="00B92AA9"/>
    <w:rsid w:val="00B92B76"/>
    <w:rsid w:val="00B92BE9"/>
    <w:rsid w:val="00B92BF2"/>
    <w:rsid w:val="00B92D04"/>
    <w:rsid w:val="00B92FA2"/>
    <w:rsid w:val="00B9332B"/>
    <w:rsid w:val="00B93341"/>
    <w:rsid w:val="00B93360"/>
    <w:rsid w:val="00B933DF"/>
    <w:rsid w:val="00B93FAE"/>
    <w:rsid w:val="00B93FB2"/>
    <w:rsid w:val="00B94592"/>
    <w:rsid w:val="00B94D5A"/>
    <w:rsid w:val="00B94E83"/>
    <w:rsid w:val="00B95154"/>
    <w:rsid w:val="00B9526D"/>
    <w:rsid w:val="00B955AC"/>
    <w:rsid w:val="00B957F1"/>
    <w:rsid w:val="00B95976"/>
    <w:rsid w:val="00B95B91"/>
    <w:rsid w:val="00B95BCC"/>
    <w:rsid w:val="00B95BE7"/>
    <w:rsid w:val="00B96CA3"/>
    <w:rsid w:val="00B974BD"/>
    <w:rsid w:val="00B9785E"/>
    <w:rsid w:val="00B97CAA"/>
    <w:rsid w:val="00BA0E6A"/>
    <w:rsid w:val="00BA1596"/>
    <w:rsid w:val="00BA1913"/>
    <w:rsid w:val="00BA1B88"/>
    <w:rsid w:val="00BA1C27"/>
    <w:rsid w:val="00BA1E7A"/>
    <w:rsid w:val="00BA210F"/>
    <w:rsid w:val="00BA2193"/>
    <w:rsid w:val="00BA2931"/>
    <w:rsid w:val="00BA296C"/>
    <w:rsid w:val="00BA2B04"/>
    <w:rsid w:val="00BA2DF3"/>
    <w:rsid w:val="00BA36E0"/>
    <w:rsid w:val="00BA384C"/>
    <w:rsid w:val="00BA3F26"/>
    <w:rsid w:val="00BA455A"/>
    <w:rsid w:val="00BA497F"/>
    <w:rsid w:val="00BA4D9E"/>
    <w:rsid w:val="00BA54AF"/>
    <w:rsid w:val="00BA5609"/>
    <w:rsid w:val="00BA5B0D"/>
    <w:rsid w:val="00BA66DA"/>
    <w:rsid w:val="00BA712E"/>
    <w:rsid w:val="00BA77C5"/>
    <w:rsid w:val="00BA7D07"/>
    <w:rsid w:val="00BA7DE1"/>
    <w:rsid w:val="00BB0212"/>
    <w:rsid w:val="00BB03BD"/>
    <w:rsid w:val="00BB091F"/>
    <w:rsid w:val="00BB0CAC"/>
    <w:rsid w:val="00BB11A0"/>
    <w:rsid w:val="00BB1B3A"/>
    <w:rsid w:val="00BB1C88"/>
    <w:rsid w:val="00BB23F8"/>
    <w:rsid w:val="00BB24F3"/>
    <w:rsid w:val="00BB274E"/>
    <w:rsid w:val="00BB2F62"/>
    <w:rsid w:val="00BB312B"/>
    <w:rsid w:val="00BB3190"/>
    <w:rsid w:val="00BB3EED"/>
    <w:rsid w:val="00BB44EF"/>
    <w:rsid w:val="00BB4804"/>
    <w:rsid w:val="00BB53C7"/>
    <w:rsid w:val="00BB5796"/>
    <w:rsid w:val="00BB585E"/>
    <w:rsid w:val="00BB5C81"/>
    <w:rsid w:val="00BB64A3"/>
    <w:rsid w:val="00BB6D66"/>
    <w:rsid w:val="00BB76D7"/>
    <w:rsid w:val="00BC03AA"/>
    <w:rsid w:val="00BC0755"/>
    <w:rsid w:val="00BC07C3"/>
    <w:rsid w:val="00BC07ED"/>
    <w:rsid w:val="00BC082C"/>
    <w:rsid w:val="00BC0A9B"/>
    <w:rsid w:val="00BC14DA"/>
    <w:rsid w:val="00BC17DE"/>
    <w:rsid w:val="00BC18DE"/>
    <w:rsid w:val="00BC2AC7"/>
    <w:rsid w:val="00BC2C3A"/>
    <w:rsid w:val="00BC2EC4"/>
    <w:rsid w:val="00BC309C"/>
    <w:rsid w:val="00BC3137"/>
    <w:rsid w:val="00BC3276"/>
    <w:rsid w:val="00BC33E2"/>
    <w:rsid w:val="00BC34EE"/>
    <w:rsid w:val="00BC355A"/>
    <w:rsid w:val="00BC3A16"/>
    <w:rsid w:val="00BC3A32"/>
    <w:rsid w:val="00BC4345"/>
    <w:rsid w:val="00BC4435"/>
    <w:rsid w:val="00BC4B70"/>
    <w:rsid w:val="00BC4BCA"/>
    <w:rsid w:val="00BC4C49"/>
    <w:rsid w:val="00BC4EC9"/>
    <w:rsid w:val="00BC4FDB"/>
    <w:rsid w:val="00BC53B9"/>
    <w:rsid w:val="00BC5405"/>
    <w:rsid w:val="00BC62CF"/>
    <w:rsid w:val="00BC67C5"/>
    <w:rsid w:val="00BC6A7A"/>
    <w:rsid w:val="00BC6B1A"/>
    <w:rsid w:val="00BC6BAB"/>
    <w:rsid w:val="00BC7077"/>
    <w:rsid w:val="00BC750C"/>
    <w:rsid w:val="00BC7556"/>
    <w:rsid w:val="00BC7677"/>
    <w:rsid w:val="00BC79CD"/>
    <w:rsid w:val="00BC7D0D"/>
    <w:rsid w:val="00BC7E46"/>
    <w:rsid w:val="00BD05D4"/>
    <w:rsid w:val="00BD05F6"/>
    <w:rsid w:val="00BD0C6C"/>
    <w:rsid w:val="00BD0FD7"/>
    <w:rsid w:val="00BD0FE6"/>
    <w:rsid w:val="00BD12F9"/>
    <w:rsid w:val="00BD14C2"/>
    <w:rsid w:val="00BD174E"/>
    <w:rsid w:val="00BD19F7"/>
    <w:rsid w:val="00BD290A"/>
    <w:rsid w:val="00BD2A05"/>
    <w:rsid w:val="00BD2B82"/>
    <w:rsid w:val="00BD3149"/>
    <w:rsid w:val="00BD33FA"/>
    <w:rsid w:val="00BD349E"/>
    <w:rsid w:val="00BD3796"/>
    <w:rsid w:val="00BD39E1"/>
    <w:rsid w:val="00BD3B7C"/>
    <w:rsid w:val="00BD3CB1"/>
    <w:rsid w:val="00BD3F34"/>
    <w:rsid w:val="00BD4192"/>
    <w:rsid w:val="00BD442F"/>
    <w:rsid w:val="00BD455C"/>
    <w:rsid w:val="00BD46F7"/>
    <w:rsid w:val="00BD4F2E"/>
    <w:rsid w:val="00BD51C1"/>
    <w:rsid w:val="00BD54E6"/>
    <w:rsid w:val="00BD5693"/>
    <w:rsid w:val="00BD61E6"/>
    <w:rsid w:val="00BD6497"/>
    <w:rsid w:val="00BD6753"/>
    <w:rsid w:val="00BD6AA6"/>
    <w:rsid w:val="00BD6FD3"/>
    <w:rsid w:val="00BD6FDF"/>
    <w:rsid w:val="00BD7196"/>
    <w:rsid w:val="00BD77B0"/>
    <w:rsid w:val="00BD77FA"/>
    <w:rsid w:val="00BD79E4"/>
    <w:rsid w:val="00BE02A2"/>
    <w:rsid w:val="00BE0444"/>
    <w:rsid w:val="00BE0822"/>
    <w:rsid w:val="00BE0D23"/>
    <w:rsid w:val="00BE1587"/>
    <w:rsid w:val="00BE1B9C"/>
    <w:rsid w:val="00BE1C6D"/>
    <w:rsid w:val="00BE1CF0"/>
    <w:rsid w:val="00BE1D90"/>
    <w:rsid w:val="00BE226E"/>
    <w:rsid w:val="00BE285B"/>
    <w:rsid w:val="00BE2E31"/>
    <w:rsid w:val="00BE2FBF"/>
    <w:rsid w:val="00BE3102"/>
    <w:rsid w:val="00BE350E"/>
    <w:rsid w:val="00BE3A12"/>
    <w:rsid w:val="00BE3E58"/>
    <w:rsid w:val="00BE408C"/>
    <w:rsid w:val="00BE4231"/>
    <w:rsid w:val="00BE457E"/>
    <w:rsid w:val="00BE4894"/>
    <w:rsid w:val="00BE4EC2"/>
    <w:rsid w:val="00BE5319"/>
    <w:rsid w:val="00BE5799"/>
    <w:rsid w:val="00BE5A7E"/>
    <w:rsid w:val="00BE5ECB"/>
    <w:rsid w:val="00BE63D2"/>
    <w:rsid w:val="00BE665D"/>
    <w:rsid w:val="00BE681E"/>
    <w:rsid w:val="00BE6AA1"/>
    <w:rsid w:val="00BE6F23"/>
    <w:rsid w:val="00BE7091"/>
    <w:rsid w:val="00BE719F"/>
    <w:rsid w:val="00BE7673"/>
    <w:rsid w:val="00BE79C7"/>
    <w:rsid w:val="00BE7A6A"/>
    <w:rsid w:val="00BE7C9C"/>
    <w:rsid w:val="00BE7EC5"/>
    <w:rsid w:val="00BE7F19"/>
    <w:rsid w:val="00BF0297"/>
    <w:rsid w:val="00BF0703"/>
    <w:rsid w:val="00BF085F"/>
    <w:rsid w:val="00BF0ED4"/>
    <w:rsid w:val="00BF1190"/>
    <w:rsid w:val="00BF1966"/>
    <w:rsid w:val="00BF1A02"/>
    <w:rsid w:val="00BF1A64"/>
    <w:rsid w:val="00BF1C74"/>
    <w:rsid w:val="00BF2382"/>
    <w:rsid w:val="00BF23E5"/>
    <w:rsid w:val="00BF32DE"/>
    <w:rsid w:val="00BF33DC"/>
    <w:rsid w:val="00BF34CD"/>
    <w:rsid w:val="00BF359B"/>
    <w:rsid w:val="00BF3936"/>
    <w:rsid w:val="00BF3C55"/>
    <w:rsid w:val="00BF3ECA"/>
    <w:rsid w:val="00BF49A1"/>
    <w:rsid w:val="00BF4D32"/>
    <w:rsid w:val="00BF4FDA"/>
    <w:rsid w:val="00BF51C5"/>
    <w:rsid w:val="00BF5396"/>
    <w:rsid w:val="00BF5E5D"/>
    <w:rsid w:val="00BF6038"/>
    <w:rsid w:val="00BF686B"/>
    <w:rsid w:val="00BF690D"/>
    <w:rsid w:val="00BF69D8"/>
    <w:rsid w:val="00BF69F8"/>
    <w:rsid w:val="00BF726B"/>
    <w:rsid w:val="00BF74A3"/>
    <w:rsid w:val="00BF74E4"/>
    <w:rsid w:val="00BF7816"/>
    <w:rsid w:val="00BF7892"/>
    <w:rsid w:val="00BF7A5B"/>
    <w:rsid w:val="00BF7B80"/>
    <w:rsid w:val="00C00AA8"/>
    <w:rsid w:val="00C010E8"/>
    <w:rsid w:val="00C010F5"/>
    <w:rsid w:val="00C01120"/>
    <w:rsid w:val="00C013EF"/>
    <w:rsid w:val="00C017C2"/>
    <w:rsid w:val="00C02D9C"/>
    <w:rsid w:val="00C033B6"/>
    <w:rsid w:val="00C034F8"/>
    <w:rsid w:val="00C0360B"/>
    <w:rsid w:val="00C037EE"/>
    <w:rsid w:val="00C03844"/>
    <w:rsid w:val="00C03888"/>
    <w:rsid w:val="00C038FF"/>
    <w:rsid w:val="00C03B8E"/>
    <w:rsid w:val="00C03BD4"/>
    <w:rsid w:val="00C03D2D"/>
    <w:rsid w:val="00C03D80"/>
    <w:rsid w:val="00C03DE2"/>
    <w:rsid w:val="00C04477"/>
    <w:rsid w:val="00C046B1"/>
    <w:rsid w:val="00C04973"/>
    <w:rsid w:val="00C04A89"/>
    <w:rsid w:val="00C04BE9"/>
    <w:rsid w:val="00C05075"/>
    <w:rsid w:val="00C05253"/>
    <w:rsid w:val="00C0577C"/>
    <w:rsid w:val="00C05CCE"/>
    <w:rsid w:val="00C06243"/>
    <w:rsid w:val="00C062EA"/>
    <w:rsid w:val="00C06B4E"/>
    <w:rsid w:val="00C06ED5"/>
    <w:rsid w:val="00C070AE"/>
    <w:rsid w:val="00C07CDF"/>
    <w:rsid w:val="00C07D7D"/>
    <w:rsid w:val="00C07EA5"/>
    <w:rsid w:val="00C07FEE"/>
    <w:rsid w:val="00C10214"/>
    <w:rsid w:val="00C1047A"/>
    <w:rsid w:val="00C104F1"/>
    <w:rsid w:val="00C10943"/>
    <w:rsid w:val="00C10DED"/>
    <w:rsid w:val="00C10F2F"/>
    <w:rsid w:val="00C10FEB"/>
    <w:rsid w:val="00C113CB"/>
    <w:rsid w:val="00C11429"/>
    <w:rsid w:val="00C11496"/>
    <w:rsid w:val="00C1186A"/>
    <w:rsid w:val="00C11DBF"/>
    <w:rsid w:val="00C12258"/>
    <w:rsid w:val="00C1294B"/>
    <w:rsid w:val="00C137F6"/>
    <w:rsid w:val="00C140C1"/>
    <w:rsid w:val="00C14B42"/>
    <w:rsid w:val="00C14EF1"/>
    <w:rsid w:val="00C14FDE"/>
    <w:rsid w:val="00C14FEF"/>
    <w:rsid w:val="00C1523F"/>
    <w:rsid w:val="00C152BB"/>
    <w:rsid w:val="00C154ED"/>
    <w:rsid w:val="00C155AF"/>
    <w:rsid w:val="00C156B1"/>
    <w:rsid w:val="00C156E2"/>
    <w:rsid w:val="00C159CC"/>
    <w:rsid w:val="00C15A47"/>
    <w:rsid w:val="00C15E77"/>
    <w:rsid w:val="00C163F2"/>
    <w:rsid w:val="00C1666F"/>
    <w:rsid w:val="00C168D0"/>
    <w:rsid w:val="00C169B9"/>
    <w:rsid w:val="00C16B35"/>
    <w:rsid w:val="00C1797C"/>
    <w:rsid w:val="00C201C3"/>
    <w:rsid w:val="00C20642"/>
    <w:rsid w:val="00C207F9"/>
    <w:rsid w:val="00C20D80"/>
    <w:rsid w:val="00C210F7"/>
    <w:rsid w:val="00C21310"/>
    <w:rsid w:val="00C215CD"/>
    <w:rsid w:val="00C21CAC"/>
    <w:rsid w:val="00C2302E"/>
    <w:rsid w:val="00C2352A"/>
    <w:rsid w:val="00C23DB7"/>
    <w:rsid w:val="00C23EC1"/>
    <w:rsid w:val="00C24462"/>
    <w:rsid w:val="00C24ED2"/>
    <w:rsid w:val="00C252B9"/>
    <w:rsid w:val="00C2541B"/>
    <w:rsid w:val="00C2561A"/>
    <w:rsid w:val="00C259B5"/>
    <w:rsid w:val="00C25BAD"/>
    <w:rsid w:val="00C25D02"/>
    <w:rsid w:val="00C26234"/>
    <w:rsid w:val="00C269BA"/>
    <w:rsid w:val="00C26CD0"/>
    <w:rsid w:val="00C272AC"/>
    <w:rsid w:val="00C2739D"/>
    <w:rsid w:val="00C276D6"/>
    <w:rsid w:val="00C27988"/>
    <w:rsid w:val="00C27C61"/>
    <w:rsid w:val="00C27DEB"/>
    <w:rsid w:val="00C307A5"/>
    <w:rsid w:val="00C30873"/>
    <w:rsid w:val="00C30B7E"/>
    <w:rsid w:val="00C30CBA"/>
    <w:rsid w:val="00C30E37"/>
    <w:rsid w:val="00C30FA3"/>
    <w:rsid w:val="00C3151F"/>
    <w:rsid w:val="00C31B24"/>
    <w:rsid w:val="00C31FCD"/>
    <w:rsid w:val="00C31FEB"/>
    <w:rsid w:val="00C326EC"/>
    <w:rsid w:val="00C32A9A"/>
    <w:rsid w:val="00C32C76"/>
    <w:rsid w:val="00C32F57"/>
    <w:rsid w:val="00C32F80"/>
    <w:rsid w:val="00C333EE"/>
    <w:rsid w:val="00C3362F"/>
    <w:rsid w:val="00C33651"/>
    <w:rsid w:val="00C3366C"/>
    <w:rsid w:val="00C3386E"/>
    <w:rsid w:val="00C33886"/>
    <w:rsid w:val="00C33BF4"/>
    <w:rsid w:val="00C33F32"/>
    <w:rsid w:val="00C348A9"/>
    <w:rsid w:val="00C348C2"/>
    <w:rsid w:val="00C352B9"/>
    <w:rsid w:val="00C35366"/>
    <w:rsid w:val="00C35667"/>
    <w:rsid w:val="00C35A89"/>
    <w:rsid w:val="00C35BB9"/>
    <w:rsid w:val="00C360C4"/>
    <w:rsid w:val="00C36214"/>
    <w:rsid w:val="00C36343"/>
    <w:rsid w:val="00C36882"/>
    <w:rsid w:val="00C370C4"/>
    <w:rsid w:val="00C372F8"/>
    <w:rsid w:val="00C37352"/>
    <w:rsid w:val="00C40337"/>
    <w:rsid w:val="00C404A9"/>
    <w:rsid w:val="00C407DC"/>
    <w:rsid w:val="00C40843"/>
    <w:rsid w:val="00C40EB2"/>
    <w:rsid w:val="00C4169E"/>
    <w:rsid w:val="00C416D4"/>
    <w:rsid w:val="00C425E7"/>
    <w:rsid w:val="00C426A1"/>
    <w:rsid w:val="00C42749"/>
    <w:rsid w:val="00C42C1B"/>
    <w:rsid w:val="00C42D8E"/>
    <w:rsid w:val="00C42F3F"/>
    <w:rsid w:val="00C43220"/>
    <w:rsid w:val="00C438A1"/>
    <w:rsid w:val="00C438CA"/>
    <w:rsid w:val="00C43B42"/>
    <w:rsid w:val="00C440F7"/>
    <w:rsid w:val="00C443D9"/>
    <w:rsid w:val="00C444D6"/>
    <w:rsid w:val="00C449D1"/>
    <w:rsid w:val="00C44E67"/>
    <w:rsid w:val="00C44E85"/>
    <w:rsid w:val="00C44F20"/>
    <w:rsid w:val="00C45786"/>
    <w:rsid w:val="00C4582A"/>
    <w:rsid w:val="00C458F4"/>
    <w:rsid w:val="00C46B66"/>
    <w:rsid w:val="00C470E2"/>
    <w:rsid w:val="00C47F00"/>
    <w:rsid w:val="00C501C1"/>
    <w:rsid w:val="00C50202"/>
    <w:rsid w:val="00C50276"/>
    <w:rsid w:val="00C509A7"/>
    <w:rsid w:val="00C50BC1"/>
    <w:rsid w:val="00C51B56"/>
    <w:rsid w:val="00C51C9B"/>
    <w:rsid w:val="00C51EBE"/>
    <w:rsid w:val="00C520D1"/>
    <w:rsid w:val="00C521F4"/>
    <w:rsid w:val="00C522A1"/>
    <w:rsid w:val="00C5239D"/>
    <w:rsid w:val="00C52AF4"/>
    <w:rsid w:val="00C52C92"/>
    <w:rsid w:val="00C52FBF"/>
    <w:rsid w:val="00C53924"/>
    <w:rsid w:val="00C53A26"/>
    <w:rsid w:val="00C53C81"/>
    <w:rsid w:val="00C54254"/>
    <w:rsid w:val="00C54333"/>
    <w:rsid w:val="00C543E9"/>
    <w:rsid w:val="00C5444A"/>
    <w:rsid w:val="00C54796"/>
    <w:rsid w:val="00C549DF"/>
    <w:rsid w:val="00C556D5"/>
    <w:rsid w:val="00C563FA"/>
    <w:rsid w:val="00C5665D"/>
    <w:rsid w:val="00C56A6C"/>
    <w:rsid w:val="00C56AA9"/>
    <w:rsid w:val="00C57168"/>
    <w:rsid w:val="00C5738F"/>
    <w:rsid w:val="00C57C4A"/>
    <w:rsid w:val="00C57DA7"/>
    <w:rsid w:val="00C60170"/>
    <w:rsid w:val="00C60305"/>
    <w:rsid w:val="00C60460"/>
    <w:rsid w:val="00C60530"/>
    <w:rsid w:val="00C60722"/>
    <w:rsid w:val="00C609E3"/>
    <w:rsid w:val="00C609F2"/>
    <w:rsid w:val="00C60A5B"/>
    <w:rsid w:val="00C60ABA"/>
    <w:rsid w:val="00C60EE1"/>
    <w:rsid w:val="00C60F64"/>
    <w:rsid w:val="00C61878"/>
    <w:rsid w:val="00C61BCD"/>
    <w:rsid w:val="00C6200F"/>
    <w:rsid w:val="00C621CE"/>
    <w:rsid w:val="00C6222B"/>
    <w:rsid w:val="00C626BF"/>
    <w:rsid w:val="00C63432"/>
    <w:rsid w:val="00C636D6"/>
    <w:rsid w:val="00C637D1"/>
    <w:rsid w:val="00C638E8"/>
    <w:rsid w:val="00C63EF4"/>
    <w:rsid w:val="00C6403F"/>
    <w:rsid w:val="00C640EB"/>
    <w:rsid w:val="00C64661"/>
    <w:rsid w:val="00C64F38"/>
    <w:rsid w:val="00C64F57"/>
    <w:rsid w:val="00C657E4"/>
    <w:rsid w:val="00C65D94"/>
    <w:rsid w:val="00C66031"/>
    <w:rsid w:val="00C6653C"/>
    <w:rsid w:val="00C6672E"/>
    <w:rsid w:val="00C66A4F"/>
    <w:rsid w:val="00C66E5C"/>
    <w:rsid w:val="00C67373"/>
    <w:rsid w:val="00C675D1"/>
    <w:rsid w:val="00C67869"/>
    <w:rsid w:val="00C67A35"/>
    <w:rsid w:val="00C702C0"/>
    <w:rsid w:val="00C70657"/>
    <w:rsid w:val="00C70913"/>
    <w:rsid w:val="00C71151"/>
    <w:rsid w:val="00C719D7"/>
    <w:rsid w:val="00C722C3"/>
    <w:rsid w:val="00C728A6"/>
    <w:rsid w:val="00C72D28"/>
    <w:rsid w:val="00C72F9A"/>
    <w:rsid w:val="00C733B2"/>
    <w:rsid w:val="00C735D4"/>
    <w:rsid w:val="00C73672"/>
    <w:rsid w:val="00C73C22"/>
    <w:rsid w:val="00C741AD"/>
    <w:rsid w:val="00C750B4"/>
    <w:rsid w:val="00C75376"/>
    <w:rsid w:val="00C7543E"/>
    <w:rsid w:val="00C75856"/>
    <w:rsid w:val="00C7592F"/>
    <w:rsid w:val="00C75F35"/>
    <w:rsid w:val="00C760CD"/>
    <w:rsid w:val="00C766F9"/>
    <w:rsid w:val="00C7699F"/>
    <w:rsid w:val="00C76AF1"/>
    <w:rsid w:val="00C76B59"/>
    <w:rsid w:val="00C7761B"/>
    <w:rsid w:val="00C77639"/>
    <w:rsid w:val="00C777AE"/>
    <w:rsid w:val="00C77A8B"/>
    <w:rsid w:val="00C80063"/>
    <w:rsid w:val="00C80562"/>
    <w:rsid w:val="00C805E9"/>
    <w:rsid w:val="00C808C6"/>
    <w:rsid w:val="00C80A98"/>
    <w:rsid w:val="00C80BF1"/>
    <w:rsid w:val="00C80F67"/>
    <w:rsid w:val="00C812D5"/>
    <w:rsid w:val="00C815AB"/>
    <w:rsid w:val="00C81EEF"/>
    <w:rsid w:val="00C82709"/>
    <w:rsid w:val="00C83048"/>
    <w:rsid w:val="00C83242"/>
    <w:rsid w:val="00C841D5"/>
    <w:rsid w:val="00C84A58"/>
    <w:rsid w:val="00C851D8"/>
    <w:rsid w:val="00C8550C"/>
    <w:rsid w:val="00C85514"/>
    <w:rsid w:val="00C85811"/>
    <w:rsid w:val="00C858C9"/>
    <w:rsid w:val="00C8596D"/>
    <w:rsid w:val="00C86183"/>
    <w:rsid w:val="00C861A8"/>
    <w:rsid w:val="00C864D5"/>
    <w:rsid w:val="00C865C2"/>
    <w:rsid w:val="00C86820"/>
    <w:rsid w:val="00C869FC"/>
    <w:rsid w:val="00C86EA4"/>
    <w:rsid w:val="00C87044"/>
    <w:rsid w:val="00C87466"/>
    <w:rsid w:val="00C874E9"/>
    <w:rsid w:val="00C877C7"/>
    <w:rsid w:val="00C90002"/>
    <w:rsid w:val="00C90130"/>
    <w:rsid w:val="00C905ED"/>
    <w:rsid w:val="00C90E64"/>
    <w:rsid w:val="00C91526"/>
    <w:rsid w:val="00C915ED"/>
    <w:rsid w:val="00C91AE5"/>
    <w:rsid w:val="00C91C3E"/>
    <w:rsid w:val="00C91ED4"/>
    <w:rsid w:val="00C92762"/>
    <w:rsid w:val="00C92A42"/>
    <w:rsid w:val="00C92DA1"/>
    <w:rsid w:val="00C93024"/>
    <w:rsid w:val="00C935AF"/>
    <w:rsid w:val="00C937B6"/>
    <w:rsid w:val="00C93F2B"/>
    <w:rsid w:val="00C94319"/>
    <w:rsid w:val="00C944A9"/>
    <w:rsid w:val="00C945C5"/>
    <w:rsid w:val="00C94F23"/>
    <w:rsid w:val="00C9552F"/>
    <w:rsid w:val="00C956FC"/>
    <w:rsid w:val="00C95794"/>
    <w:rsid w:val="00C958CE"/>
    <w:rsid w:val="00C95904"/>
    <w:rsid w:val="00C959C2"/>
    <w:rsid w:val="00C95C17"/>
    <w:rsid w:val="00C96381"/>
    <w:rsid w:val="00C9666D"/>
    <w:rsid w:val="00C96C81"/>
    <w:rsid w:val="00C9722F"/>
    <w:rsid w:val="00C976AE"/>
    <w:rsid w:val="00C976F4"/>
    <w:rsid w:val="00C9784E"/>
    <w:rsid w:val="00C97DB3"/>
    <w:rsid w:val="00CA029E"/>
    <w:rsid w:val="00CA05C1"/>
    <w:rsid w:val="00CA0D15"/>
    <w:rsid w:val="00CA0EC9"/>
    <w:rsid w:val="00CA0F7C"/>
    <w:rsid w:val="00CA1115"/>
    <w:rsid w:val="00CA11BB"/>
    <w:rsid w:val="00CA1373"/>
    <w:rsid w:val="00CA16E1"/>
    <w:rsid w:val="00CA17CF"/>
    <w:rsid w:val="00CA187D"/>
    <w:rsid w:val="00CA1B77"/>
    <w:rsid w:val="00CA233D"/>
    <w:rsid w:val="00CA32AA"/>
    <w:rsid w:val="00CA32C3"/>
    <w:rsid w:val="00CA34D3"/>
    <w:rsid w:val="00CA3664"/>
    <w:rsid w:val="00CA36B8"/>
    <w:rsid w:val="00CA3C15"/>
    <w:rsid w:val="00CA3D31"/>
    <w:rsid w:val="00CA3E86"/>
    <w:rsid w:val="00CA40EA"/>
    <w:rsid w:val="00CA485A"/>
    <w:rsid w:val="00CA5265"/>
    <w:rsid w:val="00CA5558"/>
    <w:rsid w:val="00CA57F7"/>
    <w:rsid w:val="00CA5F06"/>
    <w:rsid w:val="00CA61CC"/>
    <w:rsid w:val="00CA6209"/>
    <w:rsid w:val="00CA6424"/>
    <w:rsid w:val="00CA649F"/>
    <w:rsid w:val="00CA7271"/>
    <w:rsid w:val="00CA76A3"/>
    <w:rsid w:val="00CA79AA"/>
    <w:rsid w:val="00CA7D64"/>
    <w:rsid w:val="00CB0029"/>
    <w:rsid w:val="00CB014E"/>
    <w:rsid w:val="00CB042C"/>
    <w:rsid w:val="00CB1041"/>
    <w:rsid w:val="00CB105D"/>
    <w:rsid w:val="00CB14EB"/>
    <w:rsid w:val="00CB1797"/>
    <w:rsid w:val="00CB1A5B"/>
    <w:rsid w:val="00CB20F6"/>
    <w:rsid w:val="00CB24AC"/>
    <w:rsid w:val="00CB2AD9"/>
    <w:rsid w:val="00CB2DBA"/>
    <w:rsid w:val="00CB2ECC"/>
    <w:rsid w:val="00CB2ED4"/>
    <w:rsid w:val="00CB300E"/>
    <w:rsid w:val="00CB30CE"/>
    <w:rsid w:val="00CB360B"/>
    <w:rsid w:val="00CB38EE"/>
    <w:rsid w:val="00CB3979"/>
    <w:rsid w:val="00CB3C27"/>
    <w:rsid w:val="00CB3D52"/>
    <w:rsid w:val="00CB3FC8"/>
    <w:rsid w:val="00CB4038"/>
    <w:rsid w:val="00CB40DD"/>
    <w:rsid w:val="00CB421B"/>
    <w:rsid w:val="00CB4467"/>
    <w:rsid w:val="00CB4874"/>
    <w:rsid w:val="00CB4A62"/>
    <w:rsid w:val="00CB4CDF"/>
    <w:rsid w:val="00CB5091"/>
    <w:rsid w:val="00CB51E7"/>
    <w:rsid w:val="00CB562A"/>
    <w:rsid w:val="00CB5A79"/>
    <w:rsid w:val="00CB5B8E"/>
    <w:rsid w:val="00CB5C05"/>
    <w:rsid w:val="00CB5FC9"/>
    <w:rsid w:val="00CB602C"/>
    <w:rsid w:val="00CB6104"/>
    <w:rsid w:val="00CB6130"/>
    <w:rsid w:val="00CB6269"/>
    <w:rsid w:val="00CB6D8B"/>
    <w:rsid w:val="00CB7054"/>
    <w:rsid w:val="00CB754D"/>
    <w:rsid w:val="00CB762C"/>
    <w:rsid w:val="00CB76DE"/>
    <w:rsid w:val="00CB796A"/>
    <w:rsid w:val="00CB79FC"/>
    <w:rsid w:val="00CB7D60"/>
    <w:rsid w:val="00CB7E99"/>
    <w:rsid w:val="00CC0257"/>
    <w:rsid w:val="00CC0357"/>
    <w:rsid w:val="00CC0615"/>
    <w:rsid w:val="00CC07C5"/>
    <w:rsid w:val="00CC07DB"/>
    <w:rsid w:val="00CC097E"/>
    <w:rsid w:val="00CC0C74"/>
    <w:rsid w:val="00CC1D99"/>
    <w:rsid w:val="00CC1ED8"/>
    <w:rsid w:val="00CC20EF"/>
    <w:rsid w:val="00CC2146"/>
    <w:rsid w:val="00CC25ED"/>
    <w:rsid w:val="00CC279B"/>
    <w:rsid w:val="00CC2A57"/>
    <w:rsid w:val="00CC34D6"/>
    <w:rsid w:val="00CC41C5"/>
    <w:rsid w:val="00CC44A2"/>
    <w:rsid w:val="00CC483E"/>
    <w:rsid w:val="00CC485D"/>
    <w:rsid w:val="00CC4930"/>
    <w:rsid w:val="00CC4DE7"/>
    <w:rsid w:val="00CC51C5"/>
    <w:rsid w:val="00CC536B"/>
    <w:rsid w:val="00CC5A08"/>
    <w:rsid w:val="00CC5BD3"/>
    <w:rsid w:val="00CC6808"/>
    <w:rsid w:val="00CC6D7C"/>
    <w:rsid w:val="00CC71AD"/>
    <w:rsid w:val="00CC7201"/>
    <w:rsid w:val="00CC758A"/>
    <w:rsid w:val="00CC7B89"/>
    <w:rsid w:val="00CC7E3D"/>
    <w:rsid w:val="00CD0639"/>
    <w:rsid w:val="00CD06D7"/>
    <w:rsid w:val="00CD0DCC"/>
    <w:rsid w:val="00CD0E26"/>
    <w:rsid w:val="00CD1A4C"/>
    <w:rsid w:val="00CD1A8E"/>
    <w:rsid w:val="00CD1E03"/>
    <w:rsid w:val="00CD1E7B"/>
    <w:rsid w:val="00CD29D6"/>
    <w:rsid w:val="00CD2CE9"/>
    <w:rsid w:val="00CD305F"/>
    <w:rsid w:val="00CD371D"/>
    <w:rsid w:val="00CD3936"/>
    <w:rsid w:val="00CD3A84"/>
    <w:rsid w:val="00CD4041"/>
    <w:rsid w:val="00CD40D7"/>
    <w:rsid w:val="00CD449E"/>
    <w:rsid w:val="00CD46AB"/>
    <w:rsid w:val="00CD46E4"/>
    <w:rsid w:val="00CD4B97"/>
    <w:rsid w:val="00CD4CCF"/>
    <w:rsid w:val="00CD4D85"/>
    <w:rsid w:val="00CD4E0F"/>
    <w:rsid w:val="00CD4F15"/>
    <w:rsid w:val="00CD5383"/>
    <w:rsid w:val="00CD576A"/>
    <w:rsid w:val="00CD6760"/>
    <w:rsid w:val="00CD6A6F"/>
    <w:rsid w:val="00CD6E7B"/>
    <w:rsid w:val="00CD7433"/>
    <w:rsid w:val="00CD7943"/>
    <w:rsid w:val="00CD7985"/>
    <w:rsid w:val="00CD79E1"/>
    <w:rsid w:val="00CD7CB9"/>
    <w:rsid w:val="00CE005E"/>
    <w:rsid w:val="00CE00FA"/>
    <w:rsid w:val="00CE0380"/>
    <w:rsid w:val="00CE041E"/>
    <w:rsid w:val="00CE11A4"/>
    <w:rsid w:val="00CE12EA"/>
    <w:rsid w:val="00CE1F99"/>
    <w:rsid w:val="00CE2457"/>
    <w:rsid w:val="00CE287C"/>
    <w:rsid w:val="00CE2B6D"/>
    <w:rsid w:val="00CE2D6D"/>
    <w:rsid w:val="00CE2E8D"/>
    <w:rsid w:val="00CE38F8"/>
    <w:rsid w:val="00CE3997"/>
    <w:rsid w:val="00CE3C29"/>
    <w:rsid w:val="00CE42AD"/>
    <w:rsid w:val="00CE439A"/>
    <w:rsid w:val="00CE444C"/>
    <w:rsid w:val="00CE464B"/>
    <w:rsid w:val="00CE4EA4"/>
    <w:rsid w:val="00CE4FED"/>
    <w:rsid w:val="00CE5611"/>
    <w:rsid w:val="00CE5A80"/>
    <w:rsid w:val="00CE5B2F"/>
    <w:rsid w:val="00CE601A"/>
    <w:rsid w:val="00CE62FC"/>
    <w:rsid w:val="00CE6764"/>
    <w:rsid w:val="00CE67AE"/>
    <w:rsid w:val="00CE68F5"/>
    <w:rsid w:val="00CE6EA5"/>
    <w:rsid w:val="00CF0043"/>
    <w:rsid w:val="00CF074C"/>
    <w:rsid w:val="00CF08BD"/>
    <w:rsid w:val="00CF09F2"/>
    <w:rsid w:val="00CF09FE"/>
    <w:rsid w:val="00CF0A97"/>
    <w:rsid w:val="00CF0B23"/>
    <w:rsid w:val="00CF0BB9"/>
    <w:rsid w:val="00CF1214"/>
    <w:rsid w:val="00CF17DC"/>
    <w:rsid w:val="00CF1B22"/>
    <w:rsid w:val="00CF267D"/>
    <w:rsid w:val="00CF2E8E"/>
    <w:rsid w:val="00CF318E"/>
    <w:rsid w:val="00CF3261"/>
    <w:rsid w:val="00CF3810"/>
    <w:rsid w:val="00CF38F1"/>
    <w:rsid w:val="00CF3ABA"/>
    <w:rsid w:val="00CF3C77"/>
    <w:rsid w:val="00CF3E5B"/>
    <w:rsid w:val="00CF4130"/>
    <w:rsid w:val="00CF427D"/>
    <w:rsid w:val="00CF4761"/>
    <w:rsid w:val="00CF5264"/>
    <w:rsid w:val="00CF533B"/>
    <w:rsid w:val="00CF53CC"/>
    <w:rsid w:val="00CF5426"/>
    <w:rsid w:val="00CF5AFA"/>
    <w:rsid w:val="00CF5BD6"/>
    <w:rsid w:val="00CF5E5B"/>
    <w:rsid w:val="00CF6060"/>
    <w:rsid w:val="00CF607C"/>
    <w:rsid w:val="00CF6223"/>
    <w:rsid w:val="00CF62D3"/>
    <w:rsid w:val="00CF65F3"/>
    <w:rsid w:val="00CF672D"/>
    <w:rsid w:val="00CF6F88"/>
    <w:rsid w:val="00CF6FCD"/>
    <w:rsid w:val="00CF7336"/>
    <w:rsid w:val="00CF7388"/>
    <w:rsid w:val="00CF73B0"/>
    <w:rsid w:val="00CF7C22"/>
    <w:rsid w:val="00D006E0"/>
    <w:rsid w:val="00D00C9B"/>
    <w:rsid w:val="00D00D60"/>
    <w:rsid w:val="00D00D62"/>
    <w:rsid w:val="00D01933"/>
    <w:rsid w:val="00D01BD0"/>
    <w:rsid w:val="00D01CA1"/>
    <w:rsid w:val="00D01CEA"/>
    <w:rsid w:val="00D01D95"/>
    <w:rsid w:val="00D01DF0"/>
    <w:rsid w:val="00D02387"/>
    <w:rsid w:val="00D02840"/>
    <w:rsid w:val="00D0295B"/>
    <w:rsid w:val="00D03777"/>
    <w:rsid w:val="00D039B3"/>
    <w:rsid w:val="00D03A17"/>
    <w:rsid w:val="00D03BB0"/>
    <w:rsid w:val="00D04256"/>
    <w:rsid w:val="00D0454D"/>
    <w:rsid w:val="00D05289"/>
    <w:rsid w:val="00D05519"/>
    <w:rsid w:val="00D060CE"/>
    <w:rsid w:val="00D06559"/>
    <w:rsid w:val="00D069ED"/>
    <w:rsid w:val="00D06C4C"/>
    <w:rsid w:val="00D0729D"/>
    <w:rsid w:val="00D07631"/>
    <w:rsid w:val="00D07663"/>
    <w:rsid w:val="00D1017E"/>
    <w:rsid w:val="00D10756"/>
    <w:rsid w:val="00D11177"/>
    <w:rsid w:val="00D11422"/>
    <w:rsid w:val="00D120DC"/>
    <w:rsid w:val="00D12187"/>
    <w:rsid w:val="00D12394"/>
    <w:rsid w:val="00D12A6F"/>
    <w:rsid w:val="00D12CA0"/>
    <w:rsid w:val="00D12E17"/>
    <w:rsid w:val="00D12EE4"/>
    <w:rsid w:val="00D13D3A"/>
    <w:rsid w:val="00D14796"/>
    <w:rsid w:val="00D14B48"/>
    <w:rsid w:val="00D14B9D"/>
    <w:rsid w:val="00D14F4E"/>
    <w:rsid w:val="00D15248"/>
    <w:rsid w:val="00D15B95"/>
    <w:rsid w:val="00D15DD2"/>
    <w:rsid w:val="00D16506"/>
    <w:rsid w:val="00D167E0"/>
    <w:rsid w:val="00D16854"/>
    <w:rsid w:val="00D16ED9"/>
    <w:rsid w:val="00D173D2"/>
    <w:rsid w:val="00D17DC1"/>
    <w:rsid w:val="00D205BE"/>
    <w:rsid w:val="00D20954"/>
    <w:rsid w:val="00D20A60"/>
    <w:rsid w:val="00D2119E"/>
    <w:rsid w:val="00D213DD"/>
    <w:rsid w:val="00D21550"/>
    <w:rsid w:val="00D21776"/>
    <w:rsid w:val="00D21B80"/>
    <w:rsid w:val="00D225C0"/>
    <w:rsid w:val="00D225EA"/>
    <w:rsid w:val="00D2264F"/>
    <w:rsid w:val="00D226C9"/>
    <w:rsid w:val="00D22B8C"/>
    <w:rsid w:val="00D2336A"/>
    <w:rsid w:val="00D233D9"/>
    <w:rsid w:val="00D23990"/>
    <w:rsid w:val="00D239BC"/>
    <w:rsid w:val="00D23E0D"/>
    <w:rsid w:val="00D2445B"/>
    <w:rsid w:val="00D24B82"/>
    <w:rsid w:val="00D24D78"/>
    <w:rsid w:val="00D25194"/>
    <w:rsid w:val="00D25489"/>
    <w:rsid w:val="00D25940"/>
    <w:rsid w:val="00D25BC2"/>
    <w:rsid w:val="00D25D2C"/>
    <w:rsid w:val="00D25FC3"/>
    <w:rsid w:val="00D26537"/>
    <w:rsid w:val="00D26789"/>
    <w:rsid w:val="00D26B5E"/>
    <w:rsid w:val="00D26BD2"/>
    <w:rsid w:val="00D26CEF"/>
    <w:rsid w:val="00D26E0C"/>
    <w:rsid w:val="00D27167"/>
    <w:rsid w:val="00D27202"/>
    <w:rsid w:val="00D2789A"/>
    <w:rsid w:val="00D278F1"/>
    <w:rsid w:val="00D27FC5"/>
    <w:rsid w:val="00D30965"/>
    <w:rsid w:val="00D31B0B"/>
    <w:rsid w:val="00D326CB"/>
    <w:rsid w:val="00D327D4"/>
    <w:rsid w:val="00D32A0B"/>
    <w:rsid w:val="00D32CF9"/>
    <w:rsid w:val="00D335E7"/>
    <w:rsid w:val="00D33694"/>
    <w:rsid w:val="00D33CFC"/>
    <w:rsid w:val="00D33D85"/>
    <w:rsid w:val="00D33F4A"/>
    <w:rsid w:val="00D34081"/>
    <w:rsid w:val="00D34150"/>
    <w:rsid w:val="00D343D7"/>
    <w:rsid w:val="00D3483B"/>
    <w:rsid w:val="00D34B52"/>
    <w:rsid w:val="00D34EAB"/>
    <w:rsid w:val="00D3502B"/>
    <w:rsid w:val="00D35035"/>
    <w:rsid w:val="00D350E2"/>
    <w:rsid w:val="00D3588A"/>
    <w:rsid w:val="00D360D2"/>
    <w:rsid w:val="00D36D84"/>
    <w:rsid w:val="00D36F2D"/>
    <w:rsid w:val="00D36FBF"/>
    <w:rsid w:val="00D3724A"/>
    <w:rsid w:val="00D3763D"/>
    <w:rsid w:val="00D376E0"/>
    <w:rsid w:val="00D37BB3"/>
    <w:rsid w:val="00D401F2"/>
    <w:rsid w:val="00D405F2"/>
    <w:rsid w:val="00D40DC1"/>
    <w:rsid w:val="00D40DE1"/>
    <w:rsid w:val="00D40F44"/>
    <w:rsid w:val="00D410F8"/>
    <w:rsid w:val="00D4135F"/>
    <w:rsid w:val="00D41442"/>
    <w:rsid w:val="00D41490"/>
    <w:rsid w:val="00D414F0"/>
    <w:rsid w:val="00D416D1"/>
    <w:rsid w:val="00D418D9"/>
    <w:rsid w:val="00D41944"/>
    <w:rsid w:val="00D41A5F"/>
    <w:rsid w:val="00D41C42"/>
    <w:rsid w:val="00D421BB"/>
    <w:rsid w:val="00D42286"/>
    <w:rsid w:val="00D42365"/>
    <w:rsid w:val="00D428FF"/>
    <w:rsid w:val="00D42E95"/>
    <w:rsid w:val="00D4301E"/>
    <w:rsid w:val="00D43931"/>
    <w:rsid w:val="00D43E76"/>
    <w:rsid w:val="00D4404B"/>
    <w:rsid w:val="00D4456E"/>
    <w:rsid w:val="00D4461A"/>
    <w:rsid w:val="00D449F1"/>
    <w:rsid w:val="00D44E89"/>
    <w:rsid w:val="00D4516B"/>
    <w:rsid w:val="00D45305"/>
    <w:rsid w:val="00D45542"/>
    <w:rsid w:val="00D45962"/>
    <w:rsid w:val="00D45F32"/>
    <w:rsid w:val="00D46261"/>
    <w:rsid w:val="00D47BC8"/>
    <w:rsid w:val="00D47D3B"/>
    <w:rsid w:val="00D47D6F"/>
    <w:rsid w:val="00D47E4A"/>
    <w:rsid w:val="00D5016C"/>
    <w:rsid w:val="00D505E3"/>
    <w:rsid w:val="00D50B2B"/>
    <w:rsid w:val="00D51506"/>
    <w:rsid w:val="00D517D0"/>
    <w:rsid w:val="00D519F7"/>
    <w:rsid w:val="00D51A70"/>
    <w:rsid w:val="00D520A9"/>
    <w:rsid w:val="00D52192"/>
    <w:rsid w:val="00D52444"/>
    <w:rsid w:val="00D525FB"/>
    <w:rsid w:val="00D526D2"/>
    <w:rsid w:val="00D5297A"/>
    <w:rsid w:val="00D52B64"/>
    <w:rsid w:val="00D53107"/>
    <w:rsid w:val="00D53C91"/>
    <w:rsid w:val="00D53E93"/>
    <w:rsid w:val="00D543AE"/>
    <w:rsid w:val="00D54C91"/>
    <w:rsid w:val="00D54DFF"/>
    <w:rsid w:val="00D54E1F"/>
    <w:rsid w:val="00D54EE0"/>
    <w:rsid w:val="00D554DC"/>
    <w:rsid w:val="00D5562C"/>
    <w:rsid w:val="00D556F9"/>
    <w:rsid w:val="00D55DDC"/>
    <w:rsid w:val="00D561C7"/>
    <w:rsid w:val="00D568AF"/>
    <w:rsid w:val="00D56D32"/>
    <w:rsid w:val="00D57146"/>
    <w:rsid w:val="00D57791"/>
    <w:rsid w:val="00D57794"/>
    <w:rsid w:val="00D57FAE"/>
    <w:rsid w:val="00D601B5"/>
    <w:rsid w:val="00D606F1"/>
    <w:rsid w:val="00D608BA"/>
    <w:rsid w:val="00D60AB5"/>
    <w:rsid w:val="00D60BC9"/>
    <w:rsid w:val="00D612F1"/>
    <w:rsid w:val="00D615B3"/>
    <w:rsid w:val="00D618BB"/>
    <w:rsid w:val="00D62034"/>
    <w:rsid w:val="00D62763"/>
    <w:rsid w:val="00D628CF"/>
    <w:rsid w:val="00D62D38"/>
    <w:rsid w:val="00D62DB1"/>
    <w:rsid w:val="00D62DC7"/>
    <w:rsid w:val="00D62F80"/>
    <w:rsid w:val="00D62F91"/>
    <w:rsid w:val="00D63245"/>
    <w:rsid w:val="00D63375"/>
    <w:rsid w:val="00D6382A"/>
    <w:rsid w:val="00D6397D"/>
    <w:rsid w:val="00D639BD"/>
    <w:rsid w:val="00D63F30"/>
    <w:rsid w:val="00D63FC1"/>
    <w:rsid w:val="00D6415B"/>
    <w:rsid w:val="00D6451C"/>
    <w:rsid w:val="00D645F4"/>
    <w:rsid w:val="00D6474F"/>
    <w:rsid w:val="00D648BF"/>
    <w:rsid w:val="00D64914"/>
    <w:rsid w:val="00D65287"/>
    <w:rsid w:val="00D65324"/>
    <w:rsid w:val="00D6535F"/>
    <w:rsid w:val="00D65683"/>
    <w:rsid w:val="00D656EF"/>
    <w:rsid w:val="00D658D0"/>
    <w:rsid w:val="00D65E27"/>
    <w:rsid w:val="00D6603C"/>
    <w:rsid w:val="00D660B9"/>
    <w:rsid w:val="00D663BA"/>
    <w:rsid w:val="00D668A3"/>
    <w:rsid w:val="00D668CF"/>
    <w:rsid w:val="00D66A46"/>
    <w:rsid w:val="00D66BAD"/>
    <w:rsid w:val="00D6738D"/>
    <w:rsid w:val="00D67596"/>
    <w:rsid w:val="00D676F3"/>
    <w:rsid w:val="00D67C00"/>
    <w:rsid w:val="00D67C12"/>
    <w:rsid w:val="00D67F56"/>
    <w:rsid w:val="00D70240"/>
    <w:rsid w:val="00D704BA"/>
    <w:rsid w:val="00D70692"/>
    <w:rsid w:val="00D70991"/>
    <w:rsid w:val="00D70C59"/>
    <w:rsid w:val="00D71568"/>
    <w:rsid w:val="00D7170D"/>
    <w:rsid w:val="00D71B74"/>
    <w:rsid w:val="00D71B94"/>
    <w:rsid w:val="00D71E5B"/>
    <w:rsid w:val="00D71ED7"/>
    <w:rsid w:val="00D71EE1"/>
    <w:rsid w:val="00D71EEF"/>
    <w:rsid w:val="00D71EF4"/>
    <w:rsid w:val="00D72246"/>
    <w:rsid w:val="00D7224D"/>
    <w:rsid w:val="00D72268"/>
    <w:rsid w:val="00D723E9"/>
    <w:rsid w:val="00D7266A"/>
    <w:rsid w:val="00D72808"/>
    <w:rsid w:val="00D7294D"/>
    <w:rsid w:val="00D72A83"/>
    <w:rsid w:val="00D72B3D"/>
    <w:rsid w:val="00D72BDC"/>
    <w:rsid w:val="00D73607"/>
    <w:rsid w:val="00D7363E"/>
    <w:rsid w:val="00D738F4"/>
    <w:rsid w:val="00D73962"/>
    <w:rsid w:val="00D739AF"/>
    <w:rsid w:val="00D73A73"/>
    <w:rsid w:val="00D73EDE"/>
    <w:rsid w:val="00D74295"/>
    <w:rsid w:val="00D74458"/>
    <w:rsid w:val="00D74905"/>
    <w:rsid w:val="00D74E9B"/>
    <w:rsid w:val="00D74FF2"/>
    <w:rsid w:val="00D75553"/>
    <w:rsid w:val="00D75725"/>
    <w:rsid w:val="00D75A09"/>
    <w:rsid w:val="00D75B73"/>
    <w:rsid w:val="00D75C83"/>
    <w:rsid w:val="00D75D5E"/>
    <w:rsid w:val="00D75EC9"/>
    <w:rsid w:val="00D762BE"/>
    <w:rsid w:val="00D762E8"/>
    <w:rsid w:val="00D765D1"/>
    <w:rsid w:val="00D7672C"/>
    <w:rsid w:val="00D76DF4"/>
    <w:rsid w:val="00D771D7"/>
    <w:rsid w:val="00D7759A"/>
    <w:rsid w:val="00D779CF"/>
    <w:rsid w:val="00D77CA9"/>
    <w:rsid w:val="00D77E96"/>
    <w:rsid w:val="00D800ED"/>
    <w:rsid w:val="00D80429"/>
    <w:rsid w:val="00D80E24"/>
    <w:rsid w:val="00D812CA"/>
    <w:rsid w:val="00D815F7"/>
    <w:rsid w:val="00D817C9"/>
    <w:rsid w:val="00D81995"/>
    <w:rsid w:val="00D81A00"/>
    <w:rsid w:val="00D81CC5"/>
    <w:rsid w:val="00D81FAC"/>
    <w:rsid w:val="00D820DA"/>
    <w:rsid w:val="00D820DD"/>
    <w:rsid w:val="00D82405"/>
    <w:rsid w:val="00D827E5"/>
    <w:rsid w:val="00D82C43"/>
    <w:rsid w:val="00D82C9F"/>
    <w:rsid w:val="00D83667"/>
    <w:rsid w:val="00D83714"/>
    <w:rsid w:val="00D839C0"/>
    <w:rsid w:val="00D83AEA"/>
    <w:rsid w:val="00D83CF3"/>
    <w:rsid w:val="00D83D02"/>
    <w:rsid w:val="00D8416F"/>
    <w:rsid w:val="00D84305"/>
    <w:rsid w:val="00D84501"/>
    <w:rsid w:val="00D8475A"/>
    <w:rsid w:val="00D848CC"/>
    <w:rsid w:val="00D8495C"/>
    <w:rsid w:val="00D84A8E"/>
    <w:rsid w:val="00D84BE8"/>
    <w:rsid w:val="00D85478"/>
    <w:rsid w:val="00D85A1A"/>
    <w:rsid w:val="00D85B34"/>
    <w:rsid w:val="00D864A3"/>
    <w:rsid w:val="00D86A7B"/>
    <w:rsid w:val="00D86E88"/>
    <w:rsid w:val="00D875DB"/>
    <w:rsid w:val="00D87FAB"/>
    <w:rsid w:val="00D90485"/>
    <w:rsid w:val="00D90BEC"/>
    <w:rsid w:val="00D90FEB"/>
    <w:rsid w:val="00D91240"/>
    <w:rsid w:val="00D918F5"/>
    <w:rsid w:val="00D91DD0"/>
    <w:rsid w:val="00D91E30"/>
    <w:rsid w:val="00D91E5A"/>
    <w:rsid w:val="00D92061"/>
    <w:rsid w:val="00D9217E"/>
    <w:rsid w:val="00D921F7"/>
    <w:rsid w:val="00D92431"/>
    <w:rsid w:val="00D926F5"/>
    <w:rsid w:val="00D928EC"/>
    <w:rsid w:val="00D929C8"/>
    <w:rsid w:val="00D92D59"/>
    <w:rsid w:val="00D93034"/>
    <w:rsid w:val="00D9354D"/>
    <w:rsid w:val="00D9358D"/>
    <w:rsid w:val="00D9394D"/>
    <w:rsid w:val="00D94A2C"/>
    <w:rsid w:val="00D957BA"/>
    <w:rsid w:val="00D959E9"/>
    <w:rsid w:val="00D95C28"/>
    <w:rsid w:val="00D9609F"/>
    <w:rsid w:val="00D96BF5"/>
    <w:rsid w:val="00D96E43"/>
    <w:rsid w:val="00D97033"/>
    <w:rsid w:val="00D973DB"/>
    <w:rsid w:val="00D973FA"/>
    <w:rsid w:val="00D978A8"/>
    <w:rsid w:val="00D978FA"/>
    <w:rsid w:val="00D97908"/>
    <w:rsid w:val="00D97B8F"/>
    <w:rsid w:val="00D97CA1"/>
    <w:rsid w:val="00DA0864"/>
    <w:rsid w:val="00DA0CC9"/>
    <w:rsid w:val="00DA1244"/>
    <w:rsid w:val="00DA1382"/>
    <w:rsid w:val="00DA13A4"/>
    <w:rsid w:val="00DA14C4"/>
    <w:rsid w:val="00DA1ADE"/>
    <w:rsid w:val="00DA1BF6"/>
    <w:rsid w:val="00DA1D08"/>
    <w:rsid w:val="00DA2387"/>
    <w:rsid w:val="00DA23B5"/>
    <w:rsid w:val="00DA2490"/>
    <w:rsid w:val="00DA31FA"/>
    <w:rsid w:val="00DA3B8D"/>
    <w:rsid w:val="00DA4198"/>
    <w:rsid w:val="00DA43F8"/>
    <w:rsid w:val="00DA4642"/>
    <w:rsid w:val="00DA4F97"/>
    <w:rsid w:val="00DA522A"/>
    <w:rsid w:val="00DA538A"/>
    <w:rsid w:val="00DA5571"/>
    <w:rsid w:val="00DA570D"/>
    <w:rsid w:val="00DA5780"/>
    <w:rsid w:val="00DA5B1C"/>
    <w:rsid w:val="00DA5B9C"/>
    <w:rsid w:val="00DA66B3"/>
    <w:rsid w:val="00DA68B2"/>
    <w:rsid w:val="00DA6A20"/>
    <w:rsid w:val="00DA710F"/>
    <w:rsid w:val="00DA7325"/>
    <w:rsid w:val="00DA78A6"/>
    <w:rsid w:val="00DA7933"/>
    <w:rsid w:val="00DA7CF6"/>
    <w:rsid w:val="00DB03CC"/>
    <w:rsid w:val="00DB03EE"/>
    <w:rsid w:val="00DB0681"/>
    <w:rsid w:val="00DB07A5"/>
    <w:rsid w:val="00DB0C77"/>
    <w:rsid w:val="00DB0DB6"/>
    <w:rsid w:val="00DB14DB"/>
    <w:rsid w:val="00DB19AE"/>
    <w:rsid w:val="00DB19D1"/>
    <w:rsid w:val="00DB1B02"/>
    <w:rsid w:val="00DB1B93"/>
    <w:rsid w:val="00DB1CCE"/>
    <w:rsid w:val="00DB1E7A"/>
    <w:rsid w:val="00DB1FAC"/>
    <w:rsid w:val="00DB27E6"/>
    <w:rsid w:val="00DB2931"/>
    <w:rsid w:val="00DB2D4D"/>
    <w:rsid w:val="00DB34E3"/>
    <w:rsid w:val="00DB3679"/>
    <w:rsid w:val="00DB36C0"/>
    <w:rsid w:val="00DB3713"/>
    <w:rsid w:val="00DB3C1E"/>
    <w:rsid w:val="00DB3E1B"/>
    <w:rsid w:val="00DB4077"/>
    <w:rsid w:val="00DB42C3"/>
    <w:rsid w:val="00DB4323"/>
    <w:rsid w:val="00DB46FD"/>
    <w:rsid w:val="00DB4CFE"/>
    <w:rsid w:val="00DB4D18"/>
    <w:rsid w:val="00DB50CD"/>
    <w:rsid w:val="00DB5312"/>
    <w:rsid w:val="00DB5765"/>
    <w:rsid w:val="00DB586C"/>
    <w:rsid w:val="00DB5B3F"/>
    <w:rsid w:val="00DB5CE5"/>
    <w:rsid w:val="00DB665E"/>
    <w:rsid w:val="00DB688E"/>
    <w:rsid w:val="00DB6A09"/>
    <w:rsid w:val="00DB7196"/>
    <w:rsid w:val="00DB7204"/>
    <w:rsid w:val="00DB73EB"/>
    <w:rsid w:val="00DB76A7"/>
    <w:rsid w:val="00DB76BD"/>
    <w:rsid w:val="00DB7EE1"/>
    <w:rsid w:val="00DB7FD2"/>
    <w:rsid w:val="00DC0583"/>
    <w:rsid w:val="00DC074D"/>
    <w:rsid w:val="00DC084B"/>
    <w:rsid w:val="00DC0E49"/>
    <w:rsid w:val="00DC0E54"/>
    <w:rsid w:val="00DC0E76"/>
    <w:rsid w:val="00DC1153"/>
    <w:rsid w:val="00DC1BF6"/>
    <w:rsid w:val="00DC1F63"/>
    <w:rsid w:val="00DC21C1"/>
    <w:rsid w:val="00DC23D1"/>
    <w:rsid w:val="00DC259F"/>
    <w:rsid w:val="00DC2610"/>
    <w:rsid w:val="00DC29FB"/>
    <w:rsid w:val="00DC3090"/>
    <w:rsid w:val="00DC3122"/>
    <w:rsid w:val="00DC3425"/>
    <w:rsid w:val="00DC39B0"/>
    <w:rsid w:val="00DC3A4E"/>
    <w:rsid w:val="00DC3BF6"/>
    <w:rsid w:val="00DC3CC0"/>
    <w:rsid w:val="00DC3D2D"/>
    <w:rsid w:val="00DC3FF0"/>
    <w:rsid w:val="00DC41AC"/>
    <w:rsid w:val="00DC4421"/>
    <w:rsid w:val="00DC4725"/>
    <w:rsid w:val="00DC4BA8"/>
    <w:rsid w:val="00DC51EC"/>
    <w:rsid w:val="00DC5602"/>
    <w:rsid w:val="00DC5BA3"/>
    <w:rsid w:val="00DC5D67"/>
    <w:rsid w:val="00DC5F61"/>
    <w:rsid w:val="00DC5FF5"/>
    <w:rsid w:val="00DC671E"/>
    <w:rsid w:val="00DC685A"/>
    <w:rsid w:val="00DC6FDD"/>
    <w:rsid w:val="00DC70D4"/>
    <w:rsid w:val="00DC7222"/>
    <w:rsid w:val="00DC7512"/>
    <w:rsid w:val="00DC78F7"/>
    <w:rsid w:val="00DC799E"/>
    <w:rsid w:val="00DD019F"/>
    <w:rsid w:val="00DD01D1"/>
    <w:rsid w:val="00DD0A51"/>
    <w:rsid w:val="00DD127A"/>
    <w:rsid w:val="00DD1CA3"/>
    <w:rsid w:val="00DD1F89"/>
    <w:rsid w:val="00DD22C4"/>
    <w:rsid w:val="00DD3597"/>
    <w:rsid w:val="00DD38CC"/>
    <w:rsid w:val="00DD3CB3"/>
    <w:rsid w:val="00DD3EFB"/>
    <w:rsid w:val="00DD4C78"/>
    <w:rsid w:val="00DD4FC8"/>
    <w:rsid w:val="00DD5574"/>
    <w:rsid w:val="00DD5579"/>
    <w:rsid w:val="00DD55FB"/>
    <w:rsid w:val="00DD5628"/>
    <w:rsid w:val="00DD644F"/>
    <w:rsid w:val="00DD6D6C"/>
    <w:rsid w:val="00DD723D"/>
    <w:rsid w:val="00DD724C"/>
    <w:rsid w:val="00DD7B0D"/>
    <w:rsid w:val="00DD7C7C"/>
    <w:rsid w:val="00DE06AF"/>
    <w:rsid w:val="00DE0A2B"/>
    <w:rsid w:val="00DE1740"/>
    <w:rsid w:val="00DE1873"/>
    <w:rsid w:val="00DE18A0"/>
    <w:rsid w:val="00DE1CB1"/>
    <w:rsid w:val="00DE22A8"/>
    <w:rsid w:val="00DE2739"/>
    <w:rsid w:val="00DE281B"/>
    <w:rsid w:val="00DE2CA5"/>
    <w:rsid w:val="00DE2CB1"/>
    <w:rsid w:val="00DE2CCA"/>
    <w:rsid w:val="00DE2D57"/>
    <w:rsid w:val="00DE2F43"/>
    <w:rsid w:val="00DE3536"/>
    <w:rsid w:val="00DE3778"/>
    <w:rsid w:val="00DE3DD8"/>
    <w:rsid w:val="00DE3E95"/>
    <w:rsid w:val="00DE3F0B"/>
    <w:rsid w:val="00DE4083"/>
    <w:rsid w:val="00DE45F0"/>
    <w:rsid w:val="00DE479C"/>
    <w:rsid w:val="00DE4DC4"/>
    <w:rsid w:val="00DE4E9E"/>
    <w:rsid w:val="00DE4EDD"/>
    <w:rsid w:val="00DE4F10"/>
    <w:rsid w:val="00DE5069"/>
    <w:rsid w:val="00DE5169"/>
    <w:rsid w:val="00DE5AD1"/>
    <w:rsid w:val="00DE600D"/>
    <w:rsid w:val="00DE610C"/>
    <w:rsid w:val="00DE6252"/>
    <w:rsid w:val="00DE655A"/>
    <w:rsid w:val="00DE663E"/>
    <w:rsid w:val="00DE6878"/>
    <w:rsid w:val="00DE69A9"/>
    <w:rsid w:val="00DE6F00"/>
    <w:rsid w:val="00DE7794"/>
    <w:rsid w:val="00DF0354"/>
    <w:rsid w:val="00DF0A15"/>
    <w:rsid w:val="00DF10BA"/>
    <w:rsid w:val="00DF15CB"/>
    <w:rsid w:val="00DF1691"/>
    <w:rsid w:val="00DF172C"/>
    <w:rsid w:val="00DF201D"/>
    <w:rsid w:val="00DF213D"/>
    <w:rsid w:val="00DF2854"/>
    <w:rsid w:val="00DF2BF9"/>
    <w:rsid w:val="00DF30BD"/>
    <w:rsid w:val="00DF33AD"/>
    <w:rsid w:val="00DF3577"/>
    <w:rsid w:val="00DF35A8"/>
    <w:rsid w:val="00DF4267"/>
    <w:rsid w:val="00DF44F6"/>
    <w:rsid w:val="00DF45D6"/>
    <w:rsid w:val="00DF54BD"/>
    <w:rsid w:val="00DF578D"/>
    <w:rsid w:val="00DF5798"/>
    <w:rsid w:val="00DF587D"/>
    <w:rsid w:val="00DF5BCC"/>
    <w:rsid w:val="00DF6039"/>
    <w:rsid w:val="00DF6627"/>
    <w:rsid w:val="00DF6885"/>
    <w:rsid w:val="00DF68C8"/>
    <w:rsid w:val="00DF7266"/>
    <w:rsid w:val="00DF72FF"/>
    <w:rsid w:val="00DF75F2"/>
    <w:rsid w:val="00DF772A"/>
    <w:rsid w:val="00DF7B2C"/>
    <w:rsid w:val="00DF7BE9"/>
    <w:rsid w:val="00DF7C5C"/>
    <w:rsid w:val="00E0102A"/>
    <w:rsid w:val="00E01213"/>
    <w:rsid w:val="00E01340"/>
    <w:rsid w:val="00E013C1"/>
    <w:rsid w:val="00E01746"/>
    <w:rsid w:val="00E0231C"/>
    <w:rsid w:val="00E023D9"/>
    <w:rsid w:val="00E023E9"/>
    <w:rsid w:val="00E03362"/>
    <w:rsid w:val="00E03682"/>
    <w:rsid w:val="00E036B4"/>
    <w:rsid w:val="00E03B6D"/>
    <w:rsid w:val="00E03C10"/>
    <w:rsid w:val="00E03D7C"/>
    <w:rsid w:val="00E041F2"/>
    <w:rsid w:val="00E044F8"/>
    <w:rsid w:val="00E04584"/>
    <w:rsid w:val="00E048D7"/>
    <w:rsid w:val="00E04B29"/>
    <w:rsid w:val="00E04C43"/>
    <w:rsid w:val="00E06934"/>
    <w:rsid w:val="00E06CC5"/>
    <w:rsid w:val="00E06D68"/>
    <w:rsid w:val="00E071F4"/>
    <w:rsid w:val="00E073BD"/>
    <w:rsid w:val="00E073C7"/>
    <w:rsid w:val="00E075E4"/>
    <w:rsid w:val="00E078A0"/>
    <w:rsid w:val="00E07BC7"/>
    <w:rsid w:val="00E07BE1"/>
    <w:rsid w:val="00E07C07"/>
    <w:rsid w:val="00E07C6E"/>
    <w:rsid w:val="00E07C84"/>
    <w:rsid w:val="00E07EAA"/>
    <w:rsid w:val="00E10024"/>
    <w:rsid w:val="00E103B0"/>
    <w:rsid w:val="00E10BBC"/>
    <w:rsid w:val="00E10D96"/>
    <w:rsid w:val="00E10F3C"/>
    <w:rsid w:val="00E10FD3"/>
    <w:rsid w:val="00E11402"/>
    <w:rsid w:val="00E11637"/>
    <w:rsid w:val="00E11811"/>
    <w:rsid w:val="00E11B33"/>
    <w:rsid w:val="00E12133"/>
    <w:rsid w:val="00E121F3"/>
    <w:rsid w:val="00E1220E"/>
    <w:rsid w:val="00E12372"/>
    <w:rsid w:val="00E12386"/>
    <w:rsid w:val="00E124C7"/>
    <w:rsid w:val="00E128DE"/>
    <w:rsid w:val="00E12D52"/>
    <w:rsid w:val="00E12D56"/>
    <w:rsid w:val="00E12D75"/>
    <w:rsid w:val="00E12E37"/>
    <w:rsid w:val="00E13350"/>
    <w:rsid w:val="00E13415"/>
    <w:rsid w:val="00E13483"/>
    <w:rsid w:val="00E13E4A"/>
    <w:rsid w:val="00E13E54"/>
    <w:rsid w:val="00E14091"/>
    <w:rsid w:val="00E14152"/>
    <w:rsid w:val="00E14208"/>
    <w:rsid w:val="00E14574"/>
    <w:rsid w:val="00E14775"/>
    <w:rsid w:val="00E14C7F"/>
    <w:rsid w:val="00E14CDB"/>
    <w:rsid w:val="00E14EC4"/>
    <w:rsid w:val="00E14F3B"/>
    <w:rsid w:val="00E150DC"/>
    <w:rsid w:val="00E151DC"/>
    <w:rsid w:val="00E15544"/>
    <w:rsid w:val="00E158D5"/>
    <w:rsid w:val="00E15FAC"/>
    <w:rsid w:val="00E162CC"/>
    <w:rsid w:val="00E1643A"/>
    <w:rsid w:val="00E165C1"/>
    <w:rsid w:val="00E166D0"/>
    <w:rsid w:val="00E17126"/>
    <w:rsid w:val="00E1729C"/>
    <w:rsid w:val="00E175BE"/>
    <w:rsid w:val="00E17736"/>
    <w:rsid w:val="00E17946"/>
    <w:rsid w:val="00E17A14"/>
    <w:rsid w:val="00E17A2F"/>
    <w:rsid w:val="00E2034E"/>
    <w:rsid w:val="00E20FAE"/>
    <w:rsid w:val="00E2106B"/>
    <w:rsid w:val="00E210A5"/>
    <w:rsid w:val="00E2131E"/>
    <w:rsid w:val="00E22469"/>
    <w:rsid w:val="00E227CD"/>
    <w:rsid w:val="00E229D4"/>
    <w:rsid w:val="00E22AD4"/>
    <w:rsid w:val="00E232B6"/>
    <w:rsid w:val="00E23505"/>
    <w:rsid w:val="00E23BF0"/>
    <w:rsid w:val="00E24134"/>
    <w:rsid w:val="00E243F7"/>
    <w:rsid w:val="00E244A4"/>
    <w:rsid w:val="00E247B4"/>
    <w:rsid w:val="00E247C8"/>
    <w:rsid w:val="00E24D45"/>
    <w:rsid w:val="00E2504C"/>
    <w:rsid w:val="00E251C6"/>
    <w:rsid w:val="00E25532"/>
    <w:rsid w:val="00E2587A"/>
    <w:rsid w:val="00E25DEA"/>
    <w:rsid w:val="00E25E1C"/>
    <w:rsid w:val="00E2653E"/>
    <w:rsid w:val="00E266FE"/>
    <w:rsid w:val="00E2699F"/>
    <w:rsid w:val="00E26A23"/>
    <w:rsid w:val="00E26A95"/>
    <w:rsid w:val="00E26B17"/>
    <w:rsid w:val="00E27055"/>
    <w:rsid w:val="00E27105"/>
    <w:rsid w:val="00E27109"/>
    <w:rsid w:val="00E2752D"/>
    <w:rsid w:val="00E276E5"/>
    <w:rsid w:val="00E30214"/>
    <w:rsid w:val="00E30418"/>
    <w:rsid w:val="00E30993"/>
    <w:rsid w:val="00E30F1E"/>
    <w:rsid w:val="00E31245"/>
    <w:rsid w:val="00E31712"/>
    <w:rsid w:val="00E317CD"/>
    <w:rsid w:val="00E31AD7"/>
    <w:rsid w:val="00E31AE2"/>
    <w:rsid w:val="00E31DEA"/>
    <w:rsid w:val="00E321B0"/>
    <w:rsid w:val="00E322DE"/>
    <w:rsid w:val="00E326B1"/>
    <w:rsid w:val="00E32838"/>
    <w:rsid w:val="00E32A7B"/>
    <w:rsid w:val="00E335B6"/>
    <w:rsid w:val="00E33869"/>
    <w:rsid w:val="00E33973"/>
    <w:rsid w:val="00E33B3C"/>
    <w:rsid w:val="00E33DA3"/>
    <w:rsid w:val="00E33FF1"/>
    <w:rsid w:val="00E347C4"/>
    <w:rsid w:val="00E34EAC"/>
    <w:rsid w:val="00E34FD0"/>
    <w:rsid w:val="00E351CA"/>
    <w:rsid w:val="00E35249"/>
    <w:rsid w:val="00E35532"/>
    <w:rsid w:val="00E35558"/>
    <w:rsid w:val="00E35D36"/>
    <w:rsid w:val="00E362AC"/>
    <w:rsid w:val="00E36B8F"/>
    <w:rsid w:val="00E36CE9"/>
    <w:rsid w:val="00E36ED5"/>
    <w:rsid w:val="00E370CB"/>
    <w:rsid w:val="00E37453"/>
    <w:rsid w:val="00E37C6E"/>
    <w:rsid w:val="00E4017E"/>
    <w:rsid w:val="00E4046D"/>
    <w:rsid w:val="00E408B3"/>
    <w:rsid w:val="00E408E7"/>
    <w:rsid w:val="00E40A6B"/>
    <w:rsid w:val="00E40EB5"/>
    <w:rsid w:val="00E41300"/>
    <w:rsid w:val="00E419BD"/>
    <w:rsid w:val="00E424F8"/>
    <w:rsid w:val="00E427B0"/>
    <w:rsid w:val="00E427CD"/>
    <w:rsid w:val="00E427DA"/>
    <w:rsid w:val="00E42B51"/>
    <w:rsid w:val="00E42DD3"/>
    <w:rsid w:val="00E43230"/>
    <w:rsid w:val="00E433FC"/>
    <w:rsid w:val="00E436EA"/>
    <w:rsid w:val="00E4399A"/>
    <w:rsid w:val="00E441E7"/>
    <w:rsid w:val="00E44711"/>
    <w:rsid w:val="00E44CA2"/>
    <w:rsid w:val="00E44EF6"/>
    <w:rsid w:val="00E45446"/>
    <w:rsid w:val="00E45609"/>
    <w:rsid w:val="00E45A36"/>
    <w:rsid w:val="00E46049"/>
    <w:rsid w:val="00E46461"/>
    <w:rsid w:val="00E46A75"/>
    <w:rsid w:val="00E46A7D"/>
    <w:rsid w:val="00E46BAC"/>
    <w:rsid w:val="00E46BCE"/>
    <w:rsid w:val="00E46C97"/>
    <w:rsid w:val="00E47135"/>
    <w:rsid w:val="00E476AD"/>
    <w:rsid w:val="00E47A20"/>
    <w:rsid w:val="00E47B45"/>
    <w:rsid w:val="00E47CBE"/>
    <w:rsid w:val="00E5043B"/>
    <w:rsid w:val="00E505D5"/>
    <w:rsid w:val="00E50B21"/>
    <w:rsid w:val="00E50B91"/>
    <w:rsid w:val="00E50D10"/>
    <w:rsid w:val="00E50E7E"/>
    <w:rsid w:val="00E50E99"/>
    <w:rsid w:val="00E51B74"/>
    <w:rsid w:val="00E520B7"/>
    <w:rsid w:val="00E521E5"/>
    <w:rsid w:val="00E5247D"/>
    <w:rsid w:val="00E52511"/>
    <w:rsid w:val="00E5281C"/>
    <w:rsid w:val="00E53234"/>
    <w:rsid w:val="00E535FC"/>
    <w:rsid w:val="00E536AC"/>
    <w:rsid w:val="00E5384A"/>
    <w:rsid w:val="00E53E93"/>
    <w:rsid w:val="00E53FAC"/>
    <w:rsid w:val="00E5453C"/>
    <w:rsid w:val="00E55250"/>
    <w:rsid w:val="00E552B9"/>
    <w:rsid w:val="00E552DF"/>
    <w:rsid w:val="00E55AFE"/>
    <w:rsid w:val="00E5612F"/>
    <w:rsid w:val="00E5624D"/>
    <w:rsid w:val="00E56578"/>
    <w:rsid w:val="00E56611"/>
    <w:rsid w:val="00E5670F"/>
    <w:rsid w:val="00E56750"/>
    <w:rsid w:val="00E56E54"/>
    <w:rsid w:val="00E5701C"/>
    <w:rsid w:val="00E572FF"/>
    <w:rsid w:val="00E5738F"/>
    <w:rsid w:val="00E57B4F"/>
    <w:rsid w:val="00E60103"/>
    <w:rsid w:val="00E60211"/>
    <w:rsid w:val="00E606EB"/>
    <w:rsid w:val="00E607DA"/>
    <w:rsid w:val="00E609AC"/>
    <w:rsid w:val="00E6136A"/>
    <w:rsid w:val="00E61817"/>
    <w:rsid w:val="00E6189B"/>
    <w:rsid w:val="00E6227A"/>
    <w:rsid w:val="00E622AD"/>
    <w:rsid w:val="00E62611"/>
    <w:rsid w:val="00E62903"/>
    <w:rsid w:val="00E629AE"/>
    <w:rsid w:val="00E62C7A"/>
    <w:rsid w:val="00E6357B"/>
    <w:rsid w:val="00E63930"/>
    <w:rsid w:val="00E6486F"/>
    <w:rsid w:val="00E64877"/>
    <w:rsid w:val="00E64A8C"/>
    <w:rsid w:val="00E65095"/>
    <w:rsid w:val="00E65376"/>
    <w:rsid w:val="00E65B97"/>
    <w:rsid w:val="00E663DD"/>
    <w:rsid w:val="00E664F7"/>
    <w:rsid w:val="00E66A7F"/>
    <w:rsid w:val="00E66AE3"/>
    <w:rsid w:val="00E66F7B"/>
    <w:rsid w:val="00E67650"/>
    <w:rsid w:val="00E67984"/>
    <w:rsid w:val="00E679F7"/>
    <w:rsid w:val="00E67AD1"/>
    <w:rsid w:val="00E7014F"/>
    <w:rsid w:val="00E701D3"/>
    <w:rsid w:val="00E704C5"/>
    <w:rsid w:val="00E70827"/>
    <w:rsid w:val="00E70965"/>
    <w:rsid w:val="00E717A1"/>
    <w:rsid w:val="00E71DEF"/>
    <w:rsid w:val="00E71F8A"/>
    <w:rsid w:val="00E7212E"/>
    <w:rsid w:val="00E72341"/>
    <w:rsid w:val="00E729BF"/>
    <w:rsid w:val="00E72F88"/>
    <w:rsid w:val="00E7315A"/>
    <w:rsid w:val="00E733A8"/>
    <w:rsid w:val="00E7385E"/>
    <w:rsid w:val="00E73AB8"/>
    <w:rsid w:val="00E73BBA"/>
    <w:rsid w:val="00E74C14"/>
    <w:rsid w:val="00E74D37"/>
    <w:rsid w:val="00E751DF"/>
    <w:rsid w:val="00E7521D"/>
    <w:rsid w:val="00E75403"/>
    <w:rsid w:val="00E757BF"/>
    <w:rsid w:val="00E75C87"/>
    <w:rsid w:val="00E75E80"/>
    <w:rsid w:val="00E76B11"/>
    <w:rsid w:val="00E76B47"/>
    <w:rsid w:val="00E76BE6"/>
    <w:rsid w:val="00E76C6C"/>
    <w:rsid w:val="00E76F30"/>
    <w:rsid w:val="00E770DF"/>
    <w:rsid w:val="00E77692"/>
    <w:rsid w:val="00E776E7"/>
    <w:rsid w:val="00E77798"/>
    <w:rsid w:val="00E77DB9"/>
    <w:rsid w:val="00E8014E"/>
    <w:rsid w:val="00E80939"/>
    <w:rsid w:val="00E80987"/>
    <w:rsid w:val="00E809E9"/>
    <w:rsid w:val="00E80EC4"/>
    <w:rsid w:val="00E80ED3"/>
    <w:rsid w:val="00E81127"/>
    <w:rsid w:val="00E811E7"/>
    <w:rsid w:val="00E81386"/>
    <w:rsid w:val="00E814FB"/>
    <w:rsid w:val="00E81911"/>
    <w:rsid w:val="00E81B32"/>
    <w:rsid w:val="00E81BC7"/>
    <w:rsid w:val="00E81FC9"/>
    <w:rsid w:val="00E82364"/>
    <w:rsid w:val="00E82520"/>
    <w:rsid w:val="00E825A6"/>
    <w:rsid w:val="00E82FCC"/>
    <w:rsid w:val="00E8322F"/>
    <w:rsid w:val="00E832C8"/>
    <w:rsid w:val="00E832FB"/>
    <w:rsid w:val="00E8384F"/>
    <w:rsid w:val="00E84759"/>
    <w:rsid w:val="00E848A9"/>
    <w:rsid w:val="00E849B4"/>
    <w:rsid w:val="00E85014"/>
    <w:rsid w:val="00E8538E"/>
    <w:rsid w:val="00E85462"/>
    <w:rsid w:val="00E856D6"/>
    <w:rsid w:val="00E8575F"/>
    <w:rsid w:val="00E86021"/>
    <w:rsid w:val="00E861AB"/>
    <w:rsid w:val="00E864C0"/>
    <w:rsid w:val="00E86CE4"/>
    <w:rsid w:val="00E86F77"/>
    <w:rsid w:val="00E87041"/>
    <w:rsid w:val="00E8715D"/>
    <w:rsid w:val="00E879C8"/>
    <w:rsid w:val="00E87A1B"/>
    <w:rsid w:val="00E87DA6"/>
    <w:rsid w:val="00E87DCE"/>
    <w:rsid w:val="00E9064E"/>
    <w:rsid w:val="00E90824"/>
    <w:rsid w:val="00E90826"/>
    <w:rsid w:val="00E90BB4"/>
    <w:rsid w:val="00E90DBA"/>
    <w:rsid w:val="00E912DC"/>
    <w:rsid w:val="00E915E4"/>
    <w:rsid w:val="00E92160"/>
    <w:rsid w:val="00E92429"/>
    <w:rsid w:val="00E92AEF"/>
    <w:rsid w:val="00E93630"/>
    <w:rsid w:val="00E937A4"/>
    <w:rsid w:val="00E93D46"/>
    <w:rsid w:val="00E940CD"/>
    <w:rsid w:val="00E9422A"/>
    <w:rsid w:val="00E94518"/>
    <w:rsid w:val="00E948E4"/>
    <w:rsid w:val="00E94D8E"/>
    <w:rsid w:val="00E94EB2"/>
    <w:rsid w:val="00E951F5"/>
    <w:rsid w:val="00E9544F"/>
    <w:rsid w:val="00E95AC6"/>
    <w:rsid w:val="00E95F35"/>
    <w:rsid w:val="00E96411"/>
    <w:rsid w:val="00E9659B"/>
    <w:rsid w:val="00E9664C"/>
    <w:rsid w:val="00E96826"/>
    <w:rsid w:val="00E96969"/>
    <w:rsid w:val="00E96A73"/>
    <w:rsid w:val="00E96EA5"/>
    <w:rsid w:val="00E96EF9"/>
    <w:rsid w:val="00E974DC"/>
    <w:rsid w:val="00E97EAF"/>
    <w:rsid w:val="00EA023E"/>
    <w:rsid w:val="00EA08F9"/>
    <w:rsid w:val="00EA0945"/>
    <w:rsid w:val="00EA0D79"/>
    <w:rsid w:val="00EA0E5D"/>
    <w:rsid w:val="00EA0E84"/>
    <w:rsid w:val="00EA12FC"/>
    <w:rsid w:val="00EA14E6"/>
    <w:rsid w:val="00EA1676"/>
    <w:rsid w:val="00EA17BF"/>
    <w:rsid w:val="00EA1EC4"/>
    <w:rsid w:val="00EA1F90"/>
    <w:rsid w:val="00EA1FD0"/>
    <w:rsid w:val="00EA275F"/>
    <w:rsid w:val="00EA2CE9"/>
    <w:rsid w:val="00EA2D77"/>
    <w:rsid w:val="00EA2DC8"/>
    <w:rsid w:val="00EA2FAD"/>
    <w:rsid w:val="00EA3C77"/>
    <w:rsid w:val="00EA40C0"/>
    <w:rsid w:val="00EA41D3"/>
    <w:rsid w:val="00EA438D"/>
    <w:rsid w:val="00EA4611"/>
    <w:rsid w:val="00EA470C"/>
    <w:rsid w:val="00EA5413"/>
    <w:rsid w:val="00EA54DB"/>
    <w:rsid w:val="00EA54DF"/>
    <w:rsid w:val="00EA562D"/>
    <w:rsid w:val="00EA5B5E"/>
    <w:rsid w:val="00EA610F"/>
    <w:rsid w:val="00EA7E12"/>
    <w:rsid w:val="00EB021E"/>
    <w:rsid w:val="00EB0803"/>
    <w:rsid w:val="00EB0AD1"/>
    <w:rsid w:val="00EB0C21"/>
    <w:rsid w:val="00EB0FCE"/>
    <w:rsid w:val="00EB16A7"/>
    <w:rsid w:val="00EB18F3"/>
    <w:rsid w:val="00EB1A00"/>
    <w:rsid w:val="00EB1A58"/>
    <w:rsid w:val="00EB1EEB"/>
    <w:rsid w:val="00EB2279"/>
    <w:rsid w:val="00EB2369"/>
    <w:rsid w:val="00EB23A3"/>
    <w:rsid w:val="00EB2658"/>
    <w:rsid w:val="00EB2B7C"/>
    <w:rsid w:val="00EB329D"/>
    <w:rsid w:val="00EB35D5"/>
    <w:rsid w:val="00EB36F9"/>
    <w:rsid w:val="00EB3C85"/>
    <w:rsid w:val="00EB4013"/>
    <w:rsid w:val="00EB4109"/>
    <w:rsid w:val="00EB42B6"/>
    <w:rsid w:val="00EB43AD"/>
    <w:rsid w:val="00EB46B0"/>
    <w:rsid w:val="00EB4928"/>
    <w:rsid w:val="00EB4FD6"/>
    <w:rsid w:val="00EB5620"/>
    <w:rsid w:val="00EB5D24"/>
    <w:rsid w:val="00EB5F41"/>
    <w:rsid w:val="00EB6101"/>
    <w:rsid w:val="00EB680D"/>
    <w:rsid w:val="00EB68F2"/>
    <w:rsid w:val="00EB6D09"/>
    <w:rsid w:val="00EB6E54"/>
    <w:rsid w:val="00EB754E"/>
    <w:rsid w:val="00EB76A5"/>
    <w:rsid w:val="00EB7EA4"/>
    <w:rsid w:val="00EC00D7"/>
    <w:rsid w:val="00EC0342"/>
    <w:rsid w:val="00EC04AA"/>
    <w:rsid w:val="00EC073F"/>
    <w:rsid w:val="00EC0C2B"/>
    <w:rsid w:val="00EC0FF6"/>
    <w:rsid w:val="00EC148C"/>
    <w:rsid w:val="00EC17B1"/>
    <w:rsid w:val="00EC1A4F"/>
    <w:rsid w:val="00EC1DDF"/>
    <w:rsid w:val="00EC2123"/>
    <w:rsid w:val="00EC27D7"/>
    <w:rsid w:val="00EC2AD3"/>
    <w:rsid w:val="00EC30E4"/>
    <w:rsid w:val="00EC327E"/>
    <w:rsid w:val="00EC37AE"/>
    <w:rsid w:val="00EC3A76"/>
    <w:rsid w:val="00EC3B0A"/>
    <w:rsid w:val="00EC3B47"/>
    <w:rsid w:val="00EC4064"/>
    <w:rsid w:val="00EC4195"/>
    <w:rsid w:val="00EC4A38"/>
    <w:rsid w:val="00EC4D57"/>
    <w:rsid w:val="00EC52F5"/>
    <w:rsid w:val="00EC5823"/>
    <w:rsid w:val="00EC5FEA"/>
    <w:rsid w:val="00EC615E"/>
    <w:rsid w:val="00EC6683"/>
    <w:rsid w:val="00EC6DF9"/>
    <w:rsid w:val="00ED0198"/>
    <w:rsid w:val="00ED04F7"/>
    <w:rsid w:val="00ED05BB"/>
    <w:rsid w:val="00ED069D"/>
    <w:rsid w:val="00ED0927"/>
    <w:rsid w:val="00ED0991"/>
    <w:rsid w:val="00ED0C25"/>
    <w:rsid w:val="00ED0C41"/>
    <w:rsid w:val="00ED0DB4"/>
    <w:rsid w:val="00ED0EEF"/>
    <w:rsid w:val="00ED1384"/>
    <w:rsid w:val="00ED138F"/>
    <w:rsid w:val="00ED1403"/>
    <w:rsid w:val="00ED1667"/>
    <w:rsid w:val="00ED1A12"/>
    <w:rsid w:val="00ED1CD6"/>
    <w:rsid w:val="00ED1D48"/>
    <w:rsid w:val="00ED1E3B"/>
    <w:rsid w:val="00ED2565"/>
    <w:rsid w:val="00ED2C04"/>
    <w:rsid w:val="00ED2E23"/>
    <w:rsid w:val="00ED2E9F"/>
    <w:rsid w:val="00ED2F9E"/>
    <w:rsid w:val="00ED3248"/>
    <w:rsid w:val="00ED3E7B"/>
    <w:rsid w:val="00ED4482"/>
    <w:rsid w:val="00ED4791"/>
    <w:rsid w:val="00ED4C31"/>
    <w:rsid w:val="00ED4CC2"/>
    <w:rsid w:val="00ED4DE8"/>
    <w:rsid w:val="00ED4E9A"/>
    <w:rsid w:val="00ED4F92"/>
    <w:rsid w:val="00ED540C"/>
    <w:rsid w:val="00ED55ED"/>
    <w:rsid w:val="00ED5A20"/>
    <w:rsid w:val="00ED5AAF"/>
    <w:rsid w:val="00ED5B3A"/>
    <w:rsid w:val="00ED65D9"/>
    <w:rsid w:val="00ED7475"/>
    <w:rsid w:val="00ED784C"/>
    <w:rsid w:val="00ED7CB4"/>
    <w:rsid w:val="00EE07FC"/>
    <w:rsid w:val="00EE0A65"/>
    <w:rsid w:val="00EE0D72"/>
    <w:rsid w:val="00EE0DE4"/>
    <w:rsid w:val="00EE1199"/>
    <w:rsid w:val="00EE11D0"/>
    <w:rsid w:val="00EE1305"/>
    <w:rsid w:val="00EE1405"/>
    <w:rsid w:val="00EE158B"/>
    <w:rsid w:val="00EE1CFF"/>
    <w:rsid w:val="00EE2079"/>
    <w:rsid w:val="00EE22CC"/>
    <w:rsid w:val="00EE2698"/>
    <w:rsid w:val="00EE2863"/>
    <w:rsid w:val="00EE289A"/>
    <w:rsid w:val="00EE289D"/>
    <w:rsid w:val="00EE2D99"/>
    <w:rsid w:val="00EE2D9B"/>
    <w:rsid w:val="00EE2DC1"/>
    <w:rsid w:val="00EE396E"/>
    <w:rsid w:val="00EE4F53"/>
    <w:rsid w:val="00EE5AF7"/>
    <w:rsid w:val="00EE6380"/>
    <w:rsid w:val="00EE6F25"/>
    <w:rsid w:val="00EE7E2B"/>
    <w:rsid w:val="00EF0055"/>
    <w:rsid w:val="00EF0264"/>
    <w:rsid w:val="00EF0800"/>
    <w:rsid w:val="00EF0E62"/>
    <w:rsid w:val="00EF15DB"/>
    <w:rsid w:val="00EF16BF"/>
    <w:rsid w:val="00EF1940"/>
    <w:rsid w:val="00EF1A92"/>
    <w:rsid w:val="00EF1AC5"/>
    <w:rsid w:val="00EF1DF4"/>
    <w:rsid w:val="00EF230F"/>
    <w:rsid w:val="00EF28F4"/>
    <w:rsid w:val="00EF2B85"/>
    <w:rsid w:val="00EF2F52"/>
    <w:rsid w:val="00EF2F91"/>
    <w:rsid w:val="00EF30A8"/>
    <w:rsid w:val="00EF30BB"/>
    <w:rsid w:val="00EF313C"/>
    <w:rsid w:val="00EF32C8"/>
    <w:rsid w:val="00EF32DA"/>
    <w:rsid w:val="00EF3327"/>
    <w:rsid w:val="00EF33B0"/>
    <w:rsid w:val="00EF33F5"/>
    <w:rsid w:val="00EF3467"/>
    <w:rsid w:val="00EF3570"/>
    <w:rsid w:val="00EF3A3F"/>
    <w:rsid w:val="00EF3E98"/>
    <w:rsid w:val="00EF442F"/>
    <w:rsid w:val="00EF4681"/>
    <w:rsid w:val="00EF47FC"/>
    <w:rsid w:val="00EF4A34"/>
    <w:rsid w:val="00EF4CD8"/>
    <w:rsid w:val="00EF4D11"/>
    <w:rsid w:val="00EF51CB"/>
    <w:rsid w:val="00EF5369"/>
    <w:rsid w:val="00EF5674"/>
    <w:rsid w:val="00EF5816"/>
    <w:rsid w:val="00EF5915"/>
    <w:rsid w:val="00EF67D9"/>
    <w:rsid w:val="00EF6909"/>
    <w:rsid w:val="00EF6F12"/>
    <w:rsid w:val="00EF6F45"/>
    <w:rsid w:val="00EF7B73"/>
    <w:rsid w:val="00EF7FFC"/>
    <w:rsid w:val="00F00399"/>
    <w:rsid w:val="00F00D89"/>
    <w:rsid w:val="00F00FF0"/>
    <w:rsid w:val="00F014D2"/>
    <w:rsid w:val="00F01CE0"/>
    <w:rsid w:val="00F02726"/>
    <w:rsid w:val="00F0294D"/>
    <w:rsid w:val="00F02ABC"/>
    <w:rsid w:val="00F02BBB"/>
    <w:rsid w:val="00F0307E"/>
    <w:rsid w:val="00F033D3"/>
    <w:rsid w:val="00F04624"/>
    <w:rsid w:val="00F046B6"/>
    <w:rsid w:val="00F04CF9"/>
    <w:rsid w:val="00F04F73"/>
    <w:rsid w:val="00F05255"/>
    <w:rsid w:val="00F053FD"/>
    <w:rsid w:val="00F056CB"/>
    <w:rsid w:val="00F057F1"/>
    <w:rsid w:val="00F05FDB"/>
    <w:rsid w:val="00F06789"/>
    <w:rsid w:val="00F067C1"/>
    <w:rsid w:val="00F068FF"/>
    <w:rsid w:val="00F06992"/>
    <w:rsid w:val="00F06BC0"/>
    <w:rsid w:val="00F06EB8"/>
    <w:rsid w:val="00F078AF"/>
    <w:rsid w:val="00F07F5B"/>
    <w:rsid w:val="00F102CC"/>
    <w:rsid w:val="00F103A6"/>
    <w:rsid w:val="00F1046D"/>
    <w:rsid w:val="00F1050C"/>
    <w:rsid w:val="00F106AA"/>
    <w:rsid w:val="00F108B9"/>
    <w:rsid w:val="00F10903"/>
    <w:rsid w:val="00F10EE8"/>
    <w:rsid w:val="00F1122D"/>
    <w:rsid w:val="00F11262"/>
    <w:rsid w:val="00F11678"/>
    <w:rsid w:val="00F11FB3"/>
    <w:rsid w:val="00F12349"/>
    <w:rsid w:val="00F123C1"/>
    <w:rsid w:val="00F128BA"/>
    <w:rsid w:val="00F129FC"/>
    <w:rsid w:val="00F12B99"/>
    <w:rsid w:val="00F12F92"/>
    <w:rsid w:val="00F1344B"/>
    <w:rsid w:val="00F13863"/>
    <w:rsid w:val="00F1399A"/>
    <w:rsid w:val="00F139EC"/>
    <w:rsid w:val="00F140A5"/>
    <w:rsid w:val="00F14166"/>
    <w:rsid w:val="00F141EC"/>
    <w:rsid w:val="00F145E5"/>
    <w:rsid w:val="00F145F2"/>
    <w:rsid w:val="00F15824"/>
    <w:rsid w:val="00F15B20"/>
    <w:rsid w:val="00F15DBD"/>
    <w:rsid w:val="00F15EF1"/>
    <w:rsid w:val="00F15F67"/>
    <w:rsid w:val="00F16C53"/>
    <w:rsid w:val="00F16EF0"/>
    <w:rsid w:val="00F176E8"/>
    <w:rsid w:val="00F2063E"/>
    <w:rsid w:val="00F2088A"/>
    <w:rsid w:val="00F20D70"/>
    <w:rsid w:val="00F20FD3"/>
    <w:rsid w:val="00F21037"/>
    <w:rsid w:val="00F21314"/>
    <w:rsid w:val="00F2179E"/>
    <w:rsid w:val="00F21878"/>
    <w:rsid w:val="00F219A3"/>
    <w:rsid w:val="00F21B18"/>
    <w:rsid w:val="00F21ECD"/>
    <w:rsid w:val="00F22575"/>
    <w:rsid w:val="00F228DE"/>
    <w:rsid w:val="00F22A7C"/>
    <w:rsid w:val="00F23A04"/>
    <w:rsid w:val="00F23E6B"/>
    <w:rsid w:val="00F2498A"/>
    <w:rsid w:val="00F24A16"/>
    <w:rsid w:val="00F24BFC"/>
    <w:rsid w:val="00F24C39"/>
    <w:rsid w:val="00F24C5E"/>
    <w:rsid w:val="00F24EAA"/>
    <w:rsid w:val="00F256B5"/>
    <w:rsid w:val="00F257A4"/>
    <w:rsid w:val="00F25836"/>
    <w:rsid w:val="00F25F2E"/>
    <w:rsid w:val="00F25FDC"/>
    <w:rsid w:val="00F264D4"/>
    <w:rsid w:val="00F27870"/>
    <w:rsid w:val="00F305D6"/>
    <w:rsid w:val="00F30667"/>
    <w:rsid w:val="00F3081E"/>
    <w:rsid w:val="00F3087F"/>
    <w:rsid w:val="00F31313"/>
    <w:rsid w:val="00F31558"/>
    <w:rsid w:val="00F31EC8"/>
    <w:rsid w:val="00F32322"/>
    <w:rsid w:val="00F32586"/>
    <w:rsid w:val="00F32740"/>
    <w:rsid w:val="00F32B44"/>
    <w:rsid w:val="00F32C3A"/>
    <w:rsid w:val="00F32D07"/>
    <w:rsid w:val="00F32D3A"/>
    <w:rsid w:val="00F331B3"/>
    <w:rsid w:val="00F33531"/>
    <w:rsid w:val="00F33AEA"/>
    <w:rsid w:val="00F33B6B"/>
    <w:rsid w:val="00F33CDA"/>
    <w:rsid w:val="00F341DD"/>
    <w:rsid w:val="00F3423B"/>
    <w:rsid w:val="00F34555"/>
    <w:rsid w:val="00F34763"/>
    <w:rsid w:val="00F34AC5"/>
    <w:rsid w:val="00F34ECF"/>
    <w:rsid w:val="00F3515F"/>
    <w:rsid w:val="00F355D4"/>
    <w:rsid w:val="00F3596A"/>
    <w:rsid w:val="00F35B29"/>
    <w:rsid w:val="00F35CB4"/>
    <w:rsid w:val="00F35F40"/>
    <w:rsid w:val="00F362B6"/>
    <w:rsid w:val="00F36487"/>
    <w:rsid w:val="00F368A0"/>
    <w:rsid w:val="00F36DFD"/>
    <w:rsid w:val="00F37252"/>
    <w:rsid w:val="00F37409"/>
    <w:rsid w:val="00F37B1A"/>
    <w:rsid w:val="00F37C60"/>
    <w:rsid w:val="00F37ECC"/>
    <w:rsid w:val="00F40C8C"/>
    <w:rsid w:val="00F40EEB"/>
    <w:rsid w:val="00F41070"/>
    <w:rsid w:val="00F41250"/>
    <w:rsid w:val="00F41446"/>
    <w:rsid w:val="00F4148E"/>
    <w:rsid w:val="00F41750"/>
    <w:rsid w:val="00F419CF"/>
    <w:rsid w:val="00F41EF7"/>
    <w:rsid w:val="00F42155"/>
    <w:rsid w:val="00F426F4"/>
    <w:rsid w:val="00F4281D"/>
    <w:rsid w:val="00F42B3B"/>
    <w:rsid w:val="00F42C39"/>
    <w:rsid w:val="00F42E75"/>
    <w:rsid w:val="00F436B6"/>
    <w:rsid w:val="00F436E8"/>
    <w:rsid w:val="00F43862"/>
    <w:rsid w:val="00F438BE"/>
    <w:rsid w:val="00F438FF"/>
    <w:rsid w:val="00F441AC"/>
    <w:rsid w:val="00F442CD"/>
    <w:rsid w:val="00F442E7"/>
    <w:rsid w:val="00F44870"/>
    <w:rsid w:val="00F451A9"/>
    <w:rsid w:val="00F4525E"/>
    <w:rsid w:val="00F4554C"/>
    <w:rsid w:val="00F4572A"/>
    <w:rsid w:val="00F45B1C"/>
    <w:rsid w:val="00F45C55"/>
    <w:rsid w:val="00F45E80"/>
    <w:rsid w:val="00F460FB"/>
    <w:rsid w:val="00F4651C"/>
    <w:rsid w:val="00F46AB9"/>
    <w:rsid w:val="00F46CD4"/>
    <w:rsid w:val="00F47264"/>
    <w:rsid w:val="00F47311"/>
    <w:rsid w:val="00F474FB"/>
    <w:rsid w:val="00F47505"/>
    <w:rsid w:val="00F50239"/>
    <w:rsid w:val="00F505F4"/>
    <w:rsid w:val="00F517E9"/>
    <w:rsid w:val="00F51A88"/>
    <w:rsid w:val="00F51A8B"/>
    <w:rsid w:val="00F5227A"/>
    <w:rsid w:val="00F5276D"/>
    <w:rsid w:val="00F528A2"/>
    <w:rsid w:val="00F52AC5"/>
    <w:rsid w:val="00F52BF4"/>
    <w:rsid w:val="00F53068"/>
    <w:rsid w:val="00F53095"/>
    <w:rsid w:val="00F53268"/>
    <w:rsid w:val="00F533F4"/>
    <w:rsid w:val="00F53448"/>
    <w:rsid w:val="00F5355B"/>
    <w:rsid w:val="00F53A8F"/>
    <w:rsid w:val="00F53E9E"/>
    <w:rsid w:val="00F53F96"/>
    <w:rsid w:val="00F541B6"/>
    <w:rsid w:val="00F54211"/>
    <w:rsid w:val="00F5460D"/>
    <w:rsid w:val="00F54711"/>
    <w:rsid w:val="00F54C00"/>
    <w:rsid w:val="00F54DC7"/>
    <w:rsid w:val="00F54F24"/>
    <w:rsid w:val="00F55148"/>
    <w:rsid w:val="00F553BE"/>
    <w:rsid w:val="00F562D6"/>
    <w:rsid w:val="00F56BD1"/>
    <w:rsid w:val="00F57479"/>
    <w:rsid w:val="00F57683"/>
    <w:rsid w:val="00F576C7"/>
    <w:rsid w:val="00F579A6"/>
    <w:rsid w:val="00F57AF5"/>
    <w:rsid w:val="00F60362"/>
    <w:rsid w:val="00F60373"/>
    <w:rsid w:val="00F603A1"/>
    <w:rsid w:val="00F60C06"/>
    <w:rsid w:val="00F61473"/>
    <w:rsid w:val="00F61812"/>
    <w:rsid w:val="00F61C06"/>
    <w:rsid w:val="00F61E32"/>
    <w:rsid w:val="00F62329"/>
    <w:rsid w:val="00F62CAC"/>
    <w:rsid w:val="00F62DE9"/>
    <w:rsid w:val="00F62EB9"/>
    <w:rsid w:val="00F62F53"/>
    <w:rsid w:val="00F635D2"/>
    <w:rsid w:val="00F63668"/>
    <w:rsid w:val="00F63881"/>
    <w:rsid w:val="00F6397A"/>
    <w:rsid w:val="00F639EF"/>
    <w:rsid w:val="00F63C01"/>
    <w:rsid w:val="00F63E72"/>
    <w:rsid w:val="00F63F5B"/>
    <w:rsid w:val="00F6413E"/>
    <w:rsid w:val="00F64669"/>
    <w:rsid w:val="00F646BF"/>
    <w:rsid w:val="00F64CEB"/>
    <w:rsid w:val="00F6556F"/>
    <w:rsid w:val="00F6569D"/>
    <w:rsid w:val="00F65D39"/>
    <w:rsid w:val="00F65F4C"/>
    <w:rsid w:val="00F66528"/>
    <w:rsid w:val="00F667A7"/>
    <w:rsid w:val="00F67171"/>
    <w:rsid w:val="00F67A35"/>
    <w:rsid w:val="00F67D64"/>
    <w:rsid w:val="00F67FEE"/>
    <w:rsid w:val="00F709D1"/>
    <w:rsid w:val="00F70F13"/>
    <w:rsid w:val="00F710E8"/>
    <w:rsid w:val="00F712D4"/>
    <w:rsid w:val="00F71A50"/>
    <w:rsid w:val="00F71B7F"/>
    <w:rsid w:val="00F72640"/>
    <w:rsid w:val="00F73AFB"/>
    <w:rsid w:val="00F73E47"/>
    <w:rsid w:val="00F73FF9"/>
    <w:rsid w:val="00F740C5"/>
    <w:rsid w:val="00F74788"/>
    <w:rsid w:val="00F747F6"/>
    <w:rsid w:val="00F74ACB"/>
    <w:rsid w:val="00F75049"/>
    <w:rsid w:val="00F75069"/>
    <w:rsid w:val="00F75891"/>
    <w:rsid w:val="00F75C3C"/>
    <w:rsid w:val="00F76998"/>
    <w:rsid w:val="00F76A89"/>
    <w:rsid w:val="00F76CAC"/>
    <w:rsid w:val="00F771B7"/>
    <w:rsid w:val="00F772F0"/>
    <w:rsid w:val="00F77304"/>
    <w:rsid w:val="00F77608"/>
    <w:rsid w:val="00F7766E"/>
    <w:rsid w:val="00F77C69"/>
    <w:rsid w:val="00F81C28"/>
    <w:rsid w:val="00F81CF2"/>
    <w:rsid w:val="00F81EED"/>
    <w:rsid w:val="00F82121"/>
    <w:rsid w:val="00F821FE"/>
    <w:rsid w:val="00F8297A"/>
    <w:rsid w:val="00F82981"/>
    <w:rsid w:val="00F82F3C"/>
    <w:rsid w:val="00F83025"/>
    <w:rsid w:val="00F830F7"/>
    <w:rsid w:val="00F834C6"/>
    <w:rsid w:val="00F838EC"/>
    <w:rsid w:val="00F83961"/>
    <w:rsid w:val="00F83D07"/>
    <w:rsid w:val="00F840B8"/>
    <w:rsid w:val="00F8416F"/>
    <w:rsid w:val="00F8419B"/>
    <w:rsid w:val="00F8423D"/>
    <w:rsid w:val="00F84320"/>
    <w:rsid w:val="00F84B82"/>
    <w:rsid w:val="00F84DFF"/>
    <w:rsid w:val="00F84F1F"/>
    <w:rsid w:val="00F852B2"/>
    <w:rsid w:val="00F857D4"/>
    <w:rsid w:val="00F85C2E"/>
    <w:rsid w:val="00F85EC3"/>
    <w:rsid w:val="00F85F79"/>
    <w:rsid w:val="00F864EB"/>
    <w:rsid w:val="00F86683"/>
    <w:rsid w:val="00F868BC"/>
    <w:rsid w:val="00F86932"/>
    <w:rsid w:val="00F86BEE"/>
    <w:rsid w:val="00F86ED6"/>
    <w:rsid w:val="00F86EEC"/>
    <w:rsid w:val="00F86F3C"/>
    <w:rsid w:val="00F87067"/>
    <w:rsid w:val="00F87BBE"/>
    <w:rsid w:val="00F87F74"/>
    <w:rsid w:val="00F9007C"/>
    <w:rsid w:val="00F90110"/>
    <w:rsid w:val="00F902F0"/>
    <w:rsid w:val="00F90493"/>
    <w:rsid w:val="00F90619"/>
    <w:rsid w:val="00F9078B"/>
    <w:rsid w:val="00F90981"/>
    <w:rsid w:val="00F90C6E"/>
    <w:rsid w:val="00F90FB0"/>
    <w:rsid w:val="00F91866"/>
    <w:rsid w:val="00F91F5A"/>
    <w:rsid w:val="00F91F7B"/>
    <w:rsid w:val="00F91FC2"/>
    <w:rsid w:val="00F9215A"/>
    <w:rsid w:val="00F923B8"/>
    <w:rsid w:val="00F92774"/>
    <w:rsid w:val="00F929AE"/>
    <w:rsid w:val="00F92A2B"/>
    <w:rsid w:val="00F92F39"/>
    <w:rsid w:val="00F93189"/>
    <w:rsid w:val="00F93282"/>
    <w:rsid w:val="00F936CA"/>
    <w:rsid w:val="00F938C5"/>
    <w:rsid w:val="00F9413F"/>
    <w:rsid w:val="00F94920"/>
    <w:rsid w:val="00F953C8"/>
    <w:rsid w:val="00F9556A"/>
    <w:rsid w:val="00F95A29"/>
    <w:rsid w:val="00F95C50"/>
    <w:rsid w:val="00F96548"/>
    <w:rsid w:val="00F96966"/>
    <w:rsid w:val="00F969B1"/>
    <w:rsid w:val="00F9718D"/>
    <w:rsid w:val="00F971E1"/>
    <w:rsid w:val="00F972F1"/>
    <w:rsid w:val="00F973C3"/>
    <w:rsid w:val="00F97595"/>
    <w:rsid w:val="00F97A8C"/>
    <w:rsid w:val="00F97CDB"/>
    <w:rsid w:val="00FA00DE"/>
    <w:rsid w:val="00FA07A7"/>
    <w:rsid w:val="00FA0AAB"/>
    <w:rsid w:val="00FA1213"/>
    <w:rsid w:val="00FA1653"/>
    <w:rsid w:val="00FA1C80"/>
    <w:rsid w:val="00FA1F82"/>
    <w:rsid w:val="00FA2167"/>
    <w:rsid w:val="00FA2611"/>
    <w:rsid w:val="00FA29ED"/>
    <w:rsid w:val="00FA2C8A"/>
    <w:rsid w:val="00FA3CB6"/>
    <w:rsid w:val="00FA4541"/>
    <w:rsid w:val="00FA4D8A"/>
    <w:rsid w:val="00FA516C"/>
    <w:rsid w:val="00FA54C2"/>
    <w:rsid w:val="00FA54D6"/>
    <w:rsid w:val="00FA54F4"/>
    <w:rsid w:val="00FA5CC7"/>
    <w:rsid w:val="00FA631C"/>
    <w:rsid w:val="00FA6CA6"/>
    <w:rsid w:val="00FA7164"/>
    <w:rsid w:val="00FA7689"/>
    <w:rsid w:val="00FA7CBD"/>
    <w:rsid w:val="00FB0067"/>
    <w:rsid w:val="00FB0433"/>
    <w:rsid w:val="00FB0440"/>
    <w:rsid w:val="00FB0668"/>
    <w:rsid w:val="00FB0721"/>
    <w:rsid w:val="00FB07EA"/>
    <w:rsid w:val="00FB0ABA"/>
    <w:rsid w:val="00FB0ADE"/>
    <w:rsid w:val="00FB0BDA"/>
    <w:rsid w:val="00FB0EF5"/>
    <w:rsid w:val="00FB1788"/>
    <w:rsid w:val="00FB1B59"/>
    <w:rsid w:val="00FB1EAC"/>
    <w:rsid w:val="00FB22B6"/>
    <w:rsid w:val="00FB2883"/>
    <w:rsid w:val="00FB2BBF"/>
    <w:rsid w:val="00FB2DFF"/>
    <w:rsid w:val="00FB2F84"/>
    <w:rsid w:val="00FB30C6"/>
    <w:rsid w:val="00FB35DC"/>
    <w:rsid w:val="00FB36BB"/>
    <w:rsid w:val="00FB49D7"/>
    <w:rsid w:val="00FB4AE7"/>
    <w:rsid w:val="00FB4EDA"/>
    <w:rsid w:val="00FB56A6"/>
    <w:rsid w:val="00FB56CF"/>
    <w:rsid w:val="00FB598D"/>
    <w:rsid w:val="00FB65C8"/>
    <w:rsid w:val="00FB6617"/>
    <w:rsid w:val="00FB66C4"/>
    <w:rsid w:val="00FB6773"/>
    <w:rsid w:val="00FB69AD"/>
    <w:rsid w:val="00FB6CA4"/>
    <w:rsid w:val="00FB6EAB"/>
    <w:rsid w:val="00FB6F65"/>
    <w:rsid w:val="00FB7556"/>
    <w:rsid w:val="00FB78C5"/>
    <w:rsid w:val="00FB7B7B"/>
    <w:rsid w:val="00FB7BDC"/>
    <w:rsid w:val="00FB7C4C"/>
    <w:rsid w:val="00FC02DA"/>
    <w:rsid w:val="00FC1582"/>
    <w:rsid w:val="00FC15FA"/>
    <w:rsid w:val="00FC1B09"/>
    <w:rsid w:val="00FC1C8A"/>
    <w:rsid w:val="00FC2220"/>
    <w:rsid w:val="00FC2677"/>
    <w:rsid w:val="00FC291D"/>
    <w:rsid w:val="00FC29E7"/>
    <w:rsid w:val="00FC2C99"/>
    <w:rsid w:val="00FC39CE"/>
    <w:rsid w:val="00FC3E51"/>
    <w:rsid w:val="00FC4252"/>
    <w:rsid w:val="00FC46BC"/>
    <w:rsid w:val="00FC47EC"/>
    <w:rsid w:val="00FC51DE"/>
    <w:rsid w:val="00FC5481"/>
    <w:rsid w:val="00FC55C0"/>
    <w:rsid w:val="00FC569C"/>
    <w:rsid w:val="00FC5743"/>
    <w:rsid w:val="00FC5D98"/>
    <w:rsid w:val="00FC5F76"/>
    <w:rsid w:val="00FC638C"/>
    <w:rsid w:val="00FC6A59"/>
    <w:rsid w:val="00FC6E08"/>
    <w:rsid w:val="00FC7108"/>
    <w:rsid w:val="00FC7142"/>
    <w:rsid w:val="00FC76E9"/>
    <w:rsid w:val="00FC7739"/>
    <w:rsid w:val="00FC7A88"/>
    <w:rsid w:val="00FC7AC6"/>
    <w:rsid w:val="00FC7B6E"/>
    <w:rsid w:val="00FC7EB0"/>
    <w:rsid w:val="00FD06D6"/>
    <w:rsid w:val="00FD08A0"/>
    <w:rsid w:val="00FD0B57"/>
    <w:rsid w:val="00FD0C62"/>
    <w:rsid w:val="00FD1D07"/>
    <w:rsid w:val="00FD2100"/>
    <w:rsid w:val="00FD3540"/>
    <w:rsid w:val="00FD3665"/>
    <w:rsid w:val="00FD3AC1"/>
    <w:rsid w:val="00FD3D33"/>
    <w:rsid w:val="00FD44C7"/>
    <w:rsid w:val="00FD4A9F"/>
    <w:rsid w:val="00FD4B18"/>
    <w:rsid w:val="00FD4DBD"/>
    <w:rsid w:val="00FD4FB9"/>
    <w:rsid w:val="00FD53B0"/>
    <w:rsid w:val="00FD578B"/>
    <w:rsid w:val="00FD5B55"/>
    <w:rsid w:val="00FD5E4D"/>
    <w:rsid w:val="00FD5FF5"/>
    <w:rsid w:val="00FD60FC"/>
    <w:rsid w:val="00FD6172"/>
    <w:rsid w:val="00FD64D9"/>
    <w:rsid w:val="00FD6A48"/>
    <w:rsid w:val="00FD6BFF"/>
    <w:rsid w:val="00FD6E7A"/>
    <w:rsid w:val="00FD7025"/>
    <w:rsid w:val="00FD70B0"/>
    <w:rsid w:val="00FD7B2F"/>
    <w:rsid w:val="00FE0259"/>
    <w:rsid w:val="00FE0478"/>
    <w:rsid w:val="00FE059B"/>
    <w:rsid w:val="00FE0937"/>
    <w:rsid w:val="00FE0F4B"/>
    <w:rsid w:val="00FE1560"/>
    <w:rsid w:val="00FE2069"/>
    <w:rsid w:val="00FE3134"/>
    <w:rsid w:val="00FE380C"/>
    <w:rsid w:val="00FE405E"/>
    <w:rsid w:val="00FE4166"/>
    <w:rsid w:val="00FE47CD"/>
    <w:rsid w:val="00FE4850"/>
    <w:rsid w:val="00FE4AC6"/>
    <w:rsid w:val="00FE4D5B"/>
    <w:rsid w:val="00FE4F2D"/>
    <w:rsid w:val="00FE4F3C"/>
    <w:rsid w:val="00FE4F80"/>
    <w:rsid w:val="00FE54EA"/>
    <w:rsid w:val="00FE5600"/>
    <w:rsid w:val="00FE5E59"/>
    <w:rsid w:val="00FE61D1"/>
    <w:rsid w:val="00FE6266"/>
    <w:rsid w:val="00FE62BB"/>
    <w:rsid w:val="00FE63A4"/>
    <w:rsid w:val="00FE68A8"/>
    <w:rsid w:val="00FE6924"/>
    <w:rsid w:val="00FE69FD"/>
    <w:rsid w:val="00FE6B33"/>
    <w:rsid w:val="00FE6C20"/>
    <w:rsid w:val="00FE6C6E"/>
    <w:rsid w:val="00FE7385"/>
    <w:rsid w:val="00FE75AA"/>
    <w:rsid w:val="00FE7C2A"/>
    <w:rsid w:val="00FF0088"/>
    <w:rsid w:val="00FF01E0"/>
    <w:rsid w:val="00FF05FC"/>
    <w:rsid w:val="00FF0F69"/>
    <w:rsid w:val="00FF11F1"/>
    <w:rsid w:val="00FF1733"/>
    <w:rsid w:val="00FF1928"/>
    <w:rsid w:val="00FF1AB2"/>
    <w:rsid w:val="00FF1D30"/>
    <w:rsid w:val="00FF2167"/>
    <w:rsid w:val="00FF256C"/>
    <w:rsid w:val="00FF27ED"/>
    <w:rsid w:val="00FF2986"/>
    <w:rsid w:val="00FF2A4D"/>
    <w:rsid w:val="00FF3428"/>
    <w:rsid w:val="00FF369B"/>
    <w:rsid w:val="00FF36B3"/>
    <w:rsid w:val="00FF3B21"/>
    <w:rsid w:val="00FF3FD8"/>
    <w:rsid w:val="00FF4063"/>
    <w:rsid w:val="00FF4135"/>
    <w:rsid w:val="00FF43DF"/>
    <w:rsid w:val="00FF483F"/>
    <w:rsid w:val="00FF4C92"/>
    <w:rsid w:val="00FF4E35"/>
    <w:rsid w:val="00FF4F18"/>
    <w:rsid w:val="00FF53C9"/>
    <w:rsid w:val="00FF63E4"/>
    <w:rsid w:val="00FF663C"/>
    <w:rsid w:val="00FF66BD"/>
    <w:rsid w:val="00FF6F1A"/>
    <w:rsid w:val="011C74B2"/>
    <w:rsid w:val="027B639D"/>
    <w:rsid w:val="029568E7"/>
    <w:rsid w:val="035003D6"/>
    <w:rsid w:val="04422E6B"/>
    <w:rsid w:val="04EF18DF"/>
    <w:rsid w:val="0519262A"/>
    <w:rsid w:val="05E059EC"/>
    <w:rsid w:val="05E656E9"/>
    <w:rsid w:val="091B7041"/>
    <w:rsid w:val="09C21D61"/>
    <w:rsid w:val="0AC879AB"/>
    <w:rsid w:val="0B451036"/>
    <w:rsid w:val="0DC55FC0"/>
    <w:rsid w:val="10B97677"/>
    <w:rsid w:val="11401CDB"/>
    <w:rsid w:val="143D5AF1"/>
    <w:rsid w:val="171F56EB"/>
    <w:rsid w:val="1819270C"/>
    <w:rsid w:val="190F5991"/>
    <w:rsid w:val="1A383CBF"/>
    <w:rsid w:val="1A7E151C"/>
    <w:rsid w:val="1CA563EF"/>
    <w:rsid w:val="1CB20CF1"/>
    <w:rsid w:val="1D6844D5"/>
    <w:rsid w:val="213A4B92"/>
    <w:rsid w:val="21886640"/>
    <w:rsid w:val="21BF72FA"/>
    <w:rsid w:val="23AA7EAF"/>
    <w:rsid w:val="26056817"/>
    <w:rsid w:val="27A16FF0"/>
    <w:rsid w:val="289A61FA"/>
    <w:rsid w:val="2AB36FA2"/>
    <w:rsid w:val="2D0F5CF4"/>
    <w:rsid w:val="2D383323"/>
    <w:rsid w:val="2E7154B5"/>
    <w:rsid w:val="2F19217E"/>
    <w:rsid w:val="2FA00EA9"/>
    <w:rsid w:val="325D0E38"/>
    <w:rsid w:val="32B73692"/>
    <w:rsid w:val="32BC7D33"/>
    <w:rsid w:val="33FC71AA"/>
    <w:rsid w:val="34251F31"/>
    <w:rsid w:val="34FB0C3B"/>
    <w:rsid w:val="356715F8"/>
    <w:rsid w:val="36346070"/>
    <w:rsid w:val="37E566EF"/>
    <w:rsid w:val="38C14966"/>
    <w:rsid w:val="391E546A"/>
    <w:rsid w:val="394C01BD"/>
    <w:rsid w:val="396E1AD1"/>
    <w:rsid w:val="398904C6"/>
    <w:rsid w:val="3B9B4A91"/>
    <w:rsid w:val="3BC44ED4"/>
    <w:rsid w:val="3D655001"/>
    <w:rsid w:val="3D914055"/>
    <w:rsid w:val="3E8F6E8B"/>
    <w:rsid w:val="3EE82BCD"/>
    <w:rsid w:val="3EF510CC"/>
    <w:rsid w:val="3FB22828"/>
    <w:rsid w:val="403A340E"/>
    <w:rsid w:val="40AD50FD"/>
    <w:rsid w:val="41B0762E"/>
    <w:rsid w:val="42223725"/>
    <w:rsid w:val="44A5003C"/>
    <w:rsid w:val="46121C35"/>
    <w:rsid w:val="46267C76"/>
    <w:rsid w:val="4689797D"/>
    <w:rsid w:val="46903F5E"/>
    <w:rsid w:val="482E7E64"/>
    <w:rsid w:val="48887CEC"/>
    <w:rsid w:val="4A8F4DC9"/>
    <w:rsid w:val="4C1B4FA3"/>
    <w:rsid w:val="4D8B54AE"/>
    <w:rsid w:val="4F380BAC"/>
    <w:rsid w:val="4F673E69"/>
    <w:rsid w:val="4FAD0894"/>
    <w:rsid w:val="507E7873"/>
    <w:rsid w:val="56182F10"/>
    <w:rsid w:val="569D1C00"/>
    <w:rsid w:val="57185AC9"/>
    <w:rsid w:val="57A44CA1"/>
    <w:rsid w:val="59A42311"/>
    <w:rsid w:val="5EDF7683"/>
    <w:rsid w:val="63D3661C"/>
    <w:rsid w:val="64F54970"/>
    <w:rsid w:val="65484E76"/>
    <w:rsid w:val="65BE72E4"/>
    <w:rsid w:val="65F65310"/>
    <w:rsid w:val="66060BF9"/>
    <w:rsid w:val="66061D39"/>
    <w:rsid w:val="66B137F8"/>
    <w:rsid w:val="679561C0"/>
    <w:rsid w:val="67F208BA"/>
    <w:rsid w:val="68E75BA5"/>
    <w:rsid w:val="68EE2307"/>
    <w:rsid w:val="692355DF"/>
    <w:rsid w:val="69F457FF"/>
    <w:rsid w:val="6A9519CB"/>
    <w:rsid w:val="6BAB1F11"/>
    <w:rsid w:val="6C3140AA"/>
    <w:rsid w:val="6E837CDE"/>
    <w:rsid w:val="70212176"/>
    <w:rsid w:val="70DD00F4"/>
    <w:rsid w:val="71FA7C7A"/>
    <w:rsid w:val="72E60CA8"/>
    <w:rsid w:val="72EE7CB6"/>
    <w:rsid w:val="733E001A"/>
    <w:rsid w:val="77184E78"/>
    <w:rsid w:val="77BE1D1A"/>
    <w:rsid w:val="78FE3883"/>
    <w:rsid w:val="7BB13288"/>
    <w:rsid w:val="7CC81F31"/>
    <w:rsid w:val="7D654DE4"/>
    <w:rsid w:val="7D9F0875"/>
    <w:rsid w:val="7F50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endarrow="block" endarrowwidth="narrow" endarrowlength="long"/>
    </o:shapedefaults>
    <o:shapelayout v:ext="edit">
      <o:idmap v:ext="edit" data="2,3,4,5,6,7,23"/>
      <o:rules v:ext="edit">
        <o:r id="V:Rule1" type="connector" idref="#_x0000_s7823"/>
        <o:r id="V:Rule2" type="connector" idref="#_x0000_s7824"/>
        <o:r id="V:Rule3" type="connector" idref="#_x0000_s7826"/>
        <o:r id="V:Rule4" type="connector" idref="#_x0000_s7827"/>
        <o:r id="V:Rule5" type="connector" idref="#AutoShape 2067"/>
        <o:r id="V:Rule6" type="connector" idref="#AutoShape 2068"/>
        <o:r id="V:Rule7" type="connector" idref="#AutoShape 2069"/>
        <o:r id="V:Rule8" type="connector" idref="#AutoShape 2070"/>
        <o:r id="V:Rule9" type="connector" idref="#AutoShape 2071"/>
        <o:r id="V:Rule10" type="connector" idref="#AutoShape 2068"/>
        <o:r id="V:Rule11" type="connector" idref="#_x0000_s7941"/>
        <o:r id="V:Rule12" type="connector" idref="#_x0000_s7944"/>
        <o:r id="V:Rule13" type="connector" idref="#_x0000_s7946"/>
        <o:r id="V:Rule14" type="connector" idref="#_x0000_s23666"/>
        <o:r id="V:Rule15" type="connector" idref="#_x0000_s23688"/>
        <o:r id="V:Rule16" type="connector" idref="#_x0000_s23689"/>
        <o:r id="V:Rule17" type="connector" idref="#_x0000_s23691"/>
        <o:r id="V:Rule18" type="connector" idref="#_x0000_s23692"/>
        <o:r id="V:Rule19" type="connector" idref="#_x0000_s23697"/>
        <o:r id="V:Rule20" type="connector" idref="#_x0000_s23698"/>
        <o:r id="V:Rule21" type="connector" idref="#_x0000_s23699"/>
        <o:r id="V:Rule22" type="connector" idref="#_x0000_s23700"/>
        <o:r id="V:Rule23" type="connector" idref="#_x0000_s23705"/>
        <o:r id="V:Rule24" type="connector" idref="#_x0000_s23706"/>
        <o:r id="V:Rule25" type="connector" idref="#_x0000_s23707"/>
        <o:r id="V:Rule26" type="connector" idref="#_x0000_s23708"/>
        <o:r id="V:Rule27" type="connector" idref="#_x0000_s23713"/>
        <o:r id="V:Rule28" type="connector" idref="#_x0000_s23714"/>
        <o:r id="V:Rule29" type="connector" idref="#_x0000_s23715"/>
        <o:r id="V:Rule30" type="connector" idref="#_x0000_s23716"/>
        <o:r id="V:Rule31" type="connector" idref="#_x0000_s23721"/>
        <o:r id="V:Rule32" type="connector" idref="#_x0000_s23722"/>
        <o:r id="V:Rule33" type="connector" idref="#AutoShape 2247"/>
        <o:r id="V:Rule34" type="connector" idref="#AutoShape 2248"/>
        <o:r id="V:Rule35" type="connector" idref="#AutoShape 2250"/>
        <o:r id="V:Rule36" type="connector" idref="#AutoShape 2255"/>
        <o:r id="V:Rule37" type="connector" idref="#_x0000_s23745"/>
        <o:r id="V:Rule38" type="connector" idref="#_x0000_s23747"/>
        <o:r id="V:Rule39" type="connector" idref="#_x0000_s23748"/>
        <o:r id="V:Rule40" type="connector" idref="#_x0000_s23753"/>
        <o:r id="V:Rule41" type="connector" idref="#_x0000_s23754"/>
        <o:r id="V:Rule42" type="connector" idref="#_x0000_s23755"/>
        <o:r id="V:Rule43" type="connector" idref="#_x0000_s23759"/>
        <o:r id="V:Rule44" type="connector" idref="#AutoShape 2255"/>
        <o:r id="V:Rule45" type="connector" idref="#_x0000_s23762"/>
        <o:r id="V:Rule46" type="connector" idref="#AutoShape 2255"/>
        <o:r id="V:Rule47" type="connector" idref="#AutoShape 2255"/>
        <o:r id="V:Rule48" type="connector" idref="#_x0000_s23777"/>
        <o:r id="V:Rule49" type="connector" idref="#AutoShape 2247"/>
        <o:r id="V:Rule50" type="connector" idref="#AutoShape 2248"/>
        <o:r id="V:Rule51" type="connector" idref="#AutoShape 2250"/>
        <o:r id="V:Rule52" type="connector" idref="#AutoShape 2255"/>
        <o:r id="V:Rule53" type="connector" idref="#_x0000_s23800"/>
        <o:r id="V:Rule54" type="connector" idref="#_x0000_s23802"/>
        <o:r id="V:Rule55" type="connector" idref="#_x0000_s23803"/>
        <o:r id="V:Rule56" type="connector" idref="#_x0000_s23808"/>
        <o:r id="V:Rule57" type="connector" idref="#_x0000_s23809"/>
        <o:r id="V:Rule58" type="connector" idref="#_x0000_s23810"/>
        <o:r id="V:Rule59" type="connector" idref="#AutoShape 2255"/>
        <o:r id="V:Rule60" type="connector" idref="#_x0000_s23814"/>
        <o:r id="V:Rule61" type="connector" idref="#AutoShape 2255"/>
        <o:r id="V:Rule62" type="connector" idref="#自选图形 1249"/>
        <o:r id="V:Rule63" type="connector" idref="#自选图形 1250"/>
        <o:r id="V:Rule64" type="connector" idref="#自选图形 1251"/>
        <o:r id="V:Rule65" type="connector" idref="#自选图形 1253"/>
        <o:r id="V:Rule66" type="connector" idref="#自选图形 1254"/>
        <o:r id="V:Rule67" type="connector" idref="#自选图形 1255"/>
        <o:r id="V:Rule68" type="connector" idref="#自选图形 1256"/>
        <o:r id="V:Rule69" type="connector" idref="#自选图形 1260"/>
        <o:r id="V:Rule70" type="connector" idref="#_x0000_s23846"/>
        <o:r id="V:Rule71" type="connector" idref="#_x0000_s23848"/>
        <o:r id="V:Rule72" type="connector" idref="#_x0000_s23851"/>
        <o:r id="V:Rule73" type="connector" idref="#_x0000_s23853"/>
        <o:r id="V:Rule74" type="connector" idref="#_x0000_s23855"/>
        <o:r id="V:Rule75" type="connector" idref="#_x0000_s23856"/>
        <o:r id="V:Rule76" type="connector" idref="#_x0000_s23860"/>
        <o:r id="V:Rule77" type="connector" idref="#_x0000_s23861"/>
        <o:r id="V:Rule78" type="connector" idref="#_x0000_s23865"/>
        <o:r id="V:Rule79" type="connector" idref="#_x0000_s23866"/>
        <o:r id="V:Rule80" type="connector" idref="#_x0000_s23867"/>
        <o:r id="V:Rule81" type="connector" idref="#_x0000_s23869"/>
        <o:r id="V:Rule82" type="connector" idref="#_x0000_s23870"/>
        <o:r id="V:Rule83" type="connector" idref="#_x0000_s23872"/>
        <o:r id="V:Rule84" type="connector" idref="#_x0000_s23873"/>
        <o:r id="V:Rule85" type="connector" idref="#_x0000_s2387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semiHidden="0" w:name="HTML Cite"/>
    <w:lsdException w:uiPriority="99" w:semiHidden="0" w:name="HTML Code"/>
    <w:lsdException w:qFormat="1" w:uiPriority="99" w:semiHidden="0" w:name="HTML Definition"/>
    <w:lsdException w:uiPriority="99" w:semiHidden="0" w:name="HTML Keyboard"/>
    <w:lsdException w:qFormat="1" w:unhideWhenUsed="0" w:uiPriority="0" w:semiHidden="0" w:name="HTML Preformatted"/>
    <w:lsdException w:uiPriority="99" w:semiHidden="0" w:name="HTML Sample"/>
    <w:lsdException w:uiPriority="99" w:name="HTML Typewriter"/>
    <w:lsdException w:qFormat="1" w:uiPriority="99" w:semiHidden="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9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outlineLvl w:val="1"/>
    </w:pPr>
    <w:rPr>
      <w:rFonts w:ascii="Arial" w:hAnsi="Arial" w:eastAsia="黑体"/>
      <w:b/>
      <w:bCs/>
      <w:sz w:val="28"/>
      <w:szCs w:val="32"/>
    </w:rPr>
  </w:style>
  <w:style w:type="paragraph" w:styleId="4">
    <w:name w:val="heading 3"/>
    <w:basedOn w:val="1"/>
    <w:next w:val="1"/>
    <w:link w:val="191"/>
    <w:semiHidden/>
    <w:unhideWhenUsed/>
    <w:qFormat/>
    <w:uiPriority w:val="9"/>
    <w:pPr>
      <w:keepNext/>
      <w:keepLines/>
      <w:spacing w:before="260" w:after="260" w:line="416" w:lineRule="auto"/>
      <w:outlineLvl w:val="2"/>
    </w:pPr>
    <w:rPr>
      <w:b/>
      <w:bCs/>
      <w:sz w:val="32"/>
      <w:szCs w:val="32"/>
    </w:rPr>
  </w:style>
  <w:style w:type="character" w:default="1" w:styleId="37">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Normal Indent"/>
    <w:basedOn w:val="1"/>
    <w:link w:val="88"/>
    <w:qFormat/>
    <w:uiPriority w:val="0"/>
    <w:pPr>
      <w:ind w:firstLine="420"/>
    </w:pPr>
    <w:rPr>
      <w:rFonts w:ascii="宋体"/>
      <w:kern w:val="0"/>
      <w:sz w:val="26"/>
      <w:szCs w:val="20"/>
    </w:rPr>
  </w:style>
  <w:style w:type="paragraph" w:styleId="7">
    <w:name w:val="Document Map"/>
    <w:basedOn w:val="1"/>
    <w:link w:val="84"/>
    <w:unhideWhenUsed/>
    <w:qFormat/>
    <w:uiPriority w:val="99"/>
    <w:rPr>
      <w:rFonts w:ascii="宋体"/>
      <w:sz w:val="18"/>
      <w:szCs w:val="18"/>
    </w:rPr>
  </w:style>
  <w:style w:type="paragraph" w:styleId="8">
    <w:name w:val="annotation text"/>
    <w:basedOn w:val="1"/>
    <w:link w:val="69"/>
    <w:qFormat/>
    <w:uiPriority w:val="99"/>
    <w:pPr>
      <w:jc w:val="left"/>
    </w:pPr>
  </w:style>
  <w:style w:type="paragraph" w:styleId="9">
    <w:name w:val="Body Text"/>
    <w:basedOn w:val="1"/>
    <w:link w:val="216"/>
    <w:qFormat/>
    <w:uiPriority w:val="0"/>
    <w:pPr>
      <w:spacing w:after="120"/>
    </w:pPr>
  </w:style>
  <w:style w:type="paragraph" w:styleId="10">
    <w:name w:val="Body Text Indent"/>
    <w:basedOn w:val="1"/>
    <w:link w:val="198"/>
    <w:qFormat/>
    <w:uiPriority w:val="0"/>
    <w:pPr>
      <w:spacing w:after="120"/>
      <w:ind w:left="420" w:leftChars="200"/>
    </w:pPr>
    <w:rPr>
      <w:szCs w:val="24"/>
    </w:rPr>
  </w:style>
  <w:style w:type="paragraph" w:styleId="11">
    <w:name w:val="toc 5"/>
    <w:basedOn w:val="1"/>
    <w:next w:val="1"/>
    <w:semiHidden/>
    <w:qFormat/>
    <w:uiPriority w:val="0"/>
    <w:pPr>
      <w:ind w:left="840"/>
      <w:jc w:val="left"/>
    </w:pPr>
    <w:rPr>
      <w:sz w:val="18"/>
      <w:szCs w:val="18"/>
    </w:rPr>
  </w:style>
  <w:style w:type="paragraph" w:styleId="12">
    <w:name w:val="toc 3"/>
    <w:basedOn w:val="1"/>
    <w:next w:val="1"/>
    <w:semiHidden/>
    <w:qFormat/>
    <w:uiPriority w:val="0"/>
    <w:pPr>
      <w:ind w:left="420"/>
      <w:jc w:val="left"/>
    </w:pPr>
    <w:rPr>
      <w:i/>
      <w:iCs/>
      <w:sz w:val="20"/>
      <w:szCs w:val="20"/>
    </w:rPr>
  </w:style>
  <w:style w:type="paragraph" w:styleId="13">
    <w:name w:val="Plain Text"/>
    <w:basedOn w:val="1"/>
    <w:link w:val="82"/>
    <w:qFormat/>
    <w:uiPriority w:val="0"/>
    <w:rPr>
      <w:rFonts w:ascii="宋体" w:hAnsi="Courier New"/>
      <w:color w:val="000000"/>
      <w:kern w:val="0"/>
      <w:sz w:val="26"/>
      <w:szCs w:val="20"/>
    </w:rPr>
  </w:style>
  <w:style w:type="paragraph" w:styleId="14">
    <w:name w:val="toc 8"/>
    <w:basedOn w:val="1"/>
    <w:next w:val="1"/>
    <w:semiHidden/>
    <w:qFormat/>
    <w:uiPriority w:val="0"/>
    <w:pPr>
      <w:ind w:left="1470"/>
      <w:jc w:val="left"/>
    </w:pPr>
    <w:rPr>
      <w:sz w:val="18"/>
      <w:szCs w:val="18"/>
    </w:rPr>
  </w:style>
  <w:style w:type="paragraph" w:styleId="15">
    <w:name w:val="Date"/>
    <w:basedOn w:val="1"/>
    <w:next w:val="1"/>
    <w:qFormat/>
    <w:uiPriority w:val="0"/>
    <w:rPr>
      <w:sz w:val="24"/>
      <w:szCs w:val="20"/>
    </w:rPr>
  </w:style>
  <w:style w:type="paragraph" w:styleId="16">
    <w:name w:val="Body Text Indent 2"/>
    <w:basedOn w:val="1"/>
    <w:link w:val="233"/>
    <w:qFormat/>
    <w:uiPriority w:val="0"/>
    <w:pPr>
      <w:spacing w:after="120" w:line="480" w:lineRule="auto"/>
      <w:ind w:left="420" w:leftChars="200"/>
    </w:pPr>
    <w:rPr>
      <w:szCs w:val="24"/>
    </w:rPr>
  </w:style>
  <w:style w:type="paragraph" w:styleId="17">
    <w:name w:val="Balloon Text"/>
    <w:basedOn w:val="1"/>
    <w:link w:val="80"/>
    <w:unhideWhenUsed/>
    <w:qFormat/>
    <w:uiPriority w:val="99"/>
    <w:rPr>
      <w:kern w:val="0"/>
      <w:sz w:val="18"/>
      <w:szCs w:val="18"/>
    </w:rPr>
  </w:style>
  <w:style w:type="paragraph" w:styleId="18">
    <w:name w:val="footer"/>
    <w:basedOn w:val="1"/>
    <w:link w:val="85"/>
    <w:unhideWhenUsed/>
    <w:qFormat/>
    <w:uiPriority w:val="99"/>
    <w:pPr>
      <w:tabs>
        <w:tab w:val="center" w:pos="4153"/>
        <w:tab w:val="right" w:pos="8306"/>
      </w:tabs>
      <w:snapToGrid w:val="0"/>
      <w:jc w:val="left"/>
    </w:pPr>
    <w:rPr>
      <w:kern w:val="0"/>
      <w:sz w:val="18"/>
      <w:szCs w:val="18"/>
    </w:rPr>
  </w:style>
  <w:style w:type="paragraph" w:styleId="19">
    <w:name w:val="header"/>
    <w:basedOn w:val="1"/>
    <w:link w:val="8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semiHidden/>
    <w:qFormat/>
    <w:uiPriority w:val="0"/>
    <w:pPr>
      <w:spacing w:before="120" w:after="120"/>
      <w:jc w:val="left"/>
    </w:pPr>
    <w:rPr>
      <w:b/>
      <w:bCs/>
      <w:caps/>
      <w:sz w:val="20"/>
      <w:szCs w:val="20"/>
    </w:rPr>
  </w:style>
  <w:style w:type="paragraph" w:styleId="21">
    <w:name w:val="toc 4"/>
    <w:basedOn w:val="1"/>
    <w:next w:val="1"/>
    <w:semiHidden/>
    <w:qFormat/>
    <w:uiPriority w:val="0"/>
    <w:pPr>
      <w:ind w:left="630"/>
      <w:jc w:val="left"/>
    </w:pPr>
    <w:rPr>
      <w:sz w:val="18"/>
      <w:szCs w:val="18"/>
    </w:rPr>
  </w:style>
  <w:style w:type="paragraph" w:styleId="22">
    <w:name w:val="toc 6"/>
    <w:basedOn w:val="1"/>
    <w:next w:val="1"/>
    <w:semiHidden/>
    <w:qFormat/>
    <w:uiPriority w:val="0"/>
    <w:pPr>
      <w:ind w:left="1050"/>
      <w:jc w:val="left"/>
    </w:pPr>
    <w:rPr>
      <w:sz w:val="18"/>
      <w:szCs w:val="18"/>
    </w:rPr>
  </w:style>
  <w:style w:type="paragraph" w:styleId="23">
    <w:name w:val="Body Text Indent 3"/>
    <w:basedOn w:val="1"/>
    <w:link w:val="76"/>
    <w:qFormat/>
    <w:uiPriority w:val="0"/>
    <w:pPr>
      <w:spacing w:after="120"/>
      <w:ind w:left="420" w:leftChars="200"/>
    </w:pPr>
    <w:rPr>
      <w:sz w:val="16"/>
      <w:szCs w:val="16"/>
    </w:rPr>
  </w:style>
  <w:style w:type="paragraph" w:styleId="24">
    <w:name w:val="toc 2"/>
    <w:basedOn w:val="1"/>
    <w:next w:val="1"/>
    <w:semiHidden/>
    <w:qFormat/>
    <w:uiPriority w:val="0"/>
    <w:pPr>
      <w:ind w:left="210"/>
      <w:jc w:val="left"/>
    </w:pPr>
    <w:rPr>
      <w:smallCaps/>
      <w:sz w:val="20"/>
      <w:szCs w:val="20"/>
    </w:rPr>
  </w:style>
  <w:style w:type="paragraph" w:styleId="25">
    <w:name w:val="toc 9"/>
    <w:basedOn w:val="1"/>
    <w:next w:val="1"/>
    <w:semiHidden/>
    <w:qFormat/>
    <w:uiPriority w:val="0"/>
    <w:pPr>
      <w:ind w:left="1680"/>
      <w:jc w:val="left"/>
    </w:pPr>
    <w:rPr>
      <w:sz w:val="18"/>
      <w:szCs w:val="18"/>
    </w:rPr>
  </w:style>
  <w:style w:type="paragraph" w:styleId="26">
    <w:name w:val="Body Text 2"/>
    <w:basedOn w:val="1"/>
    <w:uiPriority w:val="0"/>
    <w:pPr>
      <w:spacing w:after="120" w:line="480" w:lineRule="auto"/>
    </w:pPr>
  </w:style>
  <w:style w:type="paragraph" w:styleId="27">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28">
    <w:name w:val="Normal (Web)"/>
    <w:basedOn w:val="1"/>
    <w:link w:val="230"/>
    <w:unhideWhenUsed/>
    <w:qFormat/>
    <w:uiPriority w:val="0"/>
    <w:pPr>
      <w:widowControl/>
      <w:spacing w:before="100" w:beforeAutospacing="1" w:after="100" w:afterAutospacing="1"/>
      <w:jc w:val="left"/>
    </w:pPr>
    <w:rPr>
      <w:rFonts w:ascii="宋体" w:hAnsi="宋体"/>
      <w:kern w:val="0"/>
      <w:sz w:val="24"/>
      <w:szCs w:val="24"/>
    </w:rPr>
  </w:style>
  <w:style w:type="paragraph" w:styleId="29">
    <w:name w:val="index 1"/>
    <w:basedOn w:val="1"/>
    <w:next w:val="1"/>
    <w:semiHidden/>
    <w:qFormat/>
    <w:uiPriority w:val="0"/>
    <w:pPr>
      <w:tabs>
        <w:tab w:val="left" w:pos="5580"/>
      </w:tabs>
      <w:spacing w:line="280" w:lineRule="exact"/>
    </w:pPr>
    <w:rPr>
      <w:rFonts w:ascii="宋体" w:hAnsi="宋体" w:cs="宋体"/>
      <w:spacing w:val="10"/>
      <w:szCs w:val="21"/>
    </w:rPr>
  </w:style>
  <w:style w:type="paragraph" w:styleId="30">
    <w:name w:val="Title"/>
    <w:basedOn w:val="1"/>
    <w:next w:val="1"/>
    <w:link w:val="78"/>
    <w:qFormat/>
    <w:uiPriority w:val="10"/>
    <w:pPr>
      <w:spacing w:before="240" w:after="60"/>
      <w:jc w:val="center"/>
      <w:outlineLvl w:val="0"/>
    </w:pPr>
    <w:rPr>
      <w:rFonts w:ascii="Cambria" w:hAnsi="Cambria"/>
      <w:b/>
      <w:bCs/>
      <w:sz w:val="32"/>
      <w:szCs w:val="32"/>
    </w:rPr>
  </w:style>
  <w:style w:type="paragraph" w:styleId="31">
    <w:name w:val="annotation subject"/>
    <w:basedOn w:val="8"/>
    <w:next w:val="8"/>
    <w:semiHidden/>
    <w:uiPriority w:val="0"/>
    <w:rPr>
      <w:b/>
      <w:bCs/>
    </w:rPr>
  </w:style>
  <w:style w:type="paragraph" w:styleId="32">
    <w:name w:val="Body Text First Indent"/>
    <w:basedOn w:val="9"/>
    <w:link w:val="217"/>
    <w:qFormat/>
    <w:uiPriority w:val="0"/>
    <w:pPr>
      <w:ind w:firstLine="420" w:firstLineChars="100"/>
    </w:pPr>
    <w:rPr>
      <w:rFonts w:ascii="Calibri" w:hAnsi="Calibri"/>
      <w:szCs w:val="24"/>
    </w:rPr>
  </w:style>
  <w:style w:type="paragraph" w:styleId="33">
    <w:name w:val="Body Text First Indent 2"/>
    <w:basedOn w:val="10"/>
    <w:link w:val="199"/>
    <w:unhideWhenUsed/>
    <w:qFormat/>
    <w:uiPriority w:val="0"/>
    <w:pPr>
      <w:ind w:firstLine="420" w:firstLineChars="200"/>
    </w:pPr>
  </w:style>
  <w:style w:type="table" w:styleId="35">
    <w:name w:val="Table Grid"/>
    <w:basedOn w:val="3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36">
    <w:name w:val="Table Grid 1"/>
    <w:basedOn w:val="3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38">
    <w:name w:val="Strong"/>
    <w:qFormat/>
    <w:uiPriority w:val="0"/>
    <w:rPr>
      <w:b/>
      <w:bCs/>
    </w:rPr>
  </w:style>
  <w:style w:type="character" w:styleId="39">
    <w:name w:val="page number"/>
    <w:basedOn w:val="37"/>
    <w:uiPriority w:val="0"/>
  </w:style>
  <w:style w:type="character" w:styleId="40">
    <w:name w:val="FollowedHyperlink"/>
    <w:unhideWhenUsed/>
    <w:qFormat/>
    <w:uiPriority w:val="99"/>
    <w:rPr>
      <w:color w:val="282828"/>
      <w:u w:val="none"/>
    </w:rPr>
  </w:style>
  <w:style w:type="character" w:styleId="41">
    <w:name w:val="Emphasis"/>
    <w:qFormat/>
    <w:uiPriority w:val="20"/>
    <w:rPr>
      <w:b/>
    </w:rPr>
  </w:style>
  <w:style w:type="character" w:styleId="42">
    <w:name w:val="HTML Definition"/>
    <w:unhideWhenUsed/>
    <w:qFormat/>
    <w:uiPriority w:val="99"/>
  </w:style>
  <w:style w:type="character" w:styleId="43">
    <w:name w:val="HTML Variable"/>
    <w:unhideWhenUsed/>
    <w:qFormat/>
    <w:uiPriority w:val="99"/>
  </w:style>
  <w:style w:type="character" w:styleId="44">
    <w:name w:val="Hyperlink"/>
    <w:unhideWhenUsed/>
    <w:qFormat/>
    <w:uiPriority w:val="99"/>
    <w:rPr>
      <w:color w:val="282828"/>
      <w:u w:val="none"/>
    </w:rPr>
  </w:style>
  <w:style w:type="character" w:styleId="45">
    <w:name w:val="HTML Code"/>
    <w:unhideWhenUsed/>
    <w:uiPriority w:val="99"/>
    <w:rPr>
      <w:rFonts w:ascii="Courier New" w:hAnsi="Courier New"/>
      <w:sz w:val="20"/>
    </w:rPr>
  </w:style>
  <w:style w:type="character" w:styleId="46">
    <w:name w:val="annotation reference"/>
    <w:qFormat/>
    <w:uiPriority w:val="99"/>
    <w:rPr>
      <w:sz w:val="21"/>
      <w:szCs w:val="21"/>
    </w:rPr>
  </w:style>
  <w:style w:type="character" w:styleId="47">
    <w:name w:val="HTML Cite"/>
    <w:unhideWhenUsed/>
    <w:uiPriority w:val="99"/>
  </w:style>
  <w:style w:type="character" w:styleId="48">
    <w:name w:val="HTML Keyboard"/>
    <w:unhideWhenUsed/>
    <w:uiPriority w:val="99"/>
    <w:rPr>
      <w:rFonts w:ascii="Courier New" w:hAnsi="Courier New"/>
      <w:sz w:val="20"/>
    </w:rPr>
  </w:style>
  <w:style w:type="character" w:styleId="49">
    <w:name w:val="HTML Sample"/>
    <w:unhideWhenUsed/>
    <w:uiPriority w:val="99"/>
    <w:rPr>
      <w:rFonts w:ascii="Courier New" w:hAnsi="Courier New"/>
    </w:rPr>
  </w:style>
  <w:style w:type="character" w:customStyle="1" w:styleId="50">
    <w:name w:val="weather"/>
    <w:basedOn w:val="37"/>
    <w:uiPriority w:val="0"/>
  </w:style>
  <w:style w:type="character" w:customStyle="1" w:styleId="51">
    <w:name w:val="样式 (符号) 宋体 四号 加粗 Char"/>
    <w:link w:val="52"/>
    <w:qFormat/>
    <w:uiPriority w:val="0"/>
    <w:rPr>
      <w:rFonts w:hAnsi="宋体" w:eastAsia="宋体"/>
      <w:b/>
      <w:color w:val="000000"/>
      <w:sz w:val="24"/>
      <w:szCs w:val="28"/>
      <w:u w:color="000000"/>
      <w:lang w:val="en-US" w:eastAsia="zh-CN" w:bidi="ar-SA"/>
    </w:rPr>
  </w:style>
  <w:style w:type="paragraph" w:customStyle="1" w:styleId="52">
    <w:name w:val="样式 (符号) 宋体 四号 加粗"/>
    <w:basedOn w:val="1"/>
    <w:link w:val="51"/>
    <w:uiPriority w:val="0"/>
    <w:pPr>
      <w:widowControl/>
      <w:spacing w:line="500" w:lineRule="exact"/>
      <w:ind w:firstLine="200" w:firstLineChars="200"/>
      <w:textAlignment w:val="baseline"/>
    </w:pPr>
    <w:rPr>
      <w:rFonts w:hAnsi="宋体"/>
      <w:b/>
      <w:color w:val="000000"/>
      <w:kern w:val="0"/>
      <w:sz w:val="24"/>
      <w:szCs w:val="28"/>
      <w:u w:color="000000"/>
    </w:rPr>
  </w:style>
  <w:style w:type="character" w:customStyle="1" w:styleId="53">
    <w:name w:val="正文1 Char"/>
    <w:link w:val="54"/>
    <w:qFormat/>
    <w:uiPriority w:val="0"/>
    <w:rPr>
      <w:rFonts w:eastAsia="宋体" w:cs="宋体"/>
      <w:spacing w:val="10"/>
      <w:kern w:val="2"/>
      <w:sz w:val="24"/>
      <w:szCs w:val="24"/>
      <w:lang w:val="en-US" w:eastAsia="zh-CN" w:bidi="ar-SA"/>
    </w:rPr>
  </w:style>
  <w:style w:type="paragraph" w:customStyle="1" w:styleId="54">
    <w:name w:val="正文1"/>
    <w:basedOn w:val="1"/>
    <w:link w:val="53"/>
    <w:qFormat/>
    <w:uiPriority w:val="0"/>
    <w:pPr>
      <w:adjustRightInd w:val="0"/>
      <w:spacing w:line="360" w:lineRule="auto"/>
      <w:ind w:firstLine="200" w:firstLineChars="200"/>
      <w:textAlignment w:val="baseline"/>
    </w:pPr>
    <w:rPr>
      <w:rFonts w:cs="宋体"/>
      <w:spacing w:val="10"/>
      <w:sz w:val="24"/>
      <w:szCs w:val="24"/>
    </w:rPr>
  </w:style>
  <w:style w:type="character" w:customStyle="1" w:styleId="55">
    <w:name w:val="state5"/>
    <w:uiPriority w:val="0"/>
    <w:rPr>
      <w:color w:val="CF0303"/>
    </w:rPr>
  </w:style>
  <w:style w:type="character" w:customStyle="1" w:styleId="56">
    <w:name w:val="引用 Char"/>
    <w:link w:val="57"/>
    <w:uiPriority w:val="0"/>
    <w:rPr>
      <w:iCs/>
      <w:color w:val="000000"/>
      <w:kern w:val="2"/>
      <w:sz w:val="21"/>
      <w:szCs w:val="21"/>
    </w:rPr>
  </w:style>
  <w:style w:type="paragraph" w:customStyle="1" w:styleId="57">
    <w:name w:val="引用1"/>
    <w:basedOn w:val="1"/>
    <w:next w:val="1"/>
    <w:link w:val="56"/>
    <w:qFormat/>
    <w:uiPriority w:val="0"/>
    <w:pPr>
      <w:spacing w:line="360" w:lineRule="exact"/>
      <w:jc w:val="center"/>
    </w:pPr>
    <w:rPr>
      <w:iCs/>
      <w:color w:val="000000"/>
      <w:szCs w:val="21"/>
    </w:rPr>
  </w:style>
  <w:style w:type="character" w:customStyle="1" w:styleId="58">
    <w:name w:val="标题 2 Char1"/>
    <w:link w:val="3"/>
    <w:uiPriority w:val="0"/>
    <w:rPr>
      <w:rFonts w:ascii="Arial" w:hAnsi="Arial" w:eastAsia="黑体"/>
      <w:b/>
      <w:bCs/>
      <w:kern w:val="2"/>
      <w:sz w:val="28"/>
      <w:szCs w:val="32"/>
    </w:rPr>
  </w:style>
  <w:style w:type="character" w:customStyle="1" w:styleId="59">
    <w:name w:val="普通文字 Char3"/>
    <w:qFormat/>
    <w:uiPriority w:val="0"/>
    <w:rPr>
      <w:rFonts w:ascii="宋体" w:hAnsi="Courier New" w:eastAsia="宋体"/>
      <w:kern w:val="2"/>
      <w:lang w:val="en-US" w:eastAsia="zh-CN" w:bidi="ar-SA"/>
    </w:rPr>
  </w:style>
  <w:style w:type="character" w:customStyle="1" w:styleId="60">
    <w:name w:val="state3"/>
    <w:basedOn w:val="37"/>
    <w:qFormat/>
    <w:uiPriority w:val="0"/>
  </w:style>
  <w:style w:type="character" w:customStyle="1" w:styleId="61">
    <w:name w:val="Char Char8"/>
    <w:uiPriority w:val="0"/>
    <w:rPr>
      <w:rFonts w:ascii="Arial" w:hAnsi="Arial" w:eastAsia="黑体"/>
      <w:b/>
      <w:bCs/>
      <w:kern w:val="2"/>
      <w:sz w:val="28"/>
      <w:szCs w:val="32"/>
      <w:lang w:val="en-US" w:eastAsia="zh-CN" w:bidi="ar-SA"/>
    </w:rPr>
  </w:style>
  <w:style w:type="character" w:customStyle="1" w:styleId="62">
    <w:name w:val="end2"/>
    <w:uiPriority w:val="0"/>
    <w:rPr>
      <w:color w:val="03CA1B"/>
    </w:rPr>
  </w:style>
  <w:style w:type="character" w:customStyle="1" w:styleId="63">
    <w:name w:val="图表标注 Char"/>
    <w:link w:val="64"/>
    <w:qFormat/>
    <w:uiPriority w:val="0"/>
    <w:rPr>
      <w:rFonts w:ascii="Times New Roman" w:eastAsia="黑体"/>
    </w:rPr>
  </w:style>
  <w:style w:type="paragraph" w:customStyle="1" w:styleId="64">
    <w:name w:val="图表标注"/>
    <w:basedOn w:val="1"/>
    <w:link w:val="63"/>
    <w:qFormat/>
    <w:uiPriority w:val="0"/>
    <w:pPr>
      <w:spacing w:line="480" w:lineRule="exact"/>
      <w:jc w:val="center"/>
    </w:pPr>
    <w:rPr>
      <w:rFonts w:eastAsia="黑体"/>
      <w:kern w:val="0"/>
      <w:sz w:val="20"/>
      <w:szCs w:val="20"/>
    </w:rPr>
  </w:style>
  <w:style w:type="character" w:customStyle="1" w:styleId="65">
    <w:name w:val="样式1 Char"/>
    <w:link w:val="66"/>
    <w:uiPriority w:val="0"/>
    <w:rPr>
      <w:rFonts w:eastAsia="宋体"/>
      <w:kern w:val="2"/>
      <w:sz w:val="24"/>
      <w:szCs w:val="28"/>
      <w:lang w:val="en-US" w:eastAsia="zh-CN" w:bidi="ar-SA"/>
    </w:rPr>
  </w:style>
  <w:style w:type="paragraph" w:customStyle="1" w:styleId="66">
    <w:name w:val="样式1"/>
    <w:basedOn w:val="6"/>
    <w:link w:val="65"/>
    <w:qFormat/>
    <w:uiPriority w:val="0"/>
    <w:pPr>
      <w:spacing w:line="500" w:lineRule="exact"/>
      <w:ind w:firstLine="200" w:firstLineChars="200"/>
    </w:pPr>
    <w:rPr>
      <w:rFonts w:ascii="Times New Roman"/>
      <w:kern w:val="2"/>
      <w:sz w:val="24"/>
      <w:szCs w:val="28"/>
    </w:rPr>
  </w:style>
  <w:style w:type="character" w:customStyle="1" w:styleId="67">
    <w:name w:val="三级标题 Char"/>
    <w:link w:val="68"/>
    <w:qFormat/>
    <w:uiPriority w:val="0"/>
    <w:rPr>
      <w:rFonts w:eastAsia="宋体"/>
      <w:b/>
      <w:kern w:val="2"/>
      <w:sz w:val="24"/>
      <w:szCs w:val="24"/>
      <w:lang w:val="en-US" w:eastAsia="zh-CN" w:bidi="ar-SA"/>
    </w:rPr>
  </w:style>
  <w:style w:type="paragraph" w:customStyle="1" w:styleId="68">
    <w:name w:val="三级标题"/>
    <w:basedOn w:val="1"/>
    <w:link w:val="67"/>
    <w:uiPriority w:val="0"/>
    <w:pPr>
      <w:spacing w:before="300" w:line="460" w:lineRule="exact"/>
      <w:outlineLvl w:val="2"/>
    </w:pPr>
    <w:rPr>
      <w:b/>
      <w:sz w:val="24"/>
      <w:szCs w:val="24"/>
    </w:rPr>
  </w:style>
  <w:style w:type="character" w:customStyle="1" w:styleId="69">
    <w:name w:val="批注文字 Char"/>
    <w:link w:val="8"/>
    <w:qFormat/>
    <w:uiPriority w:val="99"/>
    <w:rPr>
      <w:kern w:val="2"/>
      <w:sz w:val="21"/>
      <w:szCs w:val="22"/>
    </w:rPr>
  </w:style>
  <w:style w:type="character" w:customStyle="1" w:styleId="70">
    <w:name w:val="state4"/>
    <w:basedOn w:val="37"/>
    <w:qFormat/>
    <w:uiPriority w:val="0"/>
  </w:style>
  <w:style w:type="character" w:customStyle="1" w:styleId="71">
    <w:name w:val="普通文字 Char2"/>
    <w:uiPriority w:val="0"/>
    <w:rPr>
      <w:rFonts w:ascii="宋体" w:hAnsi="Courier New" w:eastAsia="宋体"/>
      <w:color w:val="000000"/>
      <w:kern w:val="2"/>
      <w:sz w:val="26"/>
      <w:lang w:val="en-US" w:eastAsia="zh-CN" w:bidi="ar-SA"/>
    </w:rPr>
  </w:style>
  <w:style w:type="character" w:customStyle="1" w:styleId="72">
    <w:name w:val="num"/>
    <w:basedOn w:val="37"/>
    <w:uiPriority w:val="0"/>
  </w:style>
  <w:style w:type="character" w:customStyle="1" w:styleId="73">
    <w:name w:val="department1"/>
    <w:basedOn w:val="37"/>
    <w:qFormat/>
    <w:uiPriority w:val="0"/>
  </w:style>
  <w:style w:type="character" w:customStyle="1" w:styleId="74">
    <w:name w:val="end"/>
    <w:qFormat/>
    <w:uiPriority w:val="0"/>
    <w:rPr>
      <w:color w:val="03CA1B"/>
    </w:rPr>
  </w:style>
  <w:style w:type="character" w:customStyle="1" w:styleId="75">
    <w:name w:val="HTML 预设格式 Char"/>
    <w:link w:val="27"/>
    <w:qFormat/>
    <w:uiPriority w:val="0"/>
    <w:rPr>
      <w:rFonts w:ascii="Arial" w:hAnsi="Arial" w:cs="Arial"/>
      <w:sz w:val="21"/>
      <w:szCs w:val="21"/>
    </w:rPr>
  </w:style>
  <w:style w:type="character" w:customStyle="1" w:styleId="76">
    <w:name w:val="正文文本缩进 3 Char"/>
    <w:link w:val="23"/>
    <w:uiPriority w:val="0"/>
    <w:rPr>
      <w:rFonts w:ascii="Times New Roman" w:hAnsi="Times New Roman"/>
      <w:kern w:val="2"/>
      <w:sz w:val="16"/>
      <w:szCs w:val="16"/>
    </w:rPr>
  </w:style>
  <w:style w:type="character" w:customStyle="1" w:styleId="77">
    <w:name w:val="标题 2 Char"/>
    <w:uiPriority w:val="0"/>
    <w:rPr>
      <w:rFonts w:ascii="Arial" w:hAnsi="Arial" w:eastAsia="黑体"/>
      <w:b/>
      <w:bCs/>
      <w:kern w:val="2"/>
      <w:sz w:val="28"/>
      <w:szCs w:val="32"/>
    </w:rPr>
  </w:style>
  <w:style w:type="character" w:customStyle="1" w:styleId="78">
    <w:name w:val="标题 Char"/>
    <w:link w:val="30"/>
    <w:qFormat/>
    <w:uiPriority w:val="10"/>
    <w:rPr>
      <w:rFonts w:ascii="Cambria" w:hAnsi="Cambria" w:cs="Times New Roman"/>
      <w:b/>
      <w:bCs/>
      <w:kern w:val="2"/>
      <w:sz w:val="32"/>
      <w:szCs w:val="32"/>
    </w:rPr>
  </w:style>
  <w:style w:type="character" w:customStyle="1" w:styleId="79">
    <w:name w:val="state2"/>
    <w:uiPriority w:val="0"/>
    <w:rPr>
      <w:color w:val="CF0303"/>
    </w:rPr>
  </w:style>
  <w:style w:type="character" w:customStyle="1" w:styleId="80">
    <w:name w:val="批注框文本 Char"/>
    <w:link w:val="17"/>
    <w:semiHidden/>
    <w:qFormat/>
    <w:uiPriority w:val="99"/>
    <w:rPr>
      <w:sz w:val="18"/>
      <w:szCs w:val="18"/>
    </w:rPr>
  </w:style>
  <w:style w:type="character" w:customStyle="1" w:styleId="81">
    <w:name w:val="txt_color"/>
    <w:qFormat/>
    <w:uiPriority w:val="0"/>
    <w:rPr>
      <w:color w:val="C0C0C0"/>
    </w:rPr>
  </w:style>
  <w:style w:type="character" w:customStyle="1" w:styleId="82">
    <w:name w:val="纯文本 Char1"/>
    <w:link w:val="13"/>
    <w:qFormat/>
    <w:uiPriority w:val="0"/>
    <w:rPr>
      <w:rFonts w:ascii="宋体" w:hAnsi="Courier New" w:eastAsia="宋体" w:cs="Times New Roman"/>
      <w:color w:val="000000"/>
      <w:sz w:val="26"/>
      <w:szCs w:val="20"/>
    </w:rPr>
  </w:style>
  <w:style w:type="character" w:customStyle="1" w:styleId="83">
    <w:name w:val="name"/>
    <w:basedOn w:val="37"/>
    <w:uiPriority w:val="0"/>
  </w:style>
  <w:style w:type="character" w:customStyle="1" w:styleId="84">
    <w:name w:val="文档结构图 Char1"/>
    <w:link w:val="7"/>
    <w:semiHidden/>
    <w:uiPriority w:val="99"/>
    <w:rPr>
      <w:rFonts w:ascii="宋体"/>
      <w:kern w:val="2"/>
      <w:sz w:val="18"/>
      <w:szCs w:val="18"/>
    </w:rPr>
  </w:style>
  <w:style w:type="character" w:customStyle="1" w:styleId="85">
    <w:name w:val="页脚 Char"/>
    <w:link w:val="18"/>
    <w:qFormat/>
    <w:uiPriority w:val="99"/>
    <w:rPr>
      <w:sz w:val="18"/>
      <w:szCs w:val="18"/>
    </w:rPr>
  </w:style>
  <w:style w:type="character" w:customStyle="1" w:styleId="86">
    <w:name w:val="apple-converted-space"/>
    <w:basedOn w:val="37"/>
    <w:qFormat/>
    <w:uiPriority w:val="0"/>
  </w:style>
  <w:style w:type="character" w:customStyle="1" w:styleId="87">
    <w:name w:val="页眉 Char"/>
    <w:link w:val="19"/>
    <w:qFormat/>
    <w:uiPriority w:val="99"/>
    <w:rPr>
      <w:sz w:val="18"/>
      <w:szCs w:val="18"/>
    </w:rPr>
  </w:style>
  <w:style w:type="character" w:customStyle="1" w:styleId="88">
    <w:name w:val="正文缩进 Char"/>
    <w:link w:val="6"/>
    <w:qFormat/>
    <w:uiPriority w:val="0"/>
    <w:rPr>
      <w:rFonts w:ascii="宋体" w:hAnsi="Times New Roman" w:eastAsia="宋体" w:cs="Times New Roman"/>
      <w:sz w:val="26"/>
      <w:szCs w:val="20"/>
    </w:rPr>
  </w:style>
  <w:style w:type="character" w:customStyle="1" w:styleId="89">
    <w:name w:val="end1"/>
    <w:qFormat/>
    <w:uiPriority w:val="0"/>
    <w:rPr>
      <w:color w:val="03CA1B"/>
    </w:rPr>
  </w:style>
  <w:style w:type="character" w:customStyle="1" w:styleId="90">
    <w:name w:val="文档结构图 Char"/>
    <w:uiPriority w:val="0"/>
    <w:rPr>
      <w:rFonts w:ascii="宋体"/>
      <w:kern w:val="2"/>
      <w:sz w:val="18"/>
      <w:szCs w:val="18"/>
    </w:rPr>
  </w:style>
  <w:style w:type="character" w:customStyle="1" w:styleId="91">
    <w:name w:val="正文(首行缩进) Char1"/>
    <w:link w:val="92"/>
    <w:uiPriority w:val="0"/>
    <w:rPr>
      <w:rFonts w:ascii="宋体"/>
      <w:snapToGrid w:val="0"/>
      <w:sz w:val="24"/>
      <w:szCs w:val="24"/>
      <w:lang w:bidi="ar-SA"/>
    </w:rPr>
  </w:style>
  <w:style w:type="paragraph" w:customStyle="1" w:styleId="92">
    <w:name w:val="正文(首行缩进)"/>
    <w:basedOn w:val="1"/>
    <w:link w:val="91"/>
    <w:qFormat/>
    <w:uiPriority w:val="0"/>
    <w:pPr>
      <w:spacing w:line="360" w:lineRule="auto"/>
      <w:ind w:firstLine="480" w:firstLineChars="200"/>
    </w:pPr>
    <w:rPr>
      <w:rFonts w:ascii="宋体"/>
      <w:snapToGrid w:val="0"/>
      <w:kern w:val="0"/>
      <w:sz w:val="24"/>
      <w:szCs w:val="24"/>
    </w:rPr>
  </w:style>
  <w:style w:type="character" w:customStyle="1" w:styleId="93">
    <w:name w:val="15"/>
    <w:uiPriority w:val="0"/>
    <w:rPr>
      <w:rFonts w:hint="default" w:ascii="Times New Roman" w:hAnsi="Times New Roman" w:cs="Times New Roman"/>
      <w:color w:val="0000FF"/>
      <w:sz w:val="20"/>
      <w:szCs w:val="20"/>
      <w:u w:val="single"/>
    </w:rPr>
  </w:style>
  <w:style w:type="character" w:customStyle="1" w:styleId="94">
    <w:name w:val="doc_title"/>
    <w:basedOn w:val="37"/>
    <w:qFormat/>
    <w:uiPriority w:val="0"/>
  </w:style>
  <w:style w:type="character" w:customStyle="1" w:styleId="95">
    <w:name w:val="state"/>
    <w:qFormat/>
    <w:uiPriority w:val="0"/>
    <w:rPr>
      <w:color w:val="CF0303"/>
    </w:rPr>
  </w:style>
  <w:style w:type="character" w:customStyle="1" w:styleId="96">
    <w:name w:val="样式 宋体 小四 Char"/>
    <w:link w:val="97"/>
    <w:qFormat/>
    <w:uiPriority w:val="0"/>
    <w:rPr>
      <w:rFonts w:eastAsia="宋体"/>
      <w:color w:val="000000"/>
      <w:sz w:val="24"/>
      <w:u w:color="000000"/>
      <w:lang w:val="en-US" w:eastAsia="zh-CN" w:bidi="ar-SA"/>
    </w:rPr>
  </w:style>
  <w:style w:type="paragraph" w:customStyle="1" w:styleId="97">
    <w:name w:val="样式 宋体 小四"/>
    <w:basedOn w:val="1"/>
    <w:link w:val="96"/>
    <w:uiPriority w:val="0"/>
    <w:pPr>
      <w:widowControl/>
      <w:spacing w:line="500" w:lineRule="exact"/>
      <w:ind w:firstLine="200" w:firstLineChars="200"/>
      <w:textAlignment w:val="baseline"/>
    </w:pPr>
    <w:rPr>
      <w:color w:val="000000"/>
      <w:kern w:val="0"/>
      <w:sz w:val="24"/>
      <w:szCs w:val="20"/>
      <w:u w:color="000000"/>
    </w:rPr>
  </w:style>
  <w:style w:type="character" w:customStyle="1" w:styleId="98">
    <w:name w:val="纯文本 Char"/>
    <w:uiPriority w:val="99"/>
    <w:rPr>
      <w:rFonts w:ascii="宋体" w:hAnsi="Courier New" w:eastAsia="宋体" w:cs="Times New Roman"/>
      <w:color w:val="000000"/>
      <w:sz w:val="26"/>
      <w:szCs w:val="20"/>
    </w:rPr>
  </w:style>
  <w:style w:type="character" w:customStyle="1" w:styleId="99">
    <w:name w:val="标题 1 Char"/>
    <w:link w:val="2"/>
    <w:uiPriority w:val="9"/>
    <w:rPr>
      <w:b/>
      <w:bCs/>
      <w:kern w:val="44"/>
      <w:sz w:val="44"/>
      <w:szCs w:val="44"/>
    </w:rPr>
  </w:style>
  <w:style w:type="character" w:customStyle="1" w:styleId="100">
    <w:name w:val="state1"/>
    <w:basedOn w:val="37"/>
    <w:uiPriority w:val="0"/>
  </w:style>
  <w:style w:type="character" w:customStyle="1" w:styleId="101">
    <w:name w:val="gl"/>
    <w:uiPriority w:val="0"/>
    <w:rPr>
      <w:rFonts w:ascii="Verdana" w:hAnsi="Verdana" w:eastAsia="仿宋_GB2312" w:cs="”“Times New Roman”“"/>
      <w:kern w:val="0"/>
      <w:sz w:val="28"/>
      <w:szCs w:val="28"/>
      <w:lang w:eastAsia="en-US"/>
    </w:rPr>
  </w:style>
  <w:style w:type="character" w:customStyle="1" w:styleId="102">
    <w:name w:val="num1"/>
    <w:basedOn w:val="37"/>
    <w:qFormat/>
    <w:uiPriority w:val="0"/>
  </w:style>
  <w:style w:type="character" w:customStyle="1" w:styleId="103">
    <w:name w:val="department"/>
    <w:basedOn w:val="37"/>
    <w:qFormat/>
    <w:uiPriority w:val="0"/>
  </w:style>
  <w:style w:type="character" w:customStyle="1" w:styleId="104">
    <w:name w:val="font31"/>
    <w:qFormat/>
    <w:uiPriority w:val="0"/>
    <w:rPr>
      <w:rFonts w:hint="default" w:ascii="Calibri" w:hAnsi="Calibri" w:eastAsia="仿宋_GB2312" w:cs="”“Times New Roman”“"/>
      <w:color w:val="000000"/>
      <w:kern w:val="0"/>
      <w:sz w:val="21"/>
      <w:szCs w:val="21"/>
      <w:u w:val="none"/>
      <w:vertAlign w:val="superscript"/>
      <w:lang w:eastAsia="en-US"/>
    </w:rPr>
  </w:style>
  <w:style w:type="paragraph" w:customStyle="1" w:styleId="105">
    <w:name w:val="表格正文"/>
    <w:basedOn w:val="1"/>
    <w:next w:val="1"/>
    <w:link w:val="188"/>
    <w:qFormat/>
    <w:uiPriority w:val="0"/>
    <w:pPr>
      <w:spacing w:line="360" w:lineRule="exact"/>
      <w:jc w:val="center"/>
    </w:pPr>
    <w:rPr>
      <w:szCs w:val="20"/>
    </w:rPr>
  </w:style>
  <w:style w:type="paragraph" w:customStyle="1" w:styleId="106">
    <w:name w:val="p22"/>
    <w:basedOn w:val="1"/>
    <w:qFormat/>
    <w:uiPriority w:val="0"/>
    <w:pPr>
      <w:widowControl/>
      <w:spacing w:before="100" w:after="100"/>
      <w:jc w:val="center"/>
    </w:pPr>
    <w:rPr>
      <w:rFonts w:ascii="宋体" w:hAnsi="宋体" w:cs="宋体"/>
      <w:color w:val="000000"/>
      <w:kern w:val="0"/>
      <w:sz w:val="24"/>
      <w:szCs w:val="24"/>
    </w:rPr>
  </w:style>
  <w:style w:type="paragraph" w:customStyle="1" w:styleId="107">
    <w:name w:val="reader-word-layer reader-word-s6-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8">
    <w:name w:val="Default"/>
    <w:link w:val="20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9">
    <w:name w:val="_Style 70"/>
    <w:basedOn w:val="1"/>
    <w:qFormat/>
    <w:uiPriority w:val="0"/>
    <w:rPr>
      <w:rFonts w:eastAsia="仿宋_GB2312"/>
      <w:sz w:val="28"/>
      <w:szCs w:val="20"/>
    </w:rPr>
  </w:style>
  <w:style w:type="paragraph" w:customStyle="1" w:styleId="110">
    <w:name w:val="p0"/>
    <w:basedOn w:val="1"/>
    <w:uiPriority w:val="0"/>
    <w:pPr>
      <w:widowControl/>
    </w:pPr>
    <w:rPr>
      <w:kern w:val="0"/>
      <w:szCs w:val="21"/>
    </w:rPr>
  </w:style>
  <w:style w:type="paragraph" w:customStyle="1" w:styleId="111">
    <w:name w:val="样式 样式 标题 3 + 段前: 0.5 行 段后: 0.5 行1 + 宋体 段前: 0.5 行 段后: 0.5 行"/>
    <w:basedOn w:val="1"/>
    <w:qFormat/>
    <w:uiPriority w:val="0"/>
    <w:pPr>
      <w:keepNext/>
      <w:keepLines/>
      <w:adjustRightInd w:val="0"/>
      <w:snapToGrid w:val="0"/>
      <w:spacing w:beforeLines="50" w:line="360" w:lineRule="auto"/>
      <w:ind w:firstLine="482" w:firstLineChars="200"/>
      <w:jc w:val="left"/>
      <w:outlineLvl w:val="2"/>
    </w:pPr>
    <w:rPr>
      <w:b/>
      <w:kern w:val="44"/>
      <w:sz w:val="24"/>
      <w:szCs w:val="24"/>
    </w:rPr>
  </w:style>
  <w:style w:type="paragraph" w:customStyle="1" w:styleId="112">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113">
    <w:name w:val="reader-word-layer reader-word-s1-28"/>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
    <w:name w:val="表头"/>
    <w:basedOn w:val="1"/>
    <w:next w:val="1"/>
    <w:qFormat/>
    <w:uiPriority w:val="0"/>
    <w:pPr>
      <w:keepNext/>
      <w:snapToGrid w:val="0"/>
      <w:spacing w:before="60" w:after="60" w:line="400" w:lineRule="atLeast"/>
      <w:jc w:val="center"/>
    </w:pPr>
    <w:rPr>
      <w:rFonts w:hint="eastAsia" w:ascii="黑体" w:eastAsia="黑体"/>
      <w:spacing w:val="10"/>
      <w:w w:val="90"/>
      <w:kern w:val="21"/>
      <w:sz w:val="24"/>
      <w:szCs w:val="20"/>
    </w:rPr>
  </w:style>
  <w:style w:type="paragraph" w:customStyle="1" w:styleId="115">
    <w:name w:val="reader-word-layer reader-word-s1-1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6">
    <w:name w:val="样式 表格正文 + 黑色 段后: 0.1 行 行距: 最小值 12 磅"/>
    <w:basedOn w:val="1"/>
    <w:qFormat/>
    <w:uiPriority w:val="0"/>
    <w:pPr>
      <w:spacing w:line="360" w:lineRule="atLeast"/>
      <w:jc w:val="center"/>
    </w:pPr>
    <w:rPr>
      <w:rFonts w:hint="eastAsia"/>
      <w:color w:val="000000"/>
      <w:szCs w:val="20"/>
    </w:rPr>
  </w:style>
  <w:style w:type="paragraph" w:customStyle="1" w:styleId="117">
    <w:name w:val="样式13"/>
    <w:basedOn w:val="1"/>
    <w:qFormat/>
    <w:uiPriority w:val="0"/>
    <w:pPr>
      <w:spacing w:line="360" w:lineRule="auto"/>
      <w:ind w:firstLine="480" w:firstLineChars="200"/>
    </w:pPr>
    <w:rPr>
      <w:color w:val="000000"/>
      <w:sz w:val="24"/>
      <w:szCs w:val="24"/>
    </w:rPr>
  </w:style>
  <w:style w:type="paragraph" w:customStyle="1" w:styleId="118">
    <w:name w:val="reader-word-layer reader-word-s4-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xl59"/>
    <w:basedOn w:val="1"/>
    <w:qFormat/>
    <w:uiPriority w:val="0"/>
    <w:pPr>
      <w:widowControl/>
      <w:pBdr>
        <w:bottom w:val="single" w:color="auto" w:sz="8" w:space="0"/>
        <w:right w:val="single" w:color="000000" w:sz="8" w:space="0"/>
      </w:pBdr>
      <w:spacing w:before="100" w:beforeAutospacing="1" w:after="100" w:afterAutospacing="1"/>
      <w:textAlignment w:val="top"/>
    </w:pPr>
    <w:rPr>
      <w:rFonts w:ascii="Arial Unicode MS" w:hAnsi="Arial Unicode MS" w:eastAsia="Arial Unicode MS" w:cs="Arial Unicode MS"/>
      <w:kern w:val="0"/>
      <w:szCs w:val="21"/>
    </w:rPr>
  </w:style>
  <w:style w:type="paragraph" w:customStyle="1" w:styleId="120">
    <w:name w:val="xl26"/>
    <w:basedOn w:val="1"/>
    <w:uiPriority w:val="0"/>
    <w:pPr>
      <w:widowControl/>
      <w:spacing w:before="100" w:after="100"/>
      <w:jc w:val="center"/>
    </w:pPr>
    <w:rPr>
      <w:rFonts w:ascii="宋体"/>
      <w:color w:val="000000"/>
      <w:kern w:val="0"/>
      <w:sz w:val="24"/>
      <w:szCs w:val="20"/>
    </w:rPr>
  </w:style>
  <w:style w:type="paragraph" w:customStyle="1" w:styleId="121">
    <w:name w:val="reader-word-layer reader-word-s6-9"/>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2">
    <w:name w:val="1标题2级"/>
    <w:basedOn w:val="1"/>
    <w:qFormat/>
    <w:uiPriority w:val="0"/>
    <w:pPr>
      <w:keepNext/>
      <w:snapToGrid w:val="0"/>
      <w:spacing w:line="420" w:lineRule="auto"/>
      <w:outlineLvl w:val="1"/>
    </w:pPr>
    <w:rPr>
      <w:rFonts w:eastAsia="黑体"/>
      <w:b/>
      <w:sz w:val="28"/>
      <w:szCs w:val="20"/>
    </w:rPr>
  </w:style>
  <w:style w:type="paragraph" w:customStyle="1" w:styleId="123">
    <w:name w:val="小四表格"/>
    <w:basedOn w:val="1"/>
    <w:uiPriority w:val="0"/>
    <w:pPr>
      <w:jc w:val="center"/>
    </w:pPr>
    <w:rPr>
      <w:kern w:val="0"/>
      <w:sz w:val="24"/>
      <w:szCs w:val="20"/>
    </w:rPr>
  </w:style>
  <w:style w:type="paragraph" w:customStyle="1" w:styleId="124">
    <w:name w:val="Char"/>
    <w:basedOn w:val="1"/>
    <w:qFormat/>
    <w:uiPriority w:val="0"/>
    <w:pPr>
      <w:widowControl/>
      <w:spacing w:after="160"/>
      <w:jc w:val="left"/>
    </w:pPr>
    <w:rPr>
      <w:rFonts w:ascii="Verdana" w:hAnsi="Verdana" w:eastAsia="仿宋_GB2312" w:cs="”“Times New Roman”“"/>
      <w:kern w:val="0"/>
      <w:sz w:val="28"/>
      <w:szCs w:val="28"/>
      <w:lang w:eastAsia="en-US"/>
    </w:rPr>
  </w:style>
  <w:style w:type="paragraph" w:customStyle="1" w:styleId="125">
    <w:name w:val="首行缩进:  2 字符"/>
    <w:basedOn w:val="1"/>
    <w:qFormat/>
    <w:uiPriority w:val="0"/>
    <w:pPr>
      <w:spacing w:line="440" w:lineRule="exact"/>
      <w:ind w:firstLine="200" w:firstLineChars="200"/>
    </w:pPr>
    <w:rPr>
      <w:rFonts w:eastAsia="仿宋_GB2312" w:cs="宋体"/>
      <w:sz w:val="24"/>
      <w:szCs w:val="20"/>
    </w:rPr>
  </w:style>
  <w:style w:type="paragraph" w:customStyle="1" w:styleId="126">
    <w:name w:val="reader-word-layer reader-word-s1-1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7">
    <w:name w:val="Char Char Char1 Char Char Char Char"/>
    <w:basedOn w:val="1"/>
    <w:qFormat/>
    <w:uiPriority w:val="0"/>
    <w:pPr>
      <w:adjustRightInd w:val="0"/>
      <w:spacing w:line="360" w:lineRule="auto"/>
      <w:ind w:firstLine="200" w:firstLineChars="200"/>
    </w:pPr>
    <w:rPr>
      <w:rFonts w:eastAsia="楷体_GB2312"/>
      <w:sz w:val="24"/>
      <w:szCs w:val="24"/>
    </w:rPr>
  </w:style>
  <w:style w:type="paragraph" w:customStyle="1" w:styleId="128">
    <w:name w:val="reader-word-layer reader-word-s4-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9">
    <w:name w:val="Char Char Char Char Char Char Char"/>
    <w:basedOn w:val="1"/>
    <w:uiPriority w:val="0"/>
    <w:rPr>
      <w:sz w:val="24"/>
      <w:szCs w:val="24"/>
    </w:rPr>
  </w:style>
  <w:style w:type="paragraph" w:customStyle="1" w:styleId="130">
    <w:name w:val="p15"/>
    <w:basedOn w:val="1"/>
    <w:uiPriority w:val="0"/>
    <w:pPr>
      <w:widowControl/>
      <w:pBdr>
        <w:bottom w:val="single" w:color="000000" w:sz="6" w:space="1"/>
      </w:pBdr>
      <w:snapToGrid w:val="0"/>
      <w:spacing w:after="200"/>
      <w:jc w:val="center"/>
    </w:pPr>
    <w:rPr>
      <w:rFonts w:ascii="Tahoma" w:hAnsi="Tahoma" w:cs="Tahoma"/>
      <w:kern w:val="0"/>
      <w:sz w:val="18"/>
      <w:szCs w:val="18"/>
    </w:rPr>
  </w:style>
  <w:style w:type="paragraph" w:customStyle="1" w:styleId="131">
    <w:name w:val="reader-word-layer reader-word-s20-10 reader-word-s20-3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32">
    <w:name w:val="中文报告书样式"/>
    <w:basedOn w:val="1"/>
    <w:qFormat/>
    <w:uiPriority w:val="0"/>
    <w:pPr>
      <w:widowControl/>
      <w:adjustRightInd w:val="0"/>
      <w:spacing w:line="480" w:lineRule="atLeast"/>
      <w:ind w:firstLine="482"/>
      <w:jc w:val="left"/>
    </w:pPr>
    <w:rPr>
      <w:rFonts w:ascii="黑体" w:hAnsi="黑体" w:cs="黑体"/>
      <w:kern w:val="24"/>
      <w:sz w:val="24"/>
      <w:szCs w:val="20"/>
    </w:rPr>
  </w:style>
  <w:style w:type="paragraph" w:customStyle="1" w:styleId="133">
    <w:name w:val="reader-word-layer reader-word-s1-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4">
    <w:name w:val="reader-word-layer reader-word-s20-2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5">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6">
    <w:name w:val="p19"/>
    <w:basedOn w:val="1"/>
    <w:uiPriority w:val="0"/>
    <w:pPr>
      <w:widowControl/>
      <w:ind w:firstLine="420"/>
    </w:pPr>
    <w:rPr>
      <w:rFonts w:ascii="宋体" w:hAnsi="宋体" w:cs="宋体"/>
      <w:kern w:val="0"/>
      <w:sz w:val="26"/>
      <w:szCs w:val="26"/>
    </w:rPr>
  </w:style>
  <w:style w:type="paragraph" w:customStyle="1" w:styleId="137">
    <w:name w:val="reader-word-layer reader-word-s6-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8">
    <w:name w:val="reader-word-layer reader-word-s6-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标题 41"/>
    <w:basedOn w:val="1"/>
    <w:qFormat/>
    <w:uiPriority w:val="0"/>
    <w:pPr>
      <w:spacing w:before="29"/>
      <w:ind w:left="120"/>
      <w:outlineLvl w:val="3"/>
    </w:pPr>
    <w:rPr>
      <w:rFonts w:ascii="宋体" w:cs="宋体"/>
      <w:b/>
      <w:bCs/>
    </w:rPr>
  </w:style>
  <w:style w:type="paragraph" w:customStyle="1" w:styleId="140">
    <w:name w:val="p24"/>
    <w:basedOn w:val="1"/>
    <w:qFormat/>
    <w:uiPriority w:val="0"/>
    <w:pPr>
      <w:widowControl/>
      <w:spacing w:before="60" w:line="460" w:lineRule="atLeast"/>
      <w:ind w:firstLine="482"/>
    </w:pPr>
    <w:rPr>
      <w:kern w:val="0"/>
      <w:sz w:val="24"/>
      <w:szCs w:val="24"/>
    </w:rPr>
  </w:style>
  <w:style w:type="paragraph" w:customStyle="1" w:styleId="141">
    <w:name w:val="Char Char Char"/>
    <w:basedOn w:val="1"/>
    <w:qFormat/>
    <w:uiPriority w:val="0"/>
    <w:rPr>
      <w:szCs w:val="24"/>
    </w:rPr>
  </w:style>
  <w:style w:type="paragraph" w:styleId="142">
    <w:name w:val="List Paragraph"/>
    <w:basedOn w:val="1"/>
    <w:qFormat/>
    <w:uiPriority w:val="0"/>
    <w:pPr>
      <w:ind w:firstLine="420" w:firstLineChars="200"/>
    </w:pPr>
  </w:style>
  <w:style w:type="paragraph" w:customStyle="1" w:styleId="143">
    <w:name w:val="char"/>
    <w:basedOn w:val="1"/>
    <w:qFormat/>
    <w:uiPriority w:val="0"/>
    <w:pPr>
      <w:widowControl/>
      <w:spacing w:after="160" w:line="240" w:lineRule="atLeast"/>
      <w:ind w:right="533" w:rightChars="254"/>
    </w:pPr>
    <w:rPr>
      <w:szCs w:val="20"/>
    </w:rPr>
  </w:style>
  <w:style w:type="paragraph" w:customStyle="1" w:styleId="144">
    <w:name w:val="reader-word-layer reader-word-s6-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5">
    <w:name w:val="样式12"/>
    <w:basedOn w:val="1"/>
    <w:qFormat/>
    <w:uiPriority w:val="0"/>
    <w:pPr>
      <w:jc w:val="center"/>
    </w:pPr>
    <w:rPr>
      <w:szCs w:val="21"/>
    </w:rPr>
  </w:style>
  <w:style w:type="paragraph" w:customStyle="1" w:styleId="146">
    <w:name w:val="p25"/>
    <w:basedOn w:val="1"/>
    <w:qFormat/>
    <w:uiPriority w:val="0"/>
    <w:pPr>
      <w:widowControl/>
      <w:jc w:val="center"/>
    </w:pPr>
    <w:rPr>
      <w:kern w:val="0"/>
      <w:sz w:val="24"/>
      <w:szCs w:val="24"/>
    </w:rPr>
  </w:style>
  <w:style w:type="paragraph" w:customStyle="1" w:styleId="147">
    <w:name w:val="reader-word-layer reader-word-s1-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8">
    <w:name w:val="p17"/>
    <w:basedOn w:val="1"/>
    <w:qFormat/>
    <w:uiPriority w:val="0"/>
    <w:pPr>
      <w:widowControl/>
      <w:snapToGrid w:val="0"/>
      <w:spacing w:line="312" w:lineRule="auto"/>
      <w:ind w:left="113" w:right="113" w:firstLine="482"/>
      <w:jc w:val="left"/>
    </w:pPr>
    <w:rPr>
      <w:kern w:val="0"/>
      <w:sz w:val="24"/>
      <w:szCs w:val="24"/>
    </w:rPr>
  </w:style>
  <w:style w:type="paragraph" w:customStyle="1" w:styleId="149">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0">
    <w:name w:val="reader-word-layer reader-word-s6-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1">
    <w:name w:val="reader-word-layer reader-word-s21-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52">
    <w:name w:val="p18"/>
    <w:basedOn w:val="1"/>
    <w:qFormat/>
    <w:uiPriority w:val="0"/>
    <w:pPr>
      <w:widowControl/>
      <w:spacing w:before="78" w:after="78" w:line="360" w:lineRule="auto"/>
    </w:pPr>
    <w:rPr>
      <w:b/>
      <w:bCs/>
      <w:caps/>
      <w:kern w:val="0"/>
      <w:sz w:val="24"/>
      <w:szCs w:val="24"/>
    </w:rPr>
  </w:style>
  <w:style w:type="paragraph" w:customStyle="1" w:styleId="153">
    <w:name w:val="p20"/>
    <w:basedOn w:val="1"/>
    <w:qFormat/>
    <w:uiPriority w:val="0"/>
    <w:pPr>
      <w:pageBreakBefore/>
      <w:widowControl/>
      <w:spacing w:before="60" w:line="460" w:lineRule="atLeast"/>
    </w:pPr>
    <w:rPr>
      <w:rFonts w:ascii="Arial" w:hAnsi="Arial" w:cs="Arial"/>
      <w:b/>
      <w:bCs/>
      <w:color w:val="000000"/>
      <w:kern w:val="0"/>
      <w:sz w:val="24"/>
      <w:szCs w:val="24"/>
    </w:rPr>
  </w:style>
  <w:style w:type="paragraph" w:customStyle="1" w:styleId="154">
    <w:name w:val="标题111 Char Char Char Char Char Char Char"/>
    <w:basedOn w:val="1"/>
    <w:qFormat/>
    <w:uiPriority w:val="0"/>
    <w:pPr>
      <w:spacing w:before="60" w:line="460" w:lineRule="atLeast"/>
      <w:ind w:firstLine="200" w:firstLineChars="200"/>
    </w:pPr>
    <w:rPr>
      <w:rFonts w:ascii="宋体" w:hAnsi="宋体" w:cs="宋体"/>
      <w:sz w:val="24"/>
      <w:szCs w:val="24"/>
    </w:rPr>
  </w:style>
  <w:style w:type="paragraph" w:customStyle="1" w:styleId="155">
    <w:name w:val="样式3"/>
    <w:basedOn w:val="1"/>
    <w:qFormat/>
    <w:uiPriority w:val="0"/>
    <w:pPr>
      <w:autoSpaceDE w:val="0"/>
      <w:autoSpaceDN w:val="0"/>
      <w:snapToGrid w:val="0"/>
      <w:spacing w:before="120" w:line="460" w:lineRule="atLeast"/>
      <w:jc w:val="center"/>
    </w:pPr>
    <w:rPr>
      <w:rFonts w:eastAsia="黑体"/>
      <w:sz w:val="28"/>
      <w:szCs w:val="24"/>
    </w:rPr>
  </w:style>
  <w:style w:type="paragraph" w:customStyle="1" w:styleId="156">
    <w:name w:val="reader-word-layer reader-word-s6-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7">
    <w:name w:val="表格"/>
    <w:basedOn w:val="1"/>
    <w:link w:val="221"/>
    <w:qFormat/>
    <w:uiPriority w:val="0"/>
    <w:pPr>
      <w:jc w:val="center"/>
    </w:pPr>
    <w:rPr>
      <w:sz w:val="24"/>
      <w:szCs w:val="21"/>
    </w:rPr>
  </w:style>
  <w:style w:type="paragraph" w:customStyle="1" w:styleId="158">
    <w:name w:val="样式35"/>
    <w:basedOn w:val="1"/>
    <w:qFormat/>
    <w:uiPriority w:val="0"/>
    <w:pPr>
      <w:adjustRightInd w:val="0"/>
      <w:spacing w:line="312" w:lineRule="auto"/>
      <w:ind w:firstLine="567"/>
    </w:pPr>
    <w:rPr>
      <w:rFonts w:ascii="宋体"/>
      <w:kern w:val="0"/>
      <w:sz w:val="28"/>
      <w:szCs w:val="24"/>
    </w:rPr>
  </w:style>
  <w:style w:type="paragraph" w:customStyle="1" w:styleId="159">
    <w:name w:val="列出段落1"/>
    <w:basedOn w:val="1"/>
    <w:qFormat/>
    <w:uiPriority w:val="0"/>
    <w:pPr>
      <w:spacing w:line="500" w:lineRule="exact"/>
      <w:ind w:firstLine="420" w:firstLineChars="200"/>
    </w:pPr>
    <w:rPr>
      <w:sz w:val="24"/>
      <w:szCs w:val="24"/>
    </w:rPr>
  </w:style>
  <w:style w:type="paragraph" w:customStyle="1" w:styleId="160">
    <w:name w:val="reader-word-layer reader-word-s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1">
    <w:name w:val="Char Char6 Char Char Char Char Char Char Char Char Char Char Char Char Char Char Char Char Char Char Char Char"/>
    <w:basedOn w:val="1"/>
    <w:qFormat/>
    <w:uiPriority w:val="0"/>
    <w:rPr>
      <w:sz w:val="24"/>
      <w:szCs w:val="24"/>
    </w:rPr>
  </w:style>
  <w:style w:type="paragraph" w:customStyle="1" w:styleId="162">
    <w:name w:val="Char Char1 Char Char Char Char Char Char"/>
    <w:basedOn w:val="1"/>
    <w:qFormat/>
    <w:uiPriority w:val="0"/>
    <w:rPr>
      <w:szCs w:val="20"/>
    </w:rPr>
  </w:style>
  <w:style w:type="paragraph" w:customStyle="1" w:styleId="163">
    <w:name w:val="reader-word-layer reader-word-s1-2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4">
    <w:name w:val="reader-word-layer reader-word-s1-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5">
    <w:name w:val="表文1"/>
    <w:basedOn w:val="1"/>
    <w:qFormat/>
    <w:uiPriority w:val="0"/>
    <w:pPr>
      <w:spacing w:beforeLines="50" w:afterLines="50" w:line="360" w:lineRule="auto"/>
    </w:pPr>
    <w:rPr>
      <w:rFonts w:ascii="宋体" w:hAnsi="宋体"/>
      <w:szCs w:val="20"/>
    </w:rPr>
  </w:style>
  <w:style w:type="paragraph" w:customStyle="1" w:styleId="166">
    <w:name w:val="默认段落字体 Para Char Char Char Char"/>
    <w:basedOn w:val="162"/>
    <w:next w:val="5"/>
    <w:qFormat/>
    <w:uiPriority w:val="0"/>
    <w:rPr>
      <w:sz w:val="24"/>
      <w:szCs w:val="24"/>
    </w:rPr>
  </w:style>
  <w:style w:type="paragraph" w:customStyle="1" w:styleId="167">
    <w:name w:val="正文2"/>
    <w:basedOn w:val="1"/>
    <w:qFormat/>
    <w:uiPriority w:val="0"/>
    <w:pPr>
      <w:adjustRightInd w:val="0"/>
      <w:snapToGrid w:val="0"/>
      <w:spacing w:line="440" w:lineRule="atLeast"/>
      <w:ind w:firstLine="510"/>
    </w:pPr>
    <w:rPr>
      <w:szCs w:val="20"/>
    </w:rPr>
  </w:style>
  <w:style w:type="paragraph" w:customStyle="1" w:styleId="168">
    <w:name w:val="reader-word-layer reader-word-s2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9">
    <w:name w:val="reader-word-layer reader-word-s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标题3 Char Char Char Char"/>
    <w:basedOn w:val="1"/>
    <w:qFormat/>
    <w:uiPriority w:val="0"/>
    <w:pPr>
      <w:spacing w:afterLines="50" w:line="560" w:lineRule="exact"/>
    </w:pPr>
    <w:rPr>
      <w:rFonts w:eastAsia="黑体"/>
      <w:sz w:val="30"/>
      <w:szCs w:val="30"/>
    </w:rPr>
  </w:style>
  <w:style w:type="paragraph" w:customStyle="1" w:styleId="171">
    <w:name w:val="2"/>
    <w:basedOn w:val="1"/>
    <w:next w:val="1"/>
    <w:qFormat/>
    <w:uiPriority w:val="0"/>
    <w:pPr>
      <w:spacing w:before="240" w:line="440" w:lineRule="exact"/>
    </w:pPr>
    <w:rPr>
      <w:rFonts w:ascii="黑体" w:eastAsia="黑体"/>
      <w:sz w:val="24"/>
      <w:szCs w:val="28"/>
    </w:rPr>
  </w:style>
  <w:style w:type="paragraph" w:customStyle="1" w:styleId="172">
    <w:name w:val="reader-word-layer reader-word-s6-3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3">
    <w:name w:val="1"/>
    <w:basedOn w:val="1"/>
    <w:next w:val="6"/>
    <w:qFormat/>
    <w:uiPriority w:val="0"/>
    <w:pPr>
      <w:ind w:firstLine="420"/>
    </w:pPr>
    <w:rPr>
      <w:rFonts w:ascii="宋体"/>
      <w:sz w:val="26"/>
      <w:szCs w:val="20"/>
    </w:rPr>
  </w:style>
  <w:style w:type="paragraph" w:customStyle="1" w:styleId="174">
    <w:name w:val="reader-word-layer reader-word-s1-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5">
    <w:name w:val="p16"/>
    <w:basedOn w:val="1"/>
    <w:qFormat/>
    <w:uiPriority w:val="0"/>
    <w:pPr>
      <w:widowControl/>
      <w:jc w:val="center"/>
    </w:pPr>
    <w:rPr>
      <w:kern w:val="0"/>
      <w:szCs w:val="21"/>
    </w:rPr>
  </w:style>
  <w:style w:type="paragraph" w:customStyle="1" w:styleId="176">
    <w:name w:val="reader-word-layer reader-word-s6-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7">
    <w:name w:val="reader-word-layer reader-word-s1-2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8">
    <w:name w:val="报告表正文"/>
    <w:basedOn w:val="1"/>
    <w:link w:val="195"/>
    <w:qFormat/>
    <w:uiPriority w:val="0"/>
    <w:pPr>
      <w:adjustRightInd w:val="0"/>
      <w:spacing w:line="312" w:lineRule="auto"/>
      <w:ind w:left="113" w:right="113" w:firstLine="482"/>
      <w:jc w:val="left"/>
    </w:pPr>
    <w:rPr>
      <w:kern w:val="0"/>
      <w:sz w:val="24"/>
      <w:szCs w:val="20"/>
    </w:rPr>
  </w:style>
  <w:style w:type="paragraph" w:customStyle="1" w:styleId="179">
    <w:name w:val="reader-word-layer reader-word-s6-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0">
    <w:name w:val="reader-word-layer reader-word-s6-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1">
    <w:name w:val="正文格式"/>
    <w:basedOn w:val="1"/>
    <w:qFormat/>
    <w:uiPriority w:val="0"/>
    <w:pPr>
      <w:ind w:firstLine="480" w:firstLineChars="200"/>
    </w:pPr>
    <w:rPr>
      <w:rFonts w:ascii="仿宋_GB2312" w:eastAsia="仿宋_GB2312"/>
      <w:b/>
      <w:bCs/>
      <w:color w:val="FF6600"/>
      <w:sz w:val="24"/>
      <w:szCs w:val="24"/>
    </w:rPr>
  </w:style>
  <w:style w:type="paragraph" w:customStyle="1" w:styleId="182">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Char Char Char Char Char Char Char Char2 Char"/>
    <w:basedOn w:val="1"/>
    <w:qFormat/>
    <w:uiPriority w:val="0"/>
    <w:pPr>
      <w:widowControl/>
      <w:adjustRightInd w:val="0"/>
      <w:spacing w:after="160" w:line="240" w:lineRule="exact"/>
      <w:jc w:val="left"/>
    </w:pPr>
    <w:rPr>
      <w:sz w:val="24"/>
      <w:szCs w:val="20"/>
    </w:rPr>
  </w:style>
  <w:style w:type="paragraph" w:customStyle="1" w:styleId="184">
    <w:name w:val="p23"/>
    <w:basedOn w:val="1"/>
    <w:qFormat/>
    <w:uiPriority w:val="0"/>
    <w:pPr>
      <w:widowControl/>
      <w:snapToGrid w:val="0"/>
      <w:spacing w:line="480" w:lineRule="atLeast"/>
      <w:ind w:firstLine="482"/>
    </w:pPr>
    <w:rPr>
      <w:kern w:val="0"/>
      <w:sz w:val="24"/>
      <w:szCs w:val="24"/>
    </w:rPr>
  </w:style>
  <w:style w:type="paragraph" w:customStyle="1" w:styleId="185">
    <w:name w:val="表格文字2"/>
    <w:basedOn w:val="1"/>
    <w:qFormat/>
    <w:uiPriority w:val="0"/>
    <w:pPr>
      <w:adjustRightInd w:val="0"/>
      <w:spacing w:before="60"/>
      <w:jc w:val="center"/>
      <w:textAlignment w:val="baseline"/>
    </w:pPr>
    <w:rPr>
      <w:rFonts w:ascii="宋体"/>
      <w:kern w:val="0"/>
      <w:sz w:val="24"/>
      <w:szCs w:val="20"/>
    </w:rPr>
  </w:style>
  <w:style w:type="paragraph" w:customStyle="1" w:styleId="186">
    <w:name w:val="reader-word-layer reader-word-s1-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7">
    <w:name w:val="p21"/>
    <w:basedOn w:val="1"/>
    <w:qFormat/>
    <w:uiPriority w:val="0"/>
    <w:pPr>
      <w:widowControl/>
      <w:ind w:firstLine="420"/>
    </w:pPr>
    <w:rPr>
      <w:rFonts w:ascii="宋体" w:hAnsi="宋体" w:cs="宋体"/>
      <w:kern w:val="0"/>
      <w:sz w:val="26"/>
      <w:szCs w:val="26"/>
    </w:rPr>
  </w:style>
  <w:style w:type="character" w:customStyle="1" w:styleId="188">
    <w:name w:val="表格正文 Char Char"/>
    <w:link w:val="105"/>
    <w:qFormat/>
    <w:uiPriority w:val="0"/>
    <w:rPr>
      <w:kern w:val="2"/>
      <w:sz w:val="21"/>
    </w:rPr>
  </w:style>
  <w:style w:type="paragraph" w:customStyle="1" w:styleId="189">
    <w:name w:val="Table Paragraph"/>
    <w:basedOn w:val="1"/>
    <w:qFormat/>
    <w:uiPriority w:val="1"/>
    <w:pPr>
      <w:autoSpaceDE w:val="0"/>
      <w:autoSpaceDN w:val="0"/>
      <w:jc w:val="center"/>
    </w:pPr>
    <w:rPr>
      <w:rFonts w:ascii="Noto Sans CJK JP Regular" w:hAnsi="Noto Sans CJK JP Regular" w:eastAsia="Noto Sans CJK JP Regular" w:cs="Noto Sans CJK JP Regular"/>
      <w:kern w:val="0"/>
      <w:sz w:val="22"/>
      <w:lang w:eastAsia="en-US"/>
    </w:rPr>
  </w:style>
  <w:style w:type="paragraph" w:customStyle="1" w:styleId="190">
    <w:name w:val="表内容"/>
    <w:basedOn w:val="1"/>
    <w:next w:val="1"/>
    <w:qFormat/>
    <w:uiPriority w:val="0"/>
    <w:pPr>
      <w:spacing w:line="320" w:lineRule="exact"/>
      <w:jc w:val="center"/>
    </w:pPr>
    <w:rPr>
      <w:szCs w:val="20"/>
    </w:rPr>
  </w:style>
  <w:style w:type="character" w:customStyle="1" w:styleId="191">
    <w:name w:val="标题 3 Char"/>
    <w:link w:val="4"/>
    <w:semiHidden/>
    <w:qFormat/>
    <w:uiPriority w:val="9"/>
    <w:rPr>
      <w:b/>
      <w:bCs/>
      <w:kern w:val="2"/>
      <w:sz w:val="32"/>
      <w:szCs w:val="32"/>
    </w:rPr>
  </w:style>
  <w:style w:type="paragraph" w:customStyle="1" w:styleId="192">
    <w:name w:val="标2lcc"/>
    <w:basedOn w:val="1"/>
    <w:qFormat/>
    <w:uiPriority w:val="0"/>
    <w:pPr>
      <w:outlineLvl w:val="1"/>
    </w:pPr>
    <w:rPr>
      <w:b/>
      <w:kern w:val="0"/>
      <w:sz w:val="28"/>
      <w:szCs w:val="24"/>
    </w:rPr>
  </w:style>
  <w:style w:type="paragraph" w:customStyle="1" w:styleId="193">
    <w:name w:val="正文 首行缩进:  2 字符"/>
    <w:basedOn w:val="1"/>
    <w:qFormat/>
    <w:uiPriority w:val="99"/>
    <w:pPr>
      <w:ind w:firstLine="579" w:firstLineChars="200"/>
    </w:pPr>
    <w:rPr>
      <w:rFonts w:cs="宋体"/>
      <w:szCs w:val="20"/>
    </w:rPr>
  </w:style>
  <w:style w:type="character" w:customStyle="1" w:styleId="194">
    <w:name w:val="批注文字 Char1"/>
    <w:qFormat/>
    <w:locked/>
    <w:uiPriority w:val="99"/>
    <w:rPr>
      <w:szCs w:val="24"/>
    </w:rPr>
  </w:style>
  <w:style w:type="character" w:customStyle="1" w:styleId="195">
    <w:name w:val="报告表正文 Char"/>
    <w:link w:val="178"/>
    <w:qFormat/>
    <w:locked/>
    <w:uiPriority w:val="0"/>
    <w:rPr>
      <w:sz w:val="24"/>
    </w:rPr>
  </w:style>
  <w:style w:type="paragraph" w:customStyle="1" w:styleId="196">
    <w:name w:val="列出段落11"/>
    <w:basedOn w:val="1"/>
    <w:qFormat/>
    <w:uiPriority w:val="0"/>
    <w:pPr>
      <w:spacing w:line="520" w:lineRule="exact"/>
      <w:ind w:firstLine="420" w:firstLineChars="200"/>
    </w:pPr>
    <w:rPr>
      <w:rFonts w:ascii="Calibri" w:hAnsi="Calibri"/>
      <w:sz w:val="24"/>
    </w:rPr>
  </w:style>
  <w:style w:type="paragraph" w:customStyle="1" w:styleId="197">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jc w:val="left"/>
    </w:pPr>
    <w:rPr>
      <w:kern w:val="0"/>
      <w:sz w:val="24"/>
      <w:szCs w:val="24"/>
    </w:rPr>
  </w:style>
  <w:style w:type="character" w:customStyle="1" w:styleId="198">
    <w:name w:val="正文文本缩进 Char"/>
    <w:link w:val="10"/>
    <w:qFormat/>
    <w:uiPriority w:val="0"/>
    <w:rPr>
      <w:kern w:val="2"/>
      <w:sz w:val="21"/>
      <w:szCs w:val="24"/>
    </w:rPr>
  </w:style>
  <w:style w:type="character" w:customStyle="1" w:styleId="199">
    <w:name w:val="正文首行缩进 2 Char"/>
    <w:basedOn w:val="198"/>
    <w:link w:val="33"/>
    <w:qFormat/>
    <w:uiPriority w:val="0"/>
    <w:rPr>
      <w:kern w:val="2"/>
      <w:sz w:val="21"/>
      <w:szCs w:val="24"/>
    </w:rPr>
  </w:style>
  <w:style w:type="character" w:customStyle="1" w:styleId="200">
    <w:name w:val="表头格式 Char"/>
    <w:link w:val="201"/>
    <w:qFormat/>
    <w:locked/>
    <w:uiPriority w:val="0"/>
    <w:rPr>
      <w:b/>
      <w:color w:val="000000"/>
      <w:sz w:val="24"/>
      <w:szCs w:val="24"/>
    </w:rPr>
  </w:style>
  <w:style w:type="paragraph" w:customStyle="1" w:styleId="201">
    <w:name w:val="表头格式"/>
    <w:basedOn w:val="1"/>
    <w:link w:val="200"/>
    <w:qFormat/>
    <w:uiPriority w:val="0"/>
    <w:pPr>
      <w:spacing w:line="480" w:lineRule="exact"/>
      <w:jc w:val="center"/>
    </w:pPr>
    <w:rPr>
      <w:b/>
      <w:color w:val="000000"/>
      <w:kern w:val="0"/>
      <w:sz w:val="24"/>
      <w:szCs w:val="24"/>
    </w:rPr>
  </w:style>
  <w:style w:type="character" w:customStyle="1" w:styleId="202">
    <w:name w:val="表格正文 Char"/>
    <w:qFormat/>
    <w:locked/>
    <w:uiPriority w:val="0"/>
    <w:rPr>
      <w:kern w:val="2"/>
      <w:sz w:val="21"/>
      <w:szCs w:val="24"/>
    </w:rPr>
  </w:style>
  <w:style w:type="paragraph" w:customStyle="1" w:styleId="203">
    <w:name w:val="报告 Char"/>
    <w:basedOn w:val="1"/>
    <w:qFormat/>
    <w:uiPriority w:val="0"/>
    <w:pPr>
      <w:adjustRightInd w:val="0"/>
      <w:spacing w:line="360" w:lineRule="auto"/>
      <w:ind w:firstLine="505" w:firstLineChars="200"/>
    </w:pPr>
    <w:rPr>
      <w:sz w:val="24"/>
      <w:szCs w:val="24"/>
    </w:rPr>
  </w:style>
  <w:style w:type="character" w:customStyle="1" w:styleId="204">
    <w:name w:val="Default Char Char"/>
    <w:link w:val="108"/>
    <w:qFormat/>
    <w:locked/>
    <w:uiPriority w:val="0"/>
    <w:rPr>
      <w:color w:val="000000"/>
      <w:sz w:val="24"/>
      <w:szCs w:val="24"/>
      <w:lang w:bidi="ar-SA"/>
    </w:rPr>
  </w:style>
  <w:style w:type="character" w:customStyle="1" w:styleId="205">
    <w:name w:val="表格内容 Char Char"/>
    <w:link w:val="206"/>
    <w:qFormat/>
    <w:locked/>
    <w:uiPriority w:val="0"/>
    <w:rPr>
      <w:rFonts w:ascii="宋体" w:hAnsi="宋体"/>
      <w:sz w:val="18"/>
    </w:rPr>
  </w:style>
  <w:style w:type="paragraph" w:customStyle="1" w:styleId="206">
    <w:name w:val="表格内容"/>
    <w:basedOn w:val="1"/>
    <w:link w:val="205"/>
    <w:qFormat/>
    <w:uiPriority w:val="0"/>
    <w:pPr>
      <w:tabs>
        <w:tab w:val="left" w:pos="1535"/>
        <w:tab w:val="left" w:pos="3105"/>
        <w:tab w:val="left" w:pos="4676"/>
        <w:tab w:val="left" w:pos="6247"/>
        <w:tab w:val="left" w:pos="7740"/>
        <w:tab w:val="left" w:pos="9288"/>
      </w:tabs>
      <w:snapToGrid w:val="0"/>
      <w:ind w:left="-25" w:leftChars="-12"/>
    </w:pPr>
    <w:rPr>
      <w:rFonts w:ascii="宋体" w:hAnsi="宋体"/>
      <w:kern w:val="0"/>
      <w:sz w:val="18"/>
      <w:szCs w:val="20"/>
    </w:rPr>
  </w:style>
  <w:style w:type="paragraph" w:customStyle="1" w:styleId="207">
    <w:name w:val="表格标题"/>
    <w:basedOn w:val="1"/>
    <w:next w:val="1"/>
    <w:qFormat/>
    <w:uiPriority w:val="0"/>
    <w:pPr>
      <w:spacing w:line="360" w:lineRule="auto"/>
      <w:jc w:val="center"/>
    </w:pPr>
    <w:rPr>
      <w:b/>
      <w:szCs w:val="20"/>
    </w:rPr>
  </w:style>
  <w:style w:type="paragraph" w:customStyle="1" w:styleId="208">
    <w:name w:val="样式 正文文本缩进 3 + 左侧:  2 字符"/>
    <w:basedOn w:val="23"/>
    <w:qFormat/>
    <w:uiPriority w:val="0"/>
    <w:pPr>
      <w:widowControl/>
      <w:spacing w:line="360" w:lineRule="auto"/>
      <w:ind w:left="0" w:leftChars="0" w:firstLine="200" w:firstLineChars="200"/>
      <w:jc w:val="left"/>
    </w:pPr>
    <w:rPr>
      <w:rFonts w:cs="PMingLiU"/>
      <w:kern w:val="0"/>
      <w:sz w:val="24"/>
      <w:szCs w:val="20"/>
    </w:rPr>
  </w:style>
  <w:style w:type="character" w:customStyle="1" w:styleId="209">
    <w:name w:val="表格内容--1.15 Char"/>
    <w:link w:val="210"/>
    <w:qFormat/>
    <w:locked/>
    <w:uiPriority w:val="0"/>
    <w:rPr>
      <w:color w:val="0D0D0D"/>
      <w:sz w:val="21"/>
      <w:szCs w:val="21"/>
    </w:rPr>
  </w:style>
  <w:style w:type="paragraph" w:customStyle="1" w:styleId="210">
    <w:name w:val="表格内容--1.15"/>
    <w:basedOn w:val="1"/>
    <w:link w:val="209"/>
    <w:qFormat/>
    <w:uiPriority w:val="0"/>
    <w:pPr>
      <w:tabs>
        <w:tab w:val="left" w:pos="567"/>
        <w:tab w:val="left" w:pos="1134"/>
        <w:tab w:val="right" w:leader="middleDot" w:pos="7938"/>
      </w:tabs>
      <w:spacing w:line="276" w:lineRule="auto"/>
      <w:jc w:val="center"/>
    </w:pPr>
    <w:rPr>
      <w:color w:val="0D0D0D"/>
      <w:kern w:val="0"/>
      <w:szCs w:val="21"/>
    </w:rPr>
  </w:style>
  <w:style w:type="character" w:customStyle="1" w:styleId="211">
    <w:name w:val="正文文本 (2)_"/>
    <w:link w:val="212"/>
    <w:qFormat/>
    <w:uiPriority w:val="99"/>
    <w:rPr>
      <w:rFonts w:ascii="微软雅黑" w:eastAsia="微软雅黑" w:cs="微软雅黑"/>
      <w:sz w:val="21"/>
      <w:szCs w:val="21"/>
      <w:shd w:val="clear" w:color="auto" w:fill="FFFFFF"/>
    </w:rPr>
  </w:style>
  <w:style w:type="paragraph" w:customStyle="1" w:styleId="212">
    <w:name w:val="正文文本 (2)1"/>
    <w:basedOn w:val="1"/>
    <w:link w:val="211"/>
    <w:qFormat/>
    <w:uiPriority w:val="99"/>
    <w:pPr>
      <w:shd w:val="clear" w:color="auto" w:fill="FFFFFF"/>
      <w:spacing w:before="60" w:line="413" w:lineRule="exact"/>
      <w:ind w:firstLine="300"/>
      <w:jc w:val="left"/>
    </w:pPr>
    <w:rPr>
      <w:rFonts w:ascii="微软雅黑" w:eastAsia="微软雅黑"/>
      <w:kern w:val="0"/>
      <w:szCs w:val="21"/>
    </w:rPr>
  </w:style>
  <w:style w:type="paragraph" w:customStyle="1" w:styleId="213">
    <w:name w:val="纯文本1"/>
    <w:basedOn w:val="1"/>
    <w:qFormat/>
    <w:uiPriority w:val="0"/>
    <w:pPr>
      <w:spacing w:line="480" w:lineRule="exact"/>
      <w:ind w:firstLine="480" w:firstLineChars="200"/>
    </w:pPr>
    <w:rPr>
      <w:rFonts w:ascii="宋体" w:hAnsi="Courier New"/>
      <w:kern w:val="0"/>
      <w:sz w:val="20"/>
      <w:szCs w:val="20"/>
    </w:rPr>
  </w:style>
  <w:style w:type="character" w:customStyle="1" w:styleId="214">
    <w:name w:val="表格字体 Char"/>
    <w:link w:val="215"/>
    <w:qFormat/>
    <w:uiPriority w:val="0"/>
    <w:rPr>
      <w:spacing w:val="-2"/>
      <w:kern w:val="28"/>
      <w:sz w:val="21"/>
    </w:rPr>
  </w:style>
  <w:style w:type="paragraph" w:customStyle="1" w:styleId="215">
    <w:name w:val="表格字体"/>
    <w:basedOn w:val="13"/>
    <w:link w:val="214"/>
    <w:qFormat/>
    <w:uiPriority w:val="0"/>
    <w:pPr>
      <w:adjustRightInd w:val="0"/>
      <w:snapToGrid w:val="0"/>
      <w:spacing w:before="120" w:line="400" w:lineRule="exact"/>
      <w:jc w:val="center"/>
      <w:textAlignment w:val="baseline"/>
    </w:pPr>
    <w:rPr>
      <w:rFonts w:ascii="Times New Roman" w:hAnsi="Times New Roman"/>
      <w:color w:val="auto"/>
      <w:spacing w:val="-2"/>
      <w:kern w:val="28"/>
      <w:sz w:val="21"/>
    </w:rPr>
  </w:style>
  <w:style w:type="character" w:customStyle="1" w:styleId="216">
    <w:name w:val="正文文本 Char"/>
    <w:link w:val="9"/>
    <w:qFormat/>
    <w:uiPriority w:val="0"/>
    <w:rPr>
      <w:kern w:val="2"/>
      <w:sz w:val="21"/>
      <w:szCs w:val="22"/>
    </w:rPr>
  </w:style>
  <w:style w:type="character" w:customStyle="1" w:styleId="217">
    <w:name w:val="正文首行缩进 Char"/>
    <w:basedOn w:val="216"/>
    <w:link w:val="32"/>
    <w:qFormat/>
    <w:uiPriority w:val="0"/>
    <w:rPr>
      <w:kern w:val="2"/>
      <w:sz w:val="21"/>
      <w:szCs w:val="22"/>
    </w:rPr>
  </w:style>
  <w:style w:type="paragraph" w:customStyle="1" w:styleId="218">
    <w:name w:val="图、表内容"/>
    <w:basedOn w:val="1"/>
    <w:qFormat/>
    <w:uiPriority w:val="0"/>
    <w:pPr>
      <w:adjustRightInd w:val="0"/>
      <w:snapToGrid w:val="0"/>
      <w:spacing w:line="360" w:lineRule="auto"/>
      <w:ind w:firstLine="640" w:firstLineChars="200"/>
      <w:jc w:val="center"/>
    </w:pPr>
    <w:rPr>
      <w:rFonts w:cs="宋体"/>
      <w:spacing w:val="-2"/>
      <w:kern w:val="0"/>
      <w:sz w:val="20"/>
      <w:szCs w:val="20"/>
    </w:rPr>
  </w:style>
  <w:style w:type="paragraph" w:customStyle="1" w:styleId="219">
    <w:name w:val="+正文"/>
    <w:basedOn w:val="1"/>
    <w:qFormat/>
    <w:uiPriority w:val="0"/>
    <w:pPr>
      <w:spacing w:line="360" w:lineRule="auto"/>
      <w:jc w:val="left"/>
    </w:pPr>
    <w:rPr>
      <w:rFonts w:cs="黑体"/>
      <w:sz w:val="24"/>
    </w:rPr>
  </w:style>
  <w:style w:type="table" w:customStyle="1" w:styleId="220">
    <w:name w:val="Table Normal"/>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221">
    <w:name w:val="表格 Char"/>
    <w:link w:val="157"/>
    <w:qFormat/>
    <w:locked/>
    <w:uiPriority w:val="0"/>
    <w:rPr>
      <w:kern w:val="2"/>
      <w:sz w:val="24"/>
      <w:szCs w:val="21"/>
    </w:rPr>
  </w:style>
  <w:style w:type="character" w:customStyle="1" w:styleId="222">
    <w:name w:val="S 正文 Char"/>
    <w:link w:val="223"/>
    <w:qFormat/>
    <w:locked/>
    <w:uiPriority w:val="0"/>
    <w:rPr>
      <w:sz w:val="24"/>
      <w:lang w:val="en-US" w:eastAsia="en-US" w:bidi="en-US"/>
    </w:rPr>
  </w:style>
  <w:style w:type="paragraph" w:customStyle="1" w:styleId="223">
    <w:name w:val="S 正文"/>
    <w:link w:val="222"/>
    <w:qFormat/>
    <w:uiPriority w:val="0"/>
    <w:pPr>
      <w:widowControl w:val="0"/>
      <w:adjustRightInd w:val="0"/>
      <w:snapToGrid w:val="0"/>
      <w:spacing w:line="360" w:lineRule="auto"/>
      <w:ind w:firstLine="480" w:firstLineChars="200"/>
    </w:pPr>
    <w:rPr>
      <w:rFonts w:ascii="Times New Roman" w:hAnsi="Times New Roman" w:eastAsia="宋体" w:cs="Times New Roman"/>
      <w:sz w:val="24"/>
      <w:lang w:val="en-US" w:eastAsia="en-US" w:bidi="en-US"/>
    </w:rPr>
  </w:style>
  <w:style w:type="character" w:customStyle="1" w:styleId="224">
    <w:name w:val="报告表正文 Char Char"/>
    <w:qFormat/>
    <w:locked/>
    <w:uiPriority w:val="0"/>
    <w:rPr>
      <w:sz w:val="24"/>
    </w:rPr>
  </w:style>
  <w:style w:type="paragraph" w:customStyle="1" w:styleId="225">
    <w:name w:val="1正文段落"/>
    <w:basedOn w:val="1"/>
    <w:link w:val="226"/>
    <w:qFormat/>
    <w:uiPriority w:val="0"/>
    <w:pPr>
      <w:spacing w:line="360" w:lineRule="auto"/>
      <w:ind w:firstLine="200" w:firstLineChars="200"/>
    </w:pPr>
    <w:rPr>
      <w:snapToGrid w:val="0"/>
      <w:kern w:val="0"/>
      <w:sz w:val="24"/>
      <w:szCs w:val="21"/>
    </w:rPr>
  </w:style>
  <w:style w:type="character" w:customStyle="1" w:styleId="226">
    <w:name w:val="1正文段落 Char"/>
    <w:link w:val="225"/>
    <w:qFormat/>
    <w:uiPriority w:val="0"/>
    <w:rPr>
      <w:rFonts w:cs="Times New Roman"/>
      <w:snapToGrid w:val="0"/>
      <w:sz w:val="24"/>
      <w:szCs w:val="21"/>
    </w:rPr>
  </w:style>
  <w:style w:type="paragraph" w:customStyle="1" w:styleId="227">
    <w:name w:val="Revision"/>
    <w:hidden/>
    <w:unhideWhenUsed/>
    <w:qFormat/>
    <w:uiPriority w:val="99"/>
    <w:rPr>
      <w:rFonts w:ascii="Times New Roman" w:hAnsi="Times New Roman" w:eastAsia="宋体" w:cs="Times New Roman"/>
      <w:kern w:val="2"/>
      <w:sz w:val="21"/>
      <w:szCs w:val="22"/>
      <w:lang w:val="en-US" w:eastAsia="zh-CN" w:bidi="ar-SA"/>
    </w:rPr>
  </w:style>
  <w:style w:type="character" w:customStyle="1" w:styleId="228">
    <w:name w:val="01正文 字符"/>
    <w:link w:val="229"/>
    <w:qFormat/>
    <w:locked/>
    <w:uiPriority w:val="0"/>
    <w:rPr>
      <w:kern w:val="2"/>
      <w:sz w:val="24"/>
      <w:szCs w:val="21"/>
    </w:rPr>
  </w:style>
  <w:style w:type="paragraph" w:customStyle="1" w:styleId="229">
    <w:name w:val="01正文"/>
    <w:basedOn w:val="1"/>
    <w:link w:val="228"/>
    <w:qFormat/>
    <w:uiPriority w:val="0"/>
    <w:pPr>
      <w:adjustRightInd w:val="0"/>
      <w:snapToGrid w:val="0"/>
      <w:spacing w:line="460" w:lineRule="exact"/>
      <w:ind w:firstLine="200" w:firstLineChars="200"/>
    </w:pPr>
    <w:rPr>
      <w:sz w:val="24"/>
      <w:szCs w:val="21"/>
    </w:rPr>
  </w:style>
  <w:style w:type="character" w:customStyle="1" w:styleId="230">
    <w:name w:val="普通(网站) Char"/>
    <w:link w:val="28"/>
    <w:qFormat/>
    <w:locked/>
    <w:uiPriority w:val="0"/>
    <w:rPr>
      <w:rFonts w:ascii="宋体" w:hAnsi="宋体" w:cs="宋体"/>
      <w:sz w:val="24"/>
      <w:szCs w:val="24"/>
    </w:rPr>
  </w:style>
  <w:style w:type="character" w:customStyle="1" w:styleId="231">
    <w:name w:val="表 Char"/>
    <w:link w:val="232"/>
    <w:qFormat/>
    <w:locked/>
    <w:uiPriority w:val="0"/>
    <w:rPr>
      <w:spacing w:val="2"/>
      <w:sz w:val="24"/>
    </w:rPr>
  </w:style>
  <w:style w:type="paragraph" w:customStyle="1" w:styleId="232">
    <w:name w:val="表"/>
    <w:basedOn w:val="1"/>
    <w:link w:val="231"/>
    <w:qFormat/>
    <w:uiPriority w:val="0"/>
    <w:pPr>
      <w:snapToGrid w:val="0"/>
      <w:jc w:val="center"/>
    </w:pPr>
    <w:rPr>
      <w:spacing w:val="2"/>
      <w:kern w:val="0"/>
      <w:sz w:val="24"/>
      <w:szCs w:val="20"/>
    </w:rPr>
  </w:style>
  <w:style w:type="character" w:customStyle="1" w:styleId="233">
    <w:name w:val="正文文本缩进 2 Char"/>
    <w:basedOn w:val="37"/>
    <w:link w:val="16"/>
    <w:qFormat/>
    <w:uiPriority w:val="0"/>
    <w:rPr>
      <w:kern w:val="2"/>
      <w:sz w:val="21"/>
      <w:szCs w:val="24"/>
    </w:rPr>
  </w:style>
  <w:style w:type="character" w:customStyle="1" w:styleId="234">
    <w:name w:val="表格内文字 Char"/>
    <w:link w:val="235"/>
    <w:qFormat/>
    <w:locked/>
    <w:uiPriority w:val="0"/>
    <w:rPr>
      <w:rFonts w:ascii="仿宋_GB2312" w:hAnsi="Calibri" w:eastAsia="仿宋_GB2312"/>
      <w:spacing w:val="4"/>
      <w:kern w:val="18"/>
      <w:sz w:val="24"/>
      <w:szCs w:val="24"/>
    </w:rPr>
  </w:style>
  <w:style w:type="paragraph" w:customStyle="1" w:styleId="235">
    <w:name w:val="表格内文字"/>
    <w:basedOn w:val="1"/>
    <w:link w:val="234"/>
    <w:qFormat/>
    <w:uiPriority w:val="0"/>
    <w:pPr>
      <w:tabs>
        <w:tab w:val="left" w:pos="0"/>
      </w:tabs>
      <w:adjustRightInd w:val="0"/>
      <w:snapToGrid w:val="0"/>
      <w:jc w:val="center"/>
    </w:pPr>
    <w:rPr>
      <w:rFonts w:ascii="仿宋_GB2312" w:hAnsi="Calibri" w:eastAsia="仿宋_GB2312"/>
      <w:spacing w:val="4"/>
      <w:kern w:val="18"/>
      <w:sz w:val="24"/>
      <w:szCs w:val="24"/>
    </w:rPr>
  </w:style>
  <w:style w:type="paragraph" w:customStyle="1" w:styleId="236">
    <w:name w:val="表格内容格式"/>
    <w:basedOn w:val="1"/>
    <w:qFormat/>
    <w:uiPriority w:val="0"/>
    <w:pPr>
      <w:adjustRightInd w:val="0"/>
      <w:snapToGrid w:val="0"/>
      <w:jc w:val="center"/>
    </w:pPr>
    <w:rPr>
      <w:kern w:val="0"/>
      <w:szCs w:val="21"/>
    </w:rPr>
  </w:style>
  <w:style w:type="character" w:customStyle="1" w:styleId="237">
    <w:name w:val="2 表格内容 Char"/>
    <w:link w:val="238"/>
    <w:qFormat/>
    <w:locked/>
    <w:uiPriority w:val="0"/>
    <w:rPr>
      <w:szCs w:val="21"/>
    </w:rPr>
  </w:style>
  <w:style w:type="paragraph" w:customStyle="1" w:styleId="238">
    <w:name w:val="2 表格内容"/>
    <w:basedOn w:val="1"/>
    <w:link w:val="237"/>
    <w:qFormat/>
    <w:uiPriority w:val="0"/>
    <w:pPr>
      <w:adjustRightInd w:val="0"/>
      <w:snapToGrid w:val="0"/>
      <w:spacing w:line="320" w:lineRule="exact"/>
      <w:jc w:val="center"/>
    </w:pPr>
    <w:rPr>
      <w:kern w:val="0"/>
      <w:sz w:val="20"/>
      <w:szCs w:val="21"/>
    </w:rPr>
  </w:style>
  <w:style w:type="character" w:customStyle="1" w:styleId="239">
    <w:name w:val="正文文本缩进 Char1"/>
    <w:basedOn w:val="37"/>
    <w:qFormat/>
    <w:locked/>
    <w:uiPriority w:val="0"/>
    <w:rPr>
      <w:kern w:val="2"/>
      <w:sz w:val="21"/>
      <w:szCs w:val="24"/>
    </w:rPr>
  </w:style>
  <w:style w:type="character" w:styleId="240">
    <w:name w:val="Placeholder Text"/>
    <w:basedOn w:val="37"/>
    <w:unhideWhenUsed/>
    <w:qFormat/>
    <w:uiPriority w:val="99"/>
    <w:rPr>
      <w:color w:val="808080"/>
    </w:rPr>
  </w:style>
  <w:style w:type="paragraph" w:customStyle="1" w:styleId="241">
    <w:name w:val="正文缩近"/>
    <w:basedOn w:val="1"/>
    <w:qFormat/>
    <w:uiPriority w:val="0"/>
    <w:pPr>
      <w:spacing w:line="360" w:lineRule="auto"/>
      <w:ind w:firstLine="560" w:firstLineChars="200"/>
    </w:pPr>
    <w:rPr>
      <w:rFonts w:ascii="宋体" w:hAnsi="宋体"/>
      <w:sz w:val="28"/>
      <w:szCs w:val="28"/>
    </w:rPr>
  </w:style>
  <w:style w:type="character" w:customStyle="1" w:styleId="242">
    <w:name w:val="fontstyle01"/>
    <w:qFormat/>
    <w:uiPriority w:val="0"/>
    <w:rPr>
      <w:rFonts w:hint="eastAsia" w:ascii="宋体" w:hAnsi="宋体" w:eastAsia="宋体"/>
      <w:color w:val="000000"/>
      <w:sz w:val="24"/>
      <w:szCs w:val="24"/>
    </w:rPr>
  </w:style>
  <w:style w:type="paragraph" w:customStyle="1" w:styleId="243">
    <w:name w:val="正文3"/>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3825"/>
    <customShpInfo spid="_x0000_s23826"/>
    <customShpInfo spid="_x0000_s23827"/>
    <customShpInfo spid="_x0000_s23828"/>
    <customShpInfo spid="_x0000_s23829"/>
    <customShpInfo spid="_x0000_s23830"/>
    <customShpInfo spid="_x0000_s23831"/>
    <customShpInfo spid="_x0000_s23832"/>
    <customShpInfo spid="_x0000_s23833"/>
    <customShpInfo spid="_x0000_s23834"/>
    <customShpInfo spid="_x0000_s23835"/>
    <customShpInfo spid="_x0000_s23836"/>
    <customShpInfo spid="_x0000_s23837"/>
    <customShpInfo spid="_x0000_s23838"/>
    <customShpInfo spid="_x0000_s23839"/>
    <customShpInfo spid="_x0000_s23840"/>
    <customShpInfo spid="_x0000_s23841"/>
    <customShpInfo spid="_x0000_s23842"/>
    <customShpInfo spid="_x0000_s23843"/>
    <customShpInfo spid="_x0000_s23844"/>
    <customShpInfo spid="_x0000_s23845"/>
    <customShpInfo spid="_x0000_s23824"/>
    <customShpInfo spid="_x0000_s23772"/>
    <customShpInfo spid="_x0000_s23773"/>
    <customShpInfo spid="_x0000_s23776"/>
    <customShpInfo spid="_x0000_s23777"/>
    <customShpInfo spid="_x0000_s23778"/>
    <customShpInfo spid="_x0000_s23875"/>
    <customShpInfo spid="_x0000_s23876"/>
    <customShpInfo spid="_x0000_s23771"/>
    <customShpInfo spid="_x0000_s23728"/>
    <customShpInfo spid="_x0000_s23729"/>
    <customShpInfo spid="_x0000_s23730"/>
    <customShpInfo spid="_x0000_s23731"/>
    <customShpInfo spid="_x0000_s23732"/>
    <customShpInfo spid="_x0000_s23733"/>
    <customShpInfo spid="_x0000_s23734"/>
    <customShpInfo spid="_x0000_s23735"/>
    <customShpInfo spid="_x0000_s23736"/>
    <customShpInfo spid="_x0000_s23737"/>
    <customShpInfo spid="_x0000_s23738"/>
    <customShpInfo spid="_x0000_s23739"/>
    <customShpInfo spid="_x0000_s23740"/>
    <customShpInfo spid="_x0000_s23741"/>
    <customShpInfo spid="_x0000_s23742"/>
    <customShpInfo spid="_x0000_s23743"/>
    <customShpInfo spid="_x0000_s23744"/>
    <customShpInfo spid="_x0000_s23745"/>
    <customShpInfo spid="_x0000_s23746"/>
    <customShpInfo spid="_x0000_s23747"/>
    <customShpInfo spid="_x0000_s23748"/>
    <customShpInfo spid="_x0000_s23749"/>
    <customShpInfo spid="_x0000_s23750"/>
    <customShpInfo spid="_x0000_s23751"/>
    <customShpInfo spid="_x0000_s23752"/>
    <customShpInfo spid="_x0000_s23753"/>
    <customShpInfo spid="_x0000_s23754"/>
    <customShpInfo spid="_x0000_s23755"/>
    <customShpInfo spid="_x0000_s23759"/>
    <customShpInfo spid="_x0000_s23760"/>
    <customShpInfo spid="_x0000_s23761"/>
    <customShpInfo spid="_x0000_s23762"/>
    <customShpInfo spid="_x0000_s23763"/>
    <customShpInfo spid="_x0000_s23765"/>
    <customShpInfo spid="_x0000_s23767"/>
    <customShpInfo spid="_x0000_s23768"/>
    <customShpInfo spid="_x0000_s23769"/>
    <customShpInfo spid="_x0000_s23779"/>
    <customShpInfo spid="_x0000_s23780"/>
    <customShpInfo spid="_x0000_s23781"/>
    <customShpInfo spid="_x0000_s23846"/>
    <customShpInfo spid="_x0000_s23848"/>
    <customShpInfo spid="_x0000_s23727"/>
    <customShpInfo spid="_x0000_s7893"/>
    <customShpInfo spid="_x0000_s7903"/>
    <customShpInfo spid="_x0000_s7904"/>
    <customShpInfo spid="_x0000_s7905"/>
    <customShpInfo spid="_x0000_s7906"/>
    <customShpInfo spid="_x0000_s7907"/>
    <customShpInfo spid="_x0000_s7921"/>
    <customShpInfo spid="_x0000_s7922"/>
    <customShpInfo spid="_x0000_s7923"/>
    <customShpInfo spid="_x0000_s7924"/>
    <customShpInfo spid="_x0000_s7925"/>
    <customShpInfo spid="_x0000_s7931"/>
    <customShpInfo spid="_x0000_s7932"/>
    <customShpInfo spid="_x0000_s7937"/>
    <customShpInfo spid="_x0000_s7938"/>
    <customShpInfo spid="_x0000_s7940"/>
    <customShpInfo spid="_x0000_s7941"/>
    <customShpInfo spid="_x0000_s7944"/>
    <customShpInfo spid="_x0000_s7946"/>
    <customShpInfo spid="_x0000_s7948"/>
    <customShpInfo spid="_x0000_s7949"/>
    <customShpInfo spid="_x0000_s23587"/>
    <customShpInfo spid="_x0000_s23725"/>
    <customShpInfo spid="_x0000_s23849"/>
    <customShpInfo spid="_x0000_s23877"/>
    <customShpInfo spid="_x0000_s23878"/>
    <customShpInfo spid="_x0000_s7892"/>
    <customShpInfo spid="_x0000_s7603"/>
    <customShpInfo spid="_x0000_s7605"/>
    <customShpInfo spid="_x0000_s7620"/>
    <customShpInfo spid="_x0000_s7621"/>
    <customShpInfo spid="_x0000_s7622"/>
    <customShpInfo spid="_x0000_s7630"/>
    <customShpInfo spid="_x0000_s7635"/>
    <customShpInfo spid="_x0000_s7819"/>
    <customShpInfo spid="_x0000_s7820"/>
    <customShpInfo spid="_x0000_s7821"/>
    <customShpInfo spid="_x0000_s7823"/>
    <customShpInfo spid="_x0000_s7824"/>
    <customShpInfo spid="_x0000_s7826"/>
    <customShpInfo spid="_x0000_s7827"/>
    <customShpInfo spid="_x0000_s23666"/>
    <customShpInfo spid="_x0000_s23667"/>
    <customShpInfo spid="_x0000_s23674"/>
    <customShpInfo spid="_x0000_s23676"/>
    <customShpInfo spid="_x0000_s23677"/>
    <customShpInfo spid="_x0000_s23679"/>
    <customShpInfo spid="_x0000_s23688"/>
    <customShpInfo spid="_x0000_s23689"/>
    <customShpInfo spid="_x0000_s23690"/>
    <customShpInfo spid="_x0000_s23691"/>
    <customShpInfo spid="_x0000_s23692"/>
    <customShpInfo spid="_x0000_s23693"/>
    <customShpInfo spid="_x0000_s23694"/>
    <customShpInfo spid="_x0000_s23695"/>
    <customShpInfo spid="_x0000_s23696"/>
    <customShpInfo spid="_x0000_s23697"/>
    <customShpInfo spid="_x0000_s23698"/>
    <customShpInfo spid="_x0000_s23699"/>
    <customShpInfo spid="_x0000_s23700"/>
    <customShpInfo spid="_x0000_s23701"/>
    <customShpInfo spid="_x0000_s23702"/>
    <customShpInfo spid="_x0000_s23703"/>
    <customShpInfo spid="_x0000_s23704"/>
    <customShpInfo spid="_x0000_s23705"/>
    <customShpInfo spid="_x0000_s23706"/>
    <customShpInfo spid="_x0000_s23707"/>
    <customShpInfo spid="_x0000_s23708"/>
    <customShpInfo spid="_x0000_s23709"/>
    <customShpInfo spid="_x0000_s23710"/>
    <customShpInfo spid="_x0000_s23711"/>
    <customShpInfo spid="_x0000_s23712"/>
    <customShpInfo spid="_x0000_s23713"/>
    <customShpInfo spid="_x0000_s23714"/>
    <customShpInfo spid="_x0000_s23715"/>
    <customShpInfo spid="_x0000_s23716"/>
    <customShpInfo spid="_x0000_s23717"/>
    <customShpInfo spid="_x0000_s23718"/>
    <customShpInfo spid="_x0000_s23719"/>
    <customShpInfo spid="_x0000_s23720"/>
    <customShpInfo spid="_x0000_s23721"/>
    <customShpInfo spid="_x0000_s23722"/>
    <customShpInfo spid="_x0000_s23854"/>
    <customShpInfo spid="_x0000_s23855"/>
    <customShpInfo spid="_x0000_s23856"/>
    <customShpInfo spid="_x0000_s23858"/>
    <customShpInfo spid="_x0000_s23859"/>
    <customShpInfo spid="_x0000_s23860"/>
    <customShpInfo spid="_x0000_s23861"/>
    <customShpInfo spid="_x0000_s23862"/>
    <customShpInfo spid="_x0000_s23863"/>
    <customShpInfo spid="_x0000_s23864"/>
    <customShpInfo spid="_x0000_s23865"/>
    <customShpInfo spid="_x0000_s23866"/>
    <customShpInfo spid="_x0000_s23867"/>
    <customShpInfo spid="_x0000_s23868"/>
    <customShpInfo spid="_x0000_s23869"/>
    <customShpInfo spid="_x0000_s23870"/>
    <customShpInfo spid="_x0000_s23871"/>
    <customShpInfo spid="_x0000_s23872"/>
    <customShpInfo spid="_x0000_s7604"/>
    <customShpInfo spid="_x0000_s23783"/>
    <customShpInfo spid="_x0000_s23784"/>
    <customShpInfo spid="_x0000_s23785"/>
    <customShpInfo spid="_x0000_s23786"/>
    <customShpInfo spid="_x0000_s23787"/>
    <customShpInfo spid="_x0000_s23788"/>
    <customShpInfo spid="_x0000_s23789"/>
    <customShpInfo spid="_x0000_s23790"/>
    <customShpInfo spid="_x0000_s23791"/>
    <customShpInfo spid="_x0000_s23792"/>
    <customShpInfo spid="_x0000_s23793"/>
    <customShpInfo spid="_x0000_s23794"/>
    <customShpInfo spid="_x0000_s23795"/>
    <customShpInfo spid="_x0000_s23796"/>
    <customShpInfo spid="_x0000_s23797"/>
    <customShpInfo spid="_x0000_s23798"/>
    <customShpInfo spid="_x0000_s23799"/>
    <customShpInfo spid="_x0000_s23800"/>
    <customShpInfo spid="_x0000_s23801"/>
    <customShpInfo spid="_x0000_s23802"/>
    <customShpInfo spid="_x0000_s23803"/>
    <customShpInfo spid="_x0000_s23804"/>
    <customShpInfo spid="_x0000_s23805"/>
    <customShpInfo spid="_x0000_s23806"/>
    <customShpInfo spid="_x0000_s23807"/>
    <customShpInfo spid="_x0000_s23808"/>
    <customShpInfo spid="_x0000_s23809"/>
    <customShpInfo spid="_x0000_s23810"/>
    <customShpInfo spid="_x0000_s23813"/>
    <customShpInfo spid="_x0000_s23814"/>
    <customShpInfo spid="_x0000_s23815"/>
    <customShpInfo spid="_x0000_s23820"/>
    <customShpInfo spid="_x0000_s23821"/>
    <customShpInfo spid="_x0000_s23822"/>
    <customShpInfo spid="_x0000_s23851"/>
    <customShpInfo spid="_x0000_s23853"/>
    <customShpInfo spid="_x0000_s23873"/>
    <customShpInfo spid="_x0000_s237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107</Pages>
  <Words>32730</Words>
  <Characters>35313</Characters>
  <Lines>501</Lines>
  <Paragraphs>141</Paragraphs>
  <TotalTime>13</TotalTime>
  <ScaleCrop>false</ScaleCrop>
  <LinksUpToDate>false</LinksUpToDate>
  <CharactersWithSpaces>35396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2024-11-08T07:59:00Z</dcterms:created>
  <dc:creator>微软用户</dc:creator>
  <cp:lastModifiedBy>小宇</cp:lastModifiedBy>
  <cp:lastPrinted>2021-04-20T01:03:00Z</cp:lastPrinted>
  <dcterms:modified xsi:type="dcterms:W3CDTF">2024-12-18T00:53:38Z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40D2C2C2B2E6425495E37359796BB77C_12</vt:lpwstr>
  </property>
</Properties>
</file>