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65579">
      <w:pPr>
        <w:tabs>
          <w:tab w:val="left" w:pos="6090"/>
        </w:tabs>
        <w:rPr>
          <w:rFonts w:eastAsia="仿宋_GB2312"/>
          <w:b/>
          <w:bCs/>
        </w:rPr>
      </w:pPr>
    </w:p>
    <w:p w14:paraId="619DC133">
      <w:pPr>
        <w:tabs>
          <w:tab w:val="left" w:pos="6090"/>
        </w:tabs>
        <w:jc w:val="center"/>
        <w:rPr>
          <w:rFonts w:eastAsia="仿宋_GB2312"/>
          <w:sz w:val="32"/>
          <w:szCs w:val="32"/>
        </w:rPr>
      </w:pPr>
    </w:p>
    <w:p w14:paraId="19A60828">
      <w:pPr>
        <w:tabs>
          <w:tab w:val="left" w:pos="6090"/>
        </w:tabs>
        <w:jc w:val="center"/>
        <w:rPr>
          <w:rFonts w:eastAsia="仿宋_GB2312"/>
          <w:sz w:val="32"/>
          <w:szCs w:val="32"/>
        </w:rPr>
      </w:pPr>
    </w:p>
    <w:p w14:paraId="7B674B1B">
      <w:pPr>
        <w:tabs>
          <w:tab w:val="left" w:pos="6090"/>
        </w:tabs>
        <w:jc w:val="center"/>
        <w:rPr>
          <w:rFonts w:eastAsia="仿宋_GB2312"/>
          <w:sz w:val="32"/>
          <w:szCs w:val="32"/>
        </w:rPr>
      </w:pPr>
    </w:p>
    <w:p w14:paraId="6CDFD5C3">
      <w:pPr>
        <w:tabs>
          <w:tab w:val="left" w:pos="6090"/>
        </w:tabs>
        <w:jc w:val="center"/>
        <w:rPr>
          <w:rFonts w:eastAsia="仿宋_GB2312"/>
          <w:sz w:val="32"/>
          <w:szCs w:val="32"/>
        </w:rPr>
      </w:pPr>
    </w:p>
    <w:p w14:paraId="4AAA5D72">
      <w:pPr>
        <w:shd w:val="clear" w:color="auto" w:fill="auto"/>
        <w:tabs>
          <w:tab w:val="left" w:pos="6090"/>
        </w:tabs>
        <w:jc w:val="center"/>
        <w:rPr>
          <w:rFonts w:eastAsia="仿宋_GB2312"/>
          <w:sz w:val="32"/>
          <w:szCs w:val="32"/>
          <w:highlight w:val="none"/>
        </w:rPr>
      </w:pPr>
      <w:r>
        <w:rPr>
          <w:rFonts w:eastAsia="仿宋_GB2312"/>
          <w:sz w:val="32"/>
          <w:szCs w:val="32"/>
          <w:highlight w:val="none"/>
        </w:rPr>
        <w:t>谢环审复〔202</w:t>
      </w:r>
      <w:r>
        <w:rPr>
          <w:rFonts w:hint="eastAsia" w:eastAsia="仿宋_GB2312"/>
          <w:sz w:val="32"/>
          <w:szCs w:val="32"/>
          <w:highlight w:val="none"/>
          <w:lang w:val="en-US" w:eastAsia="zh-CN"/>
        </w:rPr>
        <w:t>5</w:t>
      </w:r>
      <w:bookmarkStart w:id="0" w:name="_GoBack"/>
      <w:bookmarkEnd w:id="0"/>
      <w:r>
        <w:rPr>
          <w:rFonts w:eastAsia="仿宋_GB2312"/>
          <w:sz w:val="32"/>
          <w:szCs w:val="32"/>
          <w:highlight w:val="none"/>
        </w:rPr>
        <w:t>〕1号</w:t>
      </w:r>
    </w:p>
    <w:p w14:paraId="097E7780">
      <w:pPr>
        <w:tabs>
          <w:tab w:val="left" w:pos="6090"/>
        </w:tabs>
        <w:jc w:val="center"/>
        <w:rPr>
          <w:rFonts w:eastAsia="仿宋_GB2312"/>
          <w:sz w:val="32"/>
          <w:szCs w:val="32"/>
        </w:rPr>
      </w:pPr>
    </w:p>
    <w:p w14:paraId="5F056AC9">
      <w:pPr>
        <w:pStyle w:val="5"/>
        <w:keepNext w:val="0"/>
        <w:keepLines w:val="0"/>
        <w:pageBreakBefore w:val="0"/>
        <w:widowControl w:val="0"/>
        <w:kinsoku/>
        <w:wordWrap/>
        <w:overflowPunct/>
        <w:topLinePunct w:val="0"/>
        <w:autoSpaceDE/>
        <w:autoSpaceDN/>
        <w:bidi w:val="0"/>
        <w:adjustRightInd/>
        <w:snapToGrid/>
        <w:spacing w:line="600" w:lineRule="exact"/>
        <w:ind w:right="-279" w:rightChars="-133"/>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关于安徽廖氏玻璃科技有限公司窑炉技改项目</w:t>
      </w:r>
    </w:p>
    <w:p w14:paraId="79E49207">
      <w:pPr>
        <w:pStyle w:val="5"/>
        <w:keepNext w:val="0"/>
        <w:keepLines w:val="0"/>
        <w:pageBreakBefore w:val="0"/>
        <w:widowControl w:val="0"/>
        <w:kinsoku/>
        <w:wordWrap/>
        <w:overflowPunct/>
        <w:topLinePunct w:val="0"/>
        <w:autoSpaceDE/>
        <w:autoSpaceDN/>
        <w:bidi w:val="0"/>
        <w:adjustRightInd/>
        <w:snapToGrid/>
        <w:spacing w:line="600" w:lineRule="exact"/>
        <w:ind w:right="-279" w:rightChars="-133"/>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环境影响报告表的批复</w:t>
      </w:r>
    </w:p>
    <w:p w14:paraId="28139EC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p>
    <w:p w14:paraId="1F94BFD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安徽廖氏玻璃科技有限公司</w:t>
      </w:r>
      <w:r>
        <w:rPr>
          <w:rFonts w:hint="default" w:ascii="Times New Roman" w:hAnsi="Times New Roman" w:eastAsia="仿宋_GB2312" w:cs="Times New Roman"/>
          <w:color w:val="auto"/>
          <w:sz w:val="32"/>
          <w:szCs w:val="32"/>
          <w:lang w:val="en-US" w:eastAsia="zh-CN"/>
        </w:rPr>
        <w:t>：</w:t>
      </w:r>
    </w:p>
    <w:p w14:paraId="11A4872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你公司报来的《</w:t>
      </w:r>
      <w:r>
        <w:rPr>
          <w:rFonts w:hint="eastAsia" w:ascii="Times New Roman" w:hAnsi="Times New Roman" w:eastAsia="仿宋_GB2312" w:cs="Times New Roman"/>
          <w:color w:val="auto"/>
          <w:sz w:val="32"/>
          <w:szCs w:val="32"/>
          <w:lang w:val="en-US" w:eastAsia="zh-CN"/>
        </w:rPr>
        <w:t>安徽廖氏玻璃科技有限公司窑炉技改项目</w:t>
      </w:r>
      <w:r>
        <w:rPr>
          <w:rFonts w:hint="default" w:ascii="Times New Roman" w:hAnsi="Times New Roman" w:eastAsia="仿宋_GB2312" w:cs="Times New Roman"/>
          <w:color w:val="auto"/>
          <w:sz w:val="32"/>
          <w:szCs w:val="32"/>
          <w:lang w:val="en-US" w:eastAsia="zh-CN"/>
        </w:rPr>
        <w:t>环境影响报告表》（以下简称《报告表》）已收悉。经审查后批复如下：</w:t>
      </w:r>
    </w:p>
    <w:p w14:paraId="36330BC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在全面落实环评文件提出的各项污染防治措施和风险防范措施的前提下，原则同意该项目按照《报告表》及本审批意见要求进行建设。</w:t>
      </w:r>
    </w:p>
    <w:p w14:paraId="5D92A09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一、项目概况</w:t>
      </w:r>
    </w:p>
    <w:p w14:paraId="1D7C014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企业现有窑炉耗能大、智能化低，为了提升生产水平现对窑炉进行技术改造，</w:t>
      </w:r>
      <w:r>
        <w:rPr>
          <w:rFonts w:hint="eastAsia" w:eastAsia="仿宋_GB2312" w:cs="Times New Roman"/>
          <w:color w:val="auto"/>
          <w:sz w:val="32"/>
          <w:szCs w:val="32"/>
          <w:lang w:val="en-US" w:eastAsia="zh-CN"/>
        </w:rPr>
        <w:t>企业总投资3000万元</w:t>
      </w:r>
      <w:r>
        <w:rPr>
          <w:rFonts w:hint="default" w:ascii="Times New Roman" w:hAnsi="Times New Roman" w:eastAsia="仿宋_GB2312" w:cs="Times New Roman"/>
          <w:color w:val="auto"/>
          <w:sz w:val="32"/>
          <w:szCs w:val="32"/>
          <w:lang w:val="en-US" w:eastAsia="zh-CN"/>
        </w:rPr>
        <w:t>对现有生产线进行高端化智能化绿色化改造升级，并在原有场地新增2栋仓库以及12条压制机加工线等配套基础设施。项目建成达产后，年产能4万吨日用玻璃。该项目由淮南市谢家集区经济和信息化局进行备案（</w:t>
      </w:r>
      <w:r>
        <w:rPr>
          <w:rFonts w:hint="eastAsia" w:eastAsia="仿宋_GB2312" w:cs="Times New Roman"/>
          <w:color w:val="auto"/>
          <w:sz w:val="32"/>
          <w:szCs w:val="32"/>
          <w:lang w:val="en-US" w:eastAsia="zh-CN"/>
        </w:rPr>
        <w:t>备案文号</w:t>
      </w:r>
      <w:r>
        <w:rPr>
          <w:rFonts w:hint="default" w:ascii="Times New Roman" w:hAnsi="Times New Roman" w:eastAsia="仿宋_GB2312" w:cs="Times New Roman"/>
          <w:color w:val="auto"/>
          <w:sz w:val="32"/>
          <w:szCs w:val="32"/>
          <w:lang w:val="en-US" w:eastAsia="zh-CN"/>
        </w:rPr>
        <w:t>：谢经信〔2024〕</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号）。</w:t>
      </w:r>
    </w:p>
    <w:p w14:paraId="2450ECE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二、污染防治措施要求</w:t>
      </w:r>
    </w:p>
    <w:p w14:paraId="43141E4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为保护区域环境质量不因本项目建设而降低，项目设计、建设和运行必须做到以下要求：</w:t>
      </w:r>
    </w:p>
    <w:p w14:paraId="7455A4D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（一）水污染防治措施</w:t>
      </w:r>
    </w:p>
    <w:p w14:paraId="5395986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技改项目不</w:t>
      </w:r>
      <w:r>
        <w:rPr>
          <w:rFonts w:hint="eastAsia" w:eastAsia="仿宋_GB2312" w:cs="Times New Roman"/>
          <w:color w:val="auto"/>
          <w:sz w:val="32"/>
          <w:szCs w:val="32"/>
          <w:lang w:val="en-US" w:eastAsia="zh-CN"/>
        </w:rPr>
        <w:t>新增</w:t>
      </w:r>
      <w:r>
        <w:rPr>
          <w:rFonts w:hint="default" w:ascii="Times New Roman" w:hAnsi="Times New Roman" w:eastAsia="仿宋_GB2312" w:cs="Times New Roman"/>
          <w:color w:val="auto"/>
          <w:sz w:val="32"/>
          <w:szCs w:val="32"/>
          <w:lang w:val="en-US" w:eastAsia="zh-CN"/>
        </w:rPr>
        <w:t>废水</w:t>
      </w:r>
      <w:r>
        <w:rPr>
          <w:rFonts w:hint="eastAsia" w:eastAsia="仿宋_GB2312" w:cs="Times New Roman"/>
          <w:color w:val="auto"/>
          <w:sz w:val="32"/>
          <w:szCs w:val="32"/>
          <w:lang w:val="en-US" w:eastAsia="zh-CN"/>
        </w:rPr>
        <w:t>排放</w:t>
      </w:r>
      <w:r>
        <w:rPr>
          <w:rFonts w:hint="default" w:ascii="Times New Roman" w:hAnsi="Times New Roman" w:eastAsia="仿宋_GB2312" w:cs="Times New Roman"/>
          <w:color w:val="auto"/>
          <w:sz w:val="32"/>
          <w:szCs w:val="32"/>
          <w:lang w:val="en-US" w:eastAsia="zh-CN"/>
        </w:rPr>
        <w:t>。</w:t>
      </w:r>
    </w:p>
    <w:p w14:paraId="1F4B94B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（二）大气污染防治措施</w:t>
      </w:r>
    </w:p>
    <w:p w14:paraId="0D849B0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0000FF"/>
          <w:sz w:val="32"/>
          <w:szCs w:val="32"/>
          <w:lang w:val="en-US" w:eastAsia="zh-CN"/>
        </w:rPr>
      </w:pPr>
      <w:r>
        <w:rPr>
          <w:rFonts w:hint="eastAsia" w:eastAsia="仿宋_GB2312" w:cs="Times New Roman"/>
          <w:color w:val="auto"/>
          <w:sz w:val="32"/>
          <w:szCs w:val="32"/>
          <w:lang w:val="en-US" w:eastAsia="zh-CN"/>
        </w:rPr>
        <w:t>有组织：玻璃熔窑采用天然气为能源，燃烧废气采用陶瓷纤维脱硝除尘一体烟气净化系统处理后经55m高排气筒（DA001）排放。混料、搅拌粉尘经密闭料仓边设吸风管收集后，由布袋除尘器处理后通过1根15m高排气筒排放（DA002）。投料工序粉尘经集气罩收集，袋式除尘器处理后，由15m高DA003排气筒排放。营运期熔窑废气、配料投料粉尘、氨排放执行《玻璃工业大气污染物排放标准》(DB34/4295-2022)表1中大气污染物排放限值要求。</w:t>
      </w:r>
    </w:p>
    <w:p w14:paraId="543BD3A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cs="Times New Roman"/>
          <w:color w:val="0000FF"/>
          <w:sz w:val="32"/>
          <w:szCs w:val="32"/>
          <w:lang w:val="en-US" w:eastAsia="zh-CN"/>
        </w:rPr>
      </w:pPr>
      <w:r>
        <w:rPr>
          <w:rFonts w:hint="eastAsia" w:eastAsia="仿宋_GB2312" w:cs="Times New Roman"/>
          <w:color w:val="auto"/>
          <w:sz w:val="32"/>
          <w:szCs w:val="32"/>
          <w:lang w:val="en-US" w:eastAsia="zh-CN"/>
        </w:rPr>
        <w:t>无组织：退火窑采用清洁能源天然气，粉状物料密闭存储于原料库内；粉状物料经上料口密闭输送至卸料斗内进行搅拌混料。氨水储罐通过在储罐旁设置水吸收槽，呼吸阀废气收集后引至水吸收槽吸收，减少氨气的无组织排放；</w:t>
      </w:r>
      <w:r>
        <w:rPr>
          <w:rFonts w:hint="default" w:ascii="Times New Roman" w:hAnsi="Times New Roman" w:eastAsia="仿宋_GB2312" w:cs="Times New Roman"/>
          <w:color w:val="auto"/>
          <w:sz w:val="32"/>
          <w:szCs w:val="32"/>
          <w:lang w:val="en-US" w:eastAsia="zh-CN"/>
        </w:rPr>
        <w:t>道路采取清扫、洒水等措施，保持清洁。</w:t>
      </w:r>
      <w:r>
        <w:rPr>
          <w:rFonts w:hint="eastAsia" w:eastAsia="仿宋_GB2312" w:cs="Times New Roman"/>
          <w:color w:val="auto"/>
          <w:sz w:val="32"/>
          <w:szCs w:val="32"/>
          <w:lang w:val="en-US" w:eastAsia="zh-CN"/>
        </w:rPr>
        <w:t>依托</w:t>
      </w:r>
      <w:r>
        <w:rPr>
          <w:rFonts w:hint="default" w:ascii="Times New Roman" w:hAnsi="Times New Roman" w:eastAsia="仿宋_GB2312" w:cs="Times New Roman"/>
          <w:color w:val="auto"/>
          <w:sz w:val="32"/>
          <w:szCs w:val="32"/>
          <w:lang w:val="en-US" w:eastAsia="zh-CN"/>
        </w:rPr>
        <w:t>厂区</w:t>
      </w:r>
      <w:r>
        <w:rPr>
          <w:rFonts w:hint="eastAsia" w:eastAsia="仿宋_GB2312" w:cs="Times New Roman"/>
          <w:color w:val="auto"/>
          <w:sz w:val="32"/>
          <w:szCs w:val="32"/>
          <w:lang w:val="en-US" w:eastAsia="zh-CN"/>
        </w:rPr>
        <w:t>现有</w:t>
      </w:r>
      <w:r>
        <w:rPr>
          <w:rFonts w:hint="default" w:ascii="Times New Roman" w:hAnsi="Times New Roman" w:eastAsia="仿宋_GB2312" w:cs="Times New Roman"/>
          <w:color w:val="auto"/>
          <w:sz w:val="32"/>
          <w:szCs w:val="32"/>
          <w:lang w:val="en-US" w:eastAsia="zh-CN"/>
        </w:rPr>
        <w:t>冲洗平台，对运输车辆进行冲洗。</w:t>
      </w:r>
      <w:r>
        <w:rPr>
          <w:rFonts w:hint="eastAsia" w:eastAsia="仿宋_GB2312" w:cs="Times New Roman"/>
          <w:color w:val="auto"/>
          <w:sz w:val="32"/>
          <w:szCs w:val="32"/>
          <w:lang w:val="en-US" w:eastAsia="zh-CN"/>
        </w:rPr>
        <w:t>无组织排放粉尘、氨执行《玻璃工业大气污染物排放标准》(DB34/4295-2022)表3企业无组织排放浓度限值要求</w:t>
      </w:r>
      <w:r>
        <w:rPr>
          <w:rFonts w:hint="eastAsia" w:eastAsia="仿宋_GB2312" w:cs="Times New Roman"/>
          <w:color w:val="0000FF"/>
          <w:sz w:val="32"/>
          <w:szCs w:val="32"/>
          <w:lang w:val="en-US" w:eastAsia="zh-CN"/>
        </w:rPr>
        <w:t>。</w:t>
      </w:r>
    </w:p>
    <w:p w14:paraId="25CFC07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（三）噪声污染防治措施</w:t>
      </w:r>
    </w:p>
    <w:p w14:paraId="5FD1323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项目通过采取合理布局，选用低噪声设备，优化项目各噪声设备车间布局</w:t>
      </w:r>
      <w:r>
        <w:rPr>
          <w:rFonts w:hint="eastAsia" w:eastAsia="仿宋_GB2312" w:cs="Times New Roman"/>
          <w:color w:val="auto"/>
          <w:sz w:val="32"/>
          <w:szCs w:val="32"/>
          <w:lang w:val="en-US" w:eastAsia="zh-CN"/>
        </w:rPr>
        <w:t>，高噪声设备远离敏感点布设</w:t>
      </w:r>
      <w:r>
        <w:rPr>
          <w:rFonts w:hint="default" w:ascii="Times New Roman" w:hAnsi="Times New Roman" w:eastAsia="仿宋_GB2312" w:cs="Times New Roman"/>
          <w:color w:val="auto"/>
          <w:sz w:val="32"/>
          <w:szCs w:val="32"/>
          <w:lang w:val="en-US" w:eastAsia="zh-CN"/>
        </w:rPr>
        <w:t>；对高噪声设备安装减振基础、选用隔声性能好的材料，加强设备检修和维护，保持设备处于良好的运行状态。保证营运期厂界噪声排放达标。</w:t>
      </w:r>
    </w:p>
    <w:p w14:paraId="55CE924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（四）固废污染防治措施</w:t>
      </w:r>
    </w:p>
    <w:p w14:paraId="582F010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做好项目运营过程中产生固废的回收、处理工作，防止造成二次污染。一般固废包括检验过程产生不合格品、布袋收集粉尘、原料使用包装袋</w:t>
      </w:r>
      <w:r>
        <w:rPr>
          <w:rFonts w:hint="eastAsia" w:eastAsia="仿宋_GB2312" w:cs="Times New Roman"/>
          <w:color w:val="auto"/>
          <w:sz w:val="32"/>
          <w:szCs w:val="32"/>
          <w:lang w:val="en-US" w:eastAsia="zh-CN"/>
        </w:rPr>
        <w:t>、废脱硫剂</w:t>
      </w:r>
      <w:r>
        <w:rPr>
          <w:rFonts w:hint="default" w:ascii="Times New Roman" w:hAnsi="Times New Roman" w:eastAsia="仿宋_GB2312" w:cs="Times New Roman"/>
          <w:color w:val="auto"/>
          <w:sz w:val="32"/>
          <w:szCs w:val="32"/>
          <w:lang w:val="en-US" w:eastAsia="zh-CN"/>
        </w:rPr>
        <w:t>以及生活垃圾。不合格品收集后回用于生产，</w:t>
      </w:r>
      <w:r>
        <w:rPr>
          <w:rFonts w:hint="eastAsia" w:eastAsia="仿宋_GB2312" w:cs="Times New Roman"/>
          <w:color w:val="auto"/>
          <w:sz w:val="32"/>
          <w:szCs w:val="32"/>
          <w:lang w:val="en-US" w:eastAsia="zh-CN"/>
        </w:rPr>
        <w:t>布袋收集粉尘</w:t>
      </w:r>
      <w:r>
        <w:rPr>
          <w:rFonts w:hint="eastAsia" w:ascii="Times New Roman" w:hAnsi="Times New Roman" w:eastAsia="仿宋_GB2312" w:cs="Times New Roman"/>
          <w:color w:val="auto"/>
          <w:sz w:val="32"/>
          <w:szCs w:val="32"/>
          <w:lang w:val="en-US" w:eastAsia="zh-CN"/>
        </w:rPr>
        <w:t>作为原料</w:t>
      </w:r>
      <w:r>
        <w:rPr>
          <w:rFonts w:hint="eastAsia" w:eastAsia="仿宋_GB2312" w:cs="Times New Roman"/>
          <w:color w:val="auto"/>
          <w:sz w:val="32"/>
          <w:szCs w:val="32"/>
          <w:lang w:val="en-US" w:eastAsia="zh-CN"/>
        </w:rPr>
        <w:t>回用</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废脱硫剂收集后暂存定期外售</w:t>
      </w:r>
      <w:r>
        <w:rPr>
          <w:rFonts w:hint="eastAsia" w:ascii="Times New Roman" w:hAnsi="Times New Roman" w:eastAsia="仿宋_GB2312" w:cs="Times New Roman"/>
          <w:color w:val="auto"/>
          <w:sz w:val="32"/>
          <w:szCs w:val="32"/>
          <w:lang w:val="en-US" w:eastAsia="zh-CN"/>
        </w:rPr>
        <w:t>；废机油、废油桶</w:t>
      </w:r>
      <w:r>
        <w:rPr>
          <w:rFonts w:hint="default" w:ascii="Times New Roman" w:hAnsi="Times New Roman" w:eastAsia="仿宋_GB2312" w:cs="Times New Roman"/>
          <w:color w:val="auto"/>
          <w:sz w:val="32"/>
          <w:szCs w:val="32"/>
          <w:lang w:val="en-US" w:eastAsia="zh-CN"/>
        </w:rPr>
        <w:t>等危险废物暂存于危废暂存间中，委托有资质单位定期清运处置；</w:t>
      </w:r>
      <w:r>
        <w:rPr>
          <w:rFonts w:hint="eastAsia" w:ascii="Times New Roman" w:hAnsi="Times New Roman" w:eastAsia="仿宋_GB2312" w:cs="Times New Roman"/>
          <w:color w:val="auto"/>
          <w:sz w:val="32"/>
          <w:szCs w:val="32"/>
          <w:lang w:val="en-US" w:eastAsia="zh-CN"/>
        </w:rPr>
        <w:t>废催化剂由</w:t>
      </w:r>
      <w:r>
        <w:rPr>
          <w:rFonts w:hint="eastAsia" w:eastAsia="仿宋_GB2312" w:cs="Times New Roman"/>
          <w:color w:val="auto"/>
          <w:sz w:val="32"/>
          <w:szCs w:val="32"/>
          <w:lang w:val="en-US" w:eastAsia="zh-CN"/>
        </w:rPr>
        <w:t>有</w:t>
      </w:r>
      <w:r>
        <w:rPr>
          <w:rFonts w:hint="eastAsia" w:ascii="Times New Roman" w:hAnsi="Times New Roman" w:eastAsia="仿宋_GB2312" w:cs="Times New Roman"/>
          <w:color w:val="auto"/>
          <w:sz w:val="32"/>
          <w:szCs w:val="32"/>
          <w:lang w:val="en-US" w:eastAsia="zh-CN"/>
        </w:rPr>
        <w:t>资质厂家更换直接回收处置；</w:t>
      </w:r>
      <w:r>
        <w:rPr>
          <w:rFonts w:hint="default" w:ascii="Times New Roman" w:hAnsi="Times New Roman" w:eastAsia="仿宋_GB2312" w:cs="Times New Roman"/>
          <w:color w:val="auto"/>
          <w:sz w:val="32"/>
          <w:szCs w:val="32"/>
          <w:lang w:val="en-US" w:eastAsia="zh-CN"/>
        </w:rPr>
        <w:t>生活垃圾收集后交由环卫定期清运。</w:t>
      </w:r>
    </w:p>
    <w:p w14:paraId="50342C5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（五）项目应加强环境保护管理，落实环境保护的各项应急措施及制度，加强风险管理。</w:t>
      </w:r>
    </w:p>
    <w:p w14:paraId="100E289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三、环境管理要求</w:t>
      </w:r>
    </w:p>
    <w:p w14:paraId="2E2E67A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val="en-US" w:eastAsia="zh-CN"/>
        </w:rPr>
        <w:t>项目建设过程中应严格执行环境保护“三同时”制度。依据《固定污染源排污许可分类管理目录》需办理排污许可证的，项目建成后，须在实际排放污染物或者启动生产设施之前依法取得排污许可证，不得无证排污。项目竣工后，应按规定开展环境保护验收，经验收合格后，项目方可正式投入生产或者使用。</w:t>
      </w:r>
    </w:p>
    <w:p w14:paraId="06D16D4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四、环评执行标准</w:t>
      </w:r>
    </w:p>
    <w:p w14:paraId="60B90A9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1.地表水和污水排放</w:t>
      </w:r>
    </w:p>
    <w:p w14:paraId="6BC3BE6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地表水淮河执行《地表水环境质量标准》（GB3838-2002）Ⅲ类标准。本项目无废水排放，不涉及污水排放标准。</w:t>
      </w:r>
    </w:p>
    <w:p w14:paraId="3A09746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2.环境空气及废气排放</w:t>
      </w:r>
    </w:p>
    <w:p w14:paraId="68849FC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lang w:val="en-US" w:eastAsia="zh-CN"/>
        </w:rPr>
        <w:t>评价区域环境空气质量执行《环境空气质量标准》（GB3095-2012）二级标准。</w:t>
      </w:r>
    </w:p>
    <w:p w14:paraId="3E6E6E0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本项目营运期废气为</w:t>
      </w:r>
      <w:r>
        <w:rPr>
          <w:rFonts w:hint="eastAsia" w:eastAsia="仿宋_GB2312" w:cs="Times New Roman"/>
          <w:color w:val="auto"/>
          <w:sz w:val="32"/>
          <w:szCs w:val="32"/>
          <w:lang w:val="en-US" w:eastAsia="zh-CN"/>
        </w:rPr>
        <w:t>配料投料粉尘、熔窑废气、氨</w:t>
      </w:r>
      <w:r>
        <w:rPr>
          <w:rFonts w:hint="default" w:ascii="Times New Roman" w:hAnsi="Times New Roman" w:eastAsia="仿宋_GB2312" w:cs="Times New Roman"/>
          <w:color w:val="auto"/>
          <w:sz w:val="32"/>
          <w:szCs w:val="32"/>
          <w:lang w:val="en-US" w:eastAsia="zh-CN"/>
        </w:rPr>
        <w:t>，营运期熔窑废气、配料投料粉尘、氨排放执行《玻璃工业大气污染物排放标准》(DB34/4295-2022)表1中大气污染物排放限值和表3企业无组织排放浓度限值要求</w:t>
      </w:r>
      <w:r>
        <w:rPr>
          <w:rFonts w:hint="eastAsia" w:eastAsia="仿宋_GB2312" w:cs="Times New Roman"/>
          <w:color w:val="auto"/>
          <w:sz w:val="32"/>
          <w:szCs w:val="32"/>
          <w:lang w:val="en-US" w:eastAsia="zh-CN"/>
        </w:rPr>
        <w:t>。</w:t>
      </w:r>
    </w:p>
    <w:p w14:paraId="3EA5C16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3.声环境及噪声排放</w:t>
      </w:r>
    </w:p>
    <w:p w14:paraId="6A0F34A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eastAsia="仿宋_GB2312"/>
          <w:color w:val="auto"/>
          <w:sz w:val="32"/>
          <w:szCs w:val="32"/>
        </w:rPr>
        <w:t>声环境质量评价执行《声环境质量标准》（GB3096－2008）中3类标准。运营期厂界噪声排放执行《工业企业厂界环境噪声排放标准》（GB12348-2008）中3类标准。</w:t>
      </w:r>
    </w:p>
    <w:p w14:paraId="35B5556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4.固体废物污染控制标准</w:t>
      </w:r>
    </w:p>
    <w:p w14:paraId="18E4B7A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一般固体废弃物</w:t>
      </w:r>
      <w:r>
        <w:rPr>
          <w:rFonts w:hint="eastAsia" w:eastAsia="仿宋_GB2312" w:cs="Times New Roman"/>
          <w:color w:val="auto"/>
          <w:sz w:val="32"/>
          <w:szCs w:val="32"/>
          <w:lang w:val="en-US" w:eastAsia="zh-CN"/>
        </w:rPr>
        <w:t>参照</w:t>
      </w:r>
      <w:r>
        <w:rPr>
          <w:rFonts w:hint="default" w:ascii="Times New Roman" w:hAnsi="Times New Roman" w:eastAsia="仿宋_GB2312" w:cs="Times New Roman"/>
          <w:color w:val="auto"/>
          <w:sz w:val="32"/>
          <w:szCs w:val="32"/>
          <w:lang w:val="en-US" w:eastAsia="zh-CN"/>
        </w:rPr>
        <w:t>执行《一般工业固体废物贮存和填埋污染控制标准》（GB18599-2020）的相关要求；危险固废处置执行《危险废物贮存污染控制标准》（GB18597-2023）中有关规定。</w:t>
      </w:r>
    </w:p>
    <w:p w14:paraId="5BBA21A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五、其他要求</w:t>
      </w:r>
    </w:p>
    <w:p w14:paraId="38ACB35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（一）本审批意见仅是我局对该项目环评文件的批复意见，项目涉及的规划、</w:t>
      </w:r>
      <w:r>
        <w:rPr>
          <w:rFonts w:hint="eastAsia" w:eastAsia="仿宋_GB2312" w:cs="Times New Roman"/>
          <w:color w:val="auto"/>
          <w:sz w:val="32"/>
          <w:szCs w:val="32"/>
          <w:lang w:val="en-US" w:eastAsia="zh-CN"/>
        </w:rPr>
        <w:t>应急</w:t>
      </w:r>
      <w:r>
        <w:rPr>
          <w:rFonts w:hint="default" w:ascii="Times New Roman" w:hAnsi="Times New Roman" w:eastAsia="仿宋_GB2312" w:cs="Times New Roman"/>
          <w:color w:val="auto"/>
          <w:sz w:val="32"/>
          <w:szCs w:val="32"/>
          <w:lang w:val="en-US" w:eastAsia="zh-CN"/>
        </w:rPr>
        <w:t>、建设、土地等其他事项遵照有关部门的要求执行后，方可进行生产。</w:t>
      </w:r>
    </w:p>
    <w:p w14:paraId="0E8878E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（二）若发现建设单位、环评编制单位弄虚作假或不落实承诺内容的，可撤销许可决定，依法查处，并向社会公开，将失信企业纳入相关诚信体系。</w:t>
      </w:r>
    </w:p>
    <w:p w14:paraId="7AEB860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（三）你公司应按规定配合各级生态环境部门做好建设项目环境保护事中事后监管工作。</w:t>
      </w:r>
    </w:p>
    <w:p w14:paraId="06F4F46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六、</w:t>
      </w:r>
      <w:r>
        <w:rPr>
          <w:rFonts w:hint="default" w:ascii="Times New Roman" w:hAnsi="Times New Roman" w:eastAsia="仿宋_GB2312" w:cs="Times New Roman"/>
          <w:color w:val="auto"/>
          <w:sz w:val="32"/>
          <w:szCs w:val="32"/>
          <w:lang w:val="en-US" w:eastAsia="zh-CN"/>
        </w:rPr>
        <w:t>请谢家集生态环境保护综合行政执法大队和</w:t>
      </w:r>
      <w:r>
        <w:rPr>
          <w:rFonts w:hint="eastAsia" w:eastAsia="仿宋_GB2312" w:cs="Times New Roman"/>
          <w:color w:val="auto"/>
          <w:sz w:val="32"/>
          <w:szCs w:val="32"/>
          <w:lang w:val="en-US" w:eastAsia="zh-CN"/>
        </w:rPr>
        <w:t>安徽淮南谢家集经济开发区管委会</w:t>
      </w:r>
      <w:r>
        <w:rPr>
          <w:rFonts w:hint="default" w:ascii="Times New Roman" w:hAnsi="Times New Roman" w:eastAsia="仿宋_GB2312" w:cs="Times New Roman"/>
          <w:color w:val="auto"/>
          <w:sz w:val="32"/>
          <w:szCs w:val="32"/>
          <w:lang w:val="en-US" w:eastAsia="zh-CN"/>
        </w:rPr>
        <w:t>做好工程施工和运营期间的环保监管工作。</w:t>
      </w:r>
    </w:p>
    <w:p w14:paraId="56F0B18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仿宋_GB2312" w:cs="Times New Roman"/>
          <w:color w:val="0000FF"/>
          <w:sz w:val="32"/>
          <w:szCs w:val="32"/>
          <w:lang w:val="en-US" w:eastAsia="zh-CN"/>
        </w:rPr>
      </w:pPr>
    </w:p>
    <w:p w14:paraId="660E5B48">
      <w:pPr>
        <w:keepNext w:val="0"/>
        <w:keepLines w:val="0"/>
        <w:pageBreakBefore w:val="0"/>
        <w:widowControl w:val="0"/>
        <w:kinsoku/>
        <w:wordWrap/>
        <w:overflowPunct/>
        <w:topLinePunct w:val="0"/>
        <w:autoSpaceDE/>
        <w:autoSpaceDN/>
        <w:bidi w:val="0"/>
        <w:snapToGrid/>
        <w:spacing w:line="520" w:lineRule="exact"/>
        <w:ind w:firstLine="640" w:firstLineChars="200"/>
        <w:jc w:val="right"/>
        <w:textAlignment w:val="auto"/>
        <w:rPr>
          <w:rFonts w:hint="eastAsia" w:ascii="Times New Roman" w:hAnsi="Times New Roman" w:eastAsia="仿宋_GB2312" w:cs="Times New Roman"/>
          <w:color w:val="0000FF"/>
          <w:sz w:val="32"/>
          <w:szCs w:val="32"/>
          <w:lang w:val="en-US" w:eastAsia="zh-CN"/>
        </w:rPr>
      </w:pPr>
    </w:p>
    <w:p w14:paraId="7E7EC62E">
      <w:pPr>
        <w:keepNext w:val="0"/>
        <w:keepLines w:val="0"/>
        <w:pageBreakBefore w:val="0"/>
        <w:widowControl w:val="0"/>
        <w:kinsoku/>
        <w:wordWrap/>
        <w:overflowPunct/>
        <w:topLinePunct w:val="0"/>
        <w:autoSpaceDE/>
        <w:autoSpaceDN/>
        <w:bidi w:val="0"/>
        <w:snapToGrid/>
        <w:spacing w:line="520" w:lineRule="exact"/>
        <w:ind w:firstLine="640" w:firstLineChars="200"/>
        <w:jc w:val="right"/>
        <w:textAlignment w:val="auto"/>
        <w:rPr>
          <w:rFonts w:hint="eastAsia" w:ascii="Times New Roman" w:hAnsi="Times New Roman" w:eastAsia="仿宋_GB2312" w:cs="Times New Roman"/>
          <w:color w:val="0000FF"/>
          <w:sz w:val="32"/>
          <w:szCs w:val="32"/>
          <w:lang w:val="en-US" w:eastAsia="zh-CN"/>
        </w:rPr>
      </w:pPr>
    </w:p>
    <w:p w14:paraId="546A619B">
      <w:pPr>
        <w:keepNext w:val="0"/>
        <w:keepLines w:val="0"/>
        <w:pageBreakBefore w:val="0"/>
        <w:widowControl w:val="0"/>
        <w:kinsoku/>
        <w:wordWrap/>
        <w:overflowPunct/>
        <w:topLinePunct w:val="0"/>
        <w:autoSpaceDE/>
        <w:autoSpaceDN/>
        <w:bidi w:val="0"/>
        <w:snapToGrid/>
        <w:spacing w:line="520" w:lineRule="exact"/>
        <w:ind w:firstLine="6080" w:firstLineChars="19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val="en-US" w:eastAsia="zh-CN"/>
        </w:rPr>
        <w:t>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D2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ZDI1NTVmZDkyYjQyM2FlYmUwNzMzZTUxYzZiYWIifQ=="/>
  </w:docVars>
  <w:rsids>
    <w:rsidRoot w:val="00172A27"/>
    <w:rsid w:val="0001584E"/>
    <w:rsid w:val="0002206D"/>
    <w:rsid w:val="00087EC0"/>
    <w:rsid w:val="000C5E9B"/>
    <w:rsid w:val="000D0559"/>
    <w:rsid w:val="000D2D9F"/>
    <w:rsid w:val="00104809"/>
    <w:rsid w:val="00116DC5"/>
    <w:rsid w:val="00131C5D"/>
    <w:rsid w:val="0014107F"/>
    <w:rsid w:val="00166F5D"/>
    <w:rsid w:val="00172A27"/>
    <w:rsid w:val="0019063C"/>
    <w:rsid w:val="0028751E"/>
    <w:rsid w:val="002B1E70"/>
    <w:rsid w:val="002F75B9"/>
    <w:rsid w:val="00306A5C"/>
    <w:rsid w:val="00322864"/>
    <w:rsid w:val="003458B9"/>
    <w:rsid w:val="00352549"/>
    <w:rsid w:val="003B346A"/>
    <w:rsid w:val="003E69E6"/>
    <w:rsid w:val="004207AF"/>
    <w:rsid w:val="004829E6"/>
    <w:rsid w:val="00514146"/>
    <w:rsid w:val="0052683C"/>
    <w:rsid w:val="00585B6A"/>
    <w:rsid w:val="005C20B1"/>
    <w:rsid w:val="006707F0"/>
    <w:rsid w:val="00691126"/>
    <w:rsid w:val="006D311F"/>
    <w:rsid w:val="0073757F"/>
    <w:rsid w:val="00757E7B"/>
    <w:rsid w:val="00781620"/>
    <w:rsid w:val="00787EFC"/>
    <w:rsid w:val="00845740"/>
    <w:rsid w:val="00896FEE"/>
    <w:rsid w:val="008B081B"/>
    <w:rsid w:val="008C5BC7"/>
    <w:rsid w:val="008D2D84"/>
    <w:rsid w:val="008D65A5"/>
    <w:rsid w:val="008E0C60"/>
    <w:rsid w:val="009243BB"/>
    <w:rsid w:val="00947287"/>
    <w:rsid w:val="00A10CC0"/>
    <w:rsid w:val="00A22C99"/>
    <w:rsid w:val="00A41B44"/>
    <w:rsid w:val="00A64665"/>
    <w:rsid w:val="00AA659F"/>
    <w:rsid w:val="00AB15B5"/>
    <w:rsid w:val="00B026C5"/>
    <w:rsid w:val="00B11660"/>
    <w:rsid w:val="00B13EB3"/>
    <w:rsid w:val="00B35BFD"/>
    <w:rsid w:val="00B40F91"/>
    <w:rsid w:val="00B4670C"/>
    <w:rsid w:val="00B741D4"/>
    <w:rsid w:val="00BB259F"/>
    <w:rsid w:val="00C62229"/>
    <w:rsid w:val="00C63839"/>
    <w:rsid w:val="00C7721B"/>
    <w:rsid w:val="00CA49A8"/>
    <w:rsid w:val="00CB1678"/>
    <w:rsid w:val="00CB76AD"/>
    <w:rsid w:val="00D13CDF"/>
    <w:rsid w:val="00DE7509"/>
    <w:rsid w:val="00DF34E1"/>
    <w:rsid w:val="00E2529A"/>
    <w:rsid w:val="00E73A88"/>
    <w:rsid w:val="00F51CFD"/>
    <w:rsid w:val="00F82F6C"/>
    <w:rsid w:val="00FC0E26"/>
    <w:rsid w:val="00FC2706"/>
    <w:rsid w:val="00FD2B47"/>
    <w:rsid w:val="01036804"/>
    <w:rsid w:val="01062E45"/>
    <w:rsid w:val="01116A7C"/>
    <w:rsid w:val="01351817"/>
    <w:rsid w:val="01386C18"/>
    <w:rsid w:val="0152668F"/>
    <w:rsid w:val="015C007F"/>
    <w:rsid w:val="015E2478"/>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4D73C7"/>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2F4F4B"/>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6D56C0"/>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AD02C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3D1A"/>
    <w:rsid w:val="0B8855AF"/>
    <w:rsid w:val="0B8D13C9"/>
    <w:rsid w:val="0B8F4830"/>
    <w:rsid w:val="0BA3635C"/>
    <w:rsid w:val="0BB97574"/>
    <w:rsid w:val="0BC00CD1"/>
    <w:rsid w:val="0BD13D63"/>
    <w:rsid w:val="0BD2469F"/>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09180E"/>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335FCF"/>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2086C"/>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5E1665"/>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D41753"/>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AD2577"/>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D309F5"/>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DD4856"/>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7523BF"/>
    <w:rsid w:val="327E6F70"/>
    <w:rsid w:val="32842C7F"/>
    <w:rsid w:val="32936E86"/>
    <w:rsid w:val="32A25D21"/>
    <w:rsid w:val="32A37D57"/>
    <w:rsid w:val="32C71536"/>
    <w:rsid w:val="32D2600C"/>
    <w:rsid w:val="32D3453B"/>
    <w:rsid w:val="32DF4670"/>
    <w:rsid w:val="32EA2A08"/>
    <w:rsid w:val="330E31CC"/>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91590A"/>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C75FCD"/>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446ADE"/>
    <w:rsid w:val="3F527DDB"/>
    <w:rsid w:val="3F540CAC"/>
    <w:rsid w:val="3F615F51"/>
    <w:rsid w:val="3F630E2C"/>
    <w:rsid w:val="3F663AF1"/>
    <w:rsid w:val="3F6A502A"/>
    <w:rsid w:val="3F701995"/>
    <w:rsid w:val="3F745623"/>
    <w:rsid w:val="3F750A83"/>
    <w:rsid w:val="3FB133E3"/>
    <w:rsid w:val="3FB76DA0"/>
    <w:rsid w:val="3FBB4AD5"/>
    <w:rsid w:val="3FCD1871"/>
    <w:rsid w:val="3FD56D83"/>
    <w:rsid w:val="3FF95F50"/>
    <w:rsid w:val="3FFC6ADD"/>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BB5C37"/>
    <w:rsid w:val="47C00927"/>
    <w:rsid w:val="47C77455"/>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C5274"/>
    <w:rsid w:val="4F3D7543"/>
    <w:rsid w:val="4F493595"/>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64DA2"/>
    <w:rsid w:val="503843C1"/>
    <w:rsid w:val="504D2554"/>
    <w:rsid w:val="505371FA"/>
    <w:rsid w:val="506568B4"/>
    <w:rsid w:val="50671CC4"/>
    <w:rsid w:val="506854FA"/>
    <w:rsid w:val="507D1A6C"/>
    <w:rsid w:val="50864B52"/>
    <w:rsid w:val="508F5B7B"/>
    <w:rsid w:val="508F73F7"/>
    <w:rsid w:val="509D6A89"/>
    <w:rsid w:val="509F26DC"/>
    <w:rsid w:val="50B4095B"/>
    <w:rsid w:val="50BC7F33"/>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481680"/>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83FFB"/>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31FCD"/>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2A570C"/>
    <w:rsid w:val="5A485301"/>
    <w:rsid w:val="5A555CC1"/>
    <w:rsid w:val="5A59393E"/>
    <w:rsid w:val="5A5F2E2A"/>
    <w:rsid w:val="5A7D16F7"/>
    <w:rsid w:val="5A987122"/>
    <w:rsid w:val="5A9D261C"/>
    <w:rsid w:val="5AF40473"/>
    <w:rsid w:val="5AF51E7B"/>
    <w:rsid w:val="5AFA7386"/>
    <w:rsid w:val="5AFC2C81"/>
    <w:rsid w:val="5AFC3484"/>
    <w:rsid w:val="5B034B28"/>
    <w:rsid w:val="5B041165"/>
    <w:rsid w:val="5B072087"/>
    <w:rsid w:val="5B0B7CCA"/>
    <w:rsid w:val="5B1404B2"/>
    <w:rsid w:val="5B180AFB"/>
    <w:rsid w:val="5B1E36B4"/>
    <w:rsid w:val="5B265FAB"/>
    <w:rsid w:val="5B3314C5"/>
    <w:rsid w:val="5B3A007A"/>
    <w:rsid w:val="5B41584A"/>
    <w:rsid w:val="5B4C1EBB"/>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6E7117"/>
    <w:rsid w:val="5C773B3D"/>
    <w:rsid w:val="5C96536E"/>
    <w:rsid w:val="5CAC5CE3"/>
    <w:rsid w:val="5CB24B52"/>
    <w:rsid w:val="5CB27FC1"/>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16713"/>
    <w:rsid w:val="5D4C1027"/>
    <w:rsid w:val="5D4E54EC"/>
    <w:rsid w:val="5D5624E6"/>
    <w:rsid w:val="5D575F7A"/>
    <w:rsid w:val="5D8B5EEF"/>
    <w:rsid w:val="5D976FE6"/>
    <w:rsid w:val="5D9D6031"/>
    <w:rsid w:val="5DC049BB"/>
    <w:rsid w:val="5DCA66CE"/>
    <w:rsid w:val="5DD80B16"/>
    <w:rsid w:val="5DE00538"/>
    <w:rsid w:val="5DE805A1"/>
    <w:rsid w:val="5DE81FDC"/>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961F1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9966DE"/>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3FE65DC"/>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7607C4"/>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5C44C1"/>
    <w:rsid w:val="66713BE8"/>
    <w:rsid w:val="66A87F68"/>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9E26DC"/>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13EC6"/>
    <w:rsid w:val="699B668C"/>
    <w:rsid w:val="699C5B6F"/>
    <w:rsid w:val="69DF74CC"/>
    <w:rsid w:val="69E37A76"/>
    <w:rsid w:val="69EF1390"/>
    <w:rsid w:val="69FF1303"/>
    <w:rsid w:val="6A021400"/>
    <w:rsid w:val="6A0F7652"/>
    <w:rsid w:val="6A1605BB"/>
    <w:rsid w:val="6A210EA2"/>
    <w:rsid w:val="6A251272"/>
    <w:rsid w:val="6A2F07FB"/>
    <w:rsid w:val="6A31079E"/>
    <w:rsid w:val="6A3C1774"/>
    <w:rsid w:val="6A3E3B5B"/>
    <w:rsid w:val="6A4B2081"/>
    <w:rsid w:val="6A550719"/>
    <w:rsid w:val="6A594444"/>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DC38F3"/>
    <w:rsid w:val="6BE26BB3"/>
    <w:rsid w:val="6BFC6ABA"/>
    <w:rsid w:val="6BFD1DE6"/>
    <w:rsid w:val="6C041C46"/>
    <w:rsid w:val="6C317095"/>
    <w:rsid w:val="6C533692"/>
    <w:rsid w:val="6C5D2536"/>
    <w:rsid w:val="6C665AAC"/>
    <w:rsid w:val="6C6F3DB1"/>
    <w:rsid w:val="6C755FE9"/>
    <w:rsid w:val="6C7C0677"/>
    <w:rsid w:val="6C9970D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54430"/>
    <w:rsid w:val="6DF85829"/>
    <w:rsid w:val="6E2518C8"/>
    <w:rsid w:val="6E255EA1"/>
    <w:rsid w:val="6E2D17E0"/>
    <w:rsid w:val="6E3866A9"/>
    <w:rsid w:val="6E3B7B6E"/>
    <w:rsid w:val="6E433E2B"/>
    <w:rsid w:val="6E4465E7"/>
    <w:rsid w:val="6E4E6597"/>
    <w:rsid w:val="6E5373B6"/>
    <w:rsid w:val="6E617B0D"/>
    <w:rsid w:val="6E7C7E16"/>
    <w:rsid w:val="6E832E67"/>
    <w:rsid w:val="6E8C03A7"/>
    <w:rsid w:val="6E8C5403"/>
    <w:rsid w:val="6E8F7155"/>
    <w:rsid w:val="6E9221CF"/>
    <w:rsid w:val="6E98638E"/>
    <w:rsid w:val="6EB00E57"/>
    <w:rsid w:val="6EE43DA2"/>
    <w:rsid w:val="6EFD37F3"/>
    <w:rsid w:val="6F1410FE"/>
    <w:rsid w:val="6F262CBD"/>
    <w:rsid w:val="6F277430"/>
    <w:rsid w:val="6F2D45E9"/>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80954"/>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1E19D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8222B8"/>
    <w:rsid w:val="7D8945EA"/>
    <w:rsid w:val="7D8C5CCC"/>
    <w:rsid w:val="7D997F31"/>
    <w:rsid w:val="7DAF2026"/>
    <w:rsid w:val="7DBD0C5D"/>
    <w:rsid w:val="7DFD60F4"/>
    <w:rsid w:val="7E052A08"/>
    <w:rsid w:val="7E115DC4"/>
    <w:rsid w:val="7E164475"/>
    <w:rsid w:val="7E241836"/>
    <w:rsid w:val="7E3C2E06"/>
    <w:rsid w:val="7E451B34"/>
    <w:rsid w:val="7E4F64E6"/>
    <w:rsid w:val="7E5A1F09"/>
    <w:rsid w:val="7E6C7EAC"/>
    <w:rsid w:val="7E7559EB"/>
    <w:rsid w:val="7E83571E"/>
    <w:rsid w:val="7E902FCC"/>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link w:val="26"/>
    <w:autoRedefine/>
    <w:qFormat/>
    <w:uiPriority w:val="0"/>
    <w:pPr>
      <w:jc w:val="left"/>
    </w:pPr>
  </w:style>
  <w:style w:type="paragraph" w:styleId="5">
    <w:name w:val="Body Text"/>
    <w:basedOn w:val="1"/>
    <w:next w:val="1"/>
    <w:autoRedefine/>
    <w:unhideWhenUsed/>
    <w:qFormat/>
    <w:uiPriority w:val="99"/>
  </w:style>
  <w:style w:type="paragraph" w:styleId="6">
    <w:name w:val="Body Text Indent"/>
    <w:basedOn w:val="1"/>
    <w:next w:val="7"/>
    <w:autoRedefine/>
    <w:qFormat/>
    <w:uiPriority w:val="0"/>
    <w:pPr>
      <w:spacing w:line="560" w:lineRule="exact"/>
      <w:ind w:firstLine="567"/>
    </w:pPr>
    <w:rPr>
      <w:rFonts w:ascii="宋体" w:hAnsi="宋体"/>
      <w:sz w:val="28"/>
    </w:rPr>
  </w:style>
  <w:style w:type="paragraph" w:styleId="7">
    <w:name w:val="toc 9"/>
    <w:basedOn w:val="1"/>
    <w:next w:val="1"/>
    <w:autoRedefine/>
    <w:qFormat/>
    <w:uiPriority w:val="39"/>
    <w:pPr>
      <w:spacing w:line="360" w:lineRule="auto"/>
      <w:ind w:left="2240" w:firstLine="567"/>
      <w:jc w:val="left"/>
    </w:pPr>
    <w:rPr>
      <w:spacing w:val="6"/>
      <w:sz w:val="18"/>
      <w:szCs w:val="18"/>
    </w:rPr>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Body Text Indent 2"/>
    <w:basedOn w:val="1"/>
    <w:next w:val="11"/>
    <w:autoRedefine/>
    <w:qFormat/>
    <w:uiPriority w:val="0"/>
    <w:pPr>
      <w:spacing w:line="400" w:lineRule="exact"/>
      <w:ind w:firstLine="573"/>
    </w:pPr>
    <w:rPr>
      <w:rFonts w:ascii="宋体" w:hAnsi="宋体"/>
      <w:sz w:val="28"/>
    </w:rPr>
  </w:style>
  <w:style w:type="paragraph" w:styleId="11">
    <w:name w:val="Body Text First Indent 2"/>
    <w:basedOn w:val="6"/>
    <w:next w:val="1"/>
    <w:autoRedefine/>
    <w:qFormat/>
    <w:uiPriority w:val="0"/>
    <w:pPr>
      <w:spacing w:after="120" w:line="240" w:lineRule="auto"/>
      <w:ind w:left="420" w:leftChars="200" w:firstLine="420"/>
    </w:pPr>
    <w:rPr>
      <w:sz w:val="21"/>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27"/>
    <w:autoRedefine/>
    <w:qFormat/>
    <w:uiPriority w:val="0"/>
    <w:rPr>
      <w:b/>
      <w:bCs/>
    </w:rPr>
  </w:style>
  <w:style w:type="character" w:styleId="18">
    <w:name w:val="annotation reference"/>
    <w:basedOn w:val="17"/>
    <w:autoRedefine/>
    <w:qFormat/>
    <w:uiPriority w:val="0"/>
    <w:rPr>
      <w:sz w:val="21"/>
      <w:szCs w:val="21"/>
    </w:rPr>
  </w:style>
  <w:style w:type="paragraph" w:customStyle="1" w:styleId="19">
    <w:name w:val="样式 小四 行距: 1.5 倍行距"/>
    <w:basedOn w:val="1"/>
    <w:autoRedefine/>
    <w:qFormat/>
    <w:uiPriority w:val="0"/>
    <w:pPr>
      <w:ind w:firstLine="480" w:firstLineChars="200"/>
    </w:pPr>
    <w:rPr>
      <w:rFonts w:cs="宋体"/>
    </w:rPr>
  </w:style>
  <w:style w:type="paragraph" w:customStyle="1" w:styleId="20">
    <w:name w:val="xl27"/>
    <w:basedOn w:val="1"/>
    <w:next w:val="2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A正文"/>
    <w:basedOn w:val="1"/>
    <w:autoRedefine/>
    <w:qFormat/>
    <w:uiPriority w:val="0"/>
    <w:pPr>
      <w:widowControl/>
      <w:overflowPunct w:val="0"/>
      <w:autoSpaceDE w:val="0"/>
      <w:autoSpaceDN w:val="0"/>
      <w:jc w:val="left"/>
      <w:textAlignment w:val="baseline"/>
    </w:pPr>
  </w:style>
  <w:style w:type="paragraph" w:customStyle="1" w:styleId="22">
    <w:name w:val="Default"/>
    <w:basedOn w:val="1"/>
    <w:link w:val="24"/>
    <w:autoRedefine/>
    <w:qFormat/>
    <w:uiPriority w:val="0"/>
    <w:pPr>
      <w:autoSpaceDE w:val="0"/>
      <w:autoSpaceDN w:val="0"/>
      <w:jc w:val="left"/>
    </w:pPr>
    <w:rPr>
      <w:rFonts w:hint="eastAsia" w:ascii="宋体" w:cs="宋体"/>
      <w:color w:val="000000"/>
      <w:kern w:val="0"/>
      <w:sz w:val="24"/>
    </w:rPr>
  </w:style>
  <w:style w:type="paragraph" w:customStyle="1" w:styleId="23">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4">
    <w:name w:val="Default Char Char"/>
    <w:link w:val="22"/>
    <w:autoRedefine/>
    <w:qFormat/>
    <w:locked/>
    <w:uiPriority w:val="0"/>
    <w:rPr>
      <w:rFonts w:ascii="宋体" w:cs="宋体"/>
      <w:color w:val="000000"/>
      <w:sz w:val="24"/>
      <w:szCs w:val="24"/>
    </w:rPr>
  </w:style>
  <w:style w:type="paragraph" w:styleId="25">
    <w:name w:val="List Paragraph"/>
    <w:basedOn w:val="1"/>
    <w:autoRedefine/>
    <w:qFormat/>
    <w:uiPriority w:val="34"/>
    <w:pPr>
      <w:ind w:firstLine="420" w:firstLineChars="200"/>
      <w:jc w:val="left"/>
    </w:pPr>
    <w:rPr>
      <w:rFonts w:asciiTheme="minorHAnsi" w:hAnsiTheme="minorHAnsi" w:eastAsiaTheme="minorEastAsia" w:cstheme="minorBidi"/>
      <w:kern w:val="0"/>
      <w:sz w:val="22"/>
      <w:szCs w:val="22"/>
      <w:lang w:eastAsia="en-US"/>
    </w:rPr>
  </w:style>
  <w:style w:type="character" w:customStyle="1" w:styleId="26">
    <w:name w:val="批注文字 字符"/>
    <w:basedOn w:val="17"/>
    <w:link w:val="4"/>
    <w:autoRedefine/>
    <w:qFormat/>
    <w:uiPriority w:val="0"/>
    <w:rPr>
      <w:kern w:val="2"/>
      <w:sz w:val="21"/>
      <w:szCs w:val="24"/>
    </w:rPr>
  </w:style>
  <w:style w:type="character" w:customStyle="1" w:styleId="27">
    <w:name w:val="批注主题 字符"/>
    <w:basedOn w:val="26"/>
    <w:link w:val="15"/>
    <w:autoRedefine/>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1845</Words>
  <Characters>1984</Characters>
  <Lines>16</Lines>
  <Paragraphs>4</Paragraphs>
  <TotalTime>0</TotalTime>
  <ScaleCrop>false</ScaleCrop>
  <LinksUpToDate>false</LinksUpToDate>
  <CharactersWithSpaces>1984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2023-11-09T06:38:00Z</dcterms:created>
  <dc:creator>john</dc:creator>
  <cp:lastModifiedBy>大成</cp:lastModifiedBy>
  <cp:lastPrinted>2025-01-10T00:38:25Z</cp:lastPrinted>
  <dcterms:modified xsi:type="dcterms:W3CDTF">2025-01-10T00:48:57Z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FF5759284FDE44A5B8B947F5C274E631_13</vt:lpwstr>
  </property>
  <property fmtid="{D5CDD505-2E9C-101B-9397-08002B2CF9AE}" pid="4" name="KSOTemplateDocerSaveRecord">
    <vt:lpwstr>eyJoZGlkIjoiNDAwNWM4ZGUwMTZhY2M5NDZhM2I3N2U1Zjc4NTZjYTAiLCJ1c2VySWQiOiIzMzAxMzkyODkifQ==</vt:lpwstr>
  </property>
</Properties>
</file>