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68BF0D">
      <w:pPr>
        <w:bidi w:val="0"/>
        <w:ind w:left="0" w:leftChars="0" w:firstLine="0" w:firstLineChars="0"/>
        <w:jc w:val="center"/>
        <w:rPr>
          <w:rFonts w:hint="eastAsia" w:ascii="方正小标宋_GBK" w:hAnsi="方正小标宋_GBK" w:eastAsia="方正小标宋_GBK" w:cs="方正小标宋_GBK"/>
          <w:color w:val="auto"/>
          <w:sz w:val="72"/>
          <w:szCs w:val="72"/>
          <w:lang w:val="en-US" w:eastAsia="zh-CN"/>
        </w:rPr>
      </w:pPr>
      <w:bookmarkStart w:id="0" w:name="_Toc26754"/>
    </w:p>
    <w:p w14:paraId="3230DE2C">
      <w:pPr>
        <w:bidi w:val="0"/>
        <w:ind w:left="0" w:leftChars="0" w:firstLine="0" w:firstLineChars="0"/>
        <w:jc w:val="center"/>
        <w:rPr>
          <w:rFonts w:hint="eastAsia" w:ascii="方正小标宋_GBK" w:hAnsi="方正小标宋_GBK" w:eastAsia="方正小标宋_GBK" w:cs="方正小标宋_GBK"/>
          <w:color w:val="auto"/>
          <w:sz w:val="72"/>
          <w:szCs w:val="72"/>
        </w:rPr>
      </w:pPr>
      <w:r>
        <w:rPr>
          <w:rFonts w:hint="eastAsia" w:ascii="方正小标宋_GBK" w:hAnsi="方正小标宋_GBK" w:eastAsia="方正小标宋_GBK" w:cs="方正小标宋_GBK"/>
          <w:color w:val="auto"/>
          <w:sz w:val="72"/>
          <w:szCs w:val="72"/>
        </w:rPr>
        <w:t>建设项目环境影响报告表</w:t>
      </w:r>
    </w:p>
    <w:p w14:paraId="2D46F103">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eastAsia="楷体"/>
          <w:bCs/>
          <w:color w:val="auto"/>
          <w:sz w:val="48"/>
          <w:szCs w:val="48"/>
        </w:rPr>
      </w:pPr>
      <w:r>
        <w:rPr>
          <w:rFonts w:eastAsia="楷体"/>
          <w:bCs/>
          <w:color w:val="auto"/>
          <w:sz w:val="48"/>
          <w:szCs w:val="48"/>
        </w:rPr>
        <w:t>（污染影响类）</w:t>
      </w:r>
    </w:p>
    <w:p w14:paraId="1027D0DF">
      <w:pPr>
        <w:bidi w:val="0"/>
        <w:rPr>
          <w:color w:val="auto"/>
        </w:rPr>
      </w:pPr>
    </w:p>
    <w:p w14:paraId="7CA382F6">
      <w:pPr>
        <w:jc w:val="both"/>
        <w:rPr>
          <w:rFonts w:eastAsia="仿宋"/>
          <w:color w:val="auto"/>
          <w:sz w:val="52"/>
          <w:szCs w:val="52"/>
        </w:rPr>
      </w:pPr>
    </w:p>
    <w:p w14:paraId="6EA572DD">
      <w:pPr>
        <w:ind w:firstLine="1040"/>
        <w:rPr>
          <w:rFonts w:eastAsia="仿宋"/>
          <w:color w:val="auto"/>
          <w:sz w:val="44"/>
          <w:szCs w:val="44"/>
        </w:rPr>
      </w:pPr>
    </w:p>
    <w:p w14:paraId="385B7CE8">
      <w:pPr>
        <w:ind w:firstLine="1040"/>
        <w:rPr>
          <w:rFonts w:eastAsia="仿宋"/>
          <w:color w:val="auto"/>
          <w:sz w:val="44"/>
          <w:szCs w:val="44"/>
        </w:rPr>
      </w:pPr>
    </w:p>
    <w:p w14:paraId="193681B9">
      <w:pPr>
        <w:ind w:firstLine="1040"/>
        <w:rPr>
          <w:rFonts w:eastAsia="仿宋"/>
          <w:color w:val="auto"/>
          <w:sz w:val="44"/>
          <w:szCs w:val="44"/>
        </w:rPr>
      </w:pPr>
    </w:p>
    <w:tbl>
      <w:tblPr>
        <w:tblStyle w:val="18"/>
        <w:tblW w:w="7799" w:type="dxa"/>
        <w:jc w:val="center"/>
        <w:tblLayout w:type="fixed"/>
        <w:tblCellMar>
          <w:top w:w="0" w:type="dxa"/>
          <w:left w:w="108" w:type="dxa"/>
          <w:bottom w:w="0" w:type="dxa"/>
          <w:right w:w="108" w:type="dxa"/>
        </w:tblCellMar>
      </w:tblPr>
      <w:tblGrid>
        <w:gridCol w:w="2348"/>
        <w:gridCol w:w="5451"/>
      </w:tblGrid>
      <w:tr w14:paraId="41ABA92F">
        <w:tblPrEx>
          <w:tblCellMar>
            <w:top w:w="0" w:type="dxa"/>
            <w:left w:w="108" w:type="dxa"/>
            <w:bottom w:w="0" w:type="dxa"/>
            <w:right w:w="108" w:type="dxa"/>
          </w:tblCellMar>
        </w:tblPrEx>
        <w:trPr>
          <w:trHeight w:val="698" w:hRule="atLeast"/>
          <w:jc w:val="center"/>
        </w:trPr>
        <w:tc>
          <w:tcPr>
            <w:tcW w:w="2348" w:type="dxa"/>
            <w:noWrap w:val="0"/>
            <w:vAlign w:val="center"/>
          </w:tcPr>
          <w:p w14:paraId="4C8A10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eastAsia="仿宋"/>
                <w:color w:val="auto"/>
                <w:sz w:val="36"/>
                <w:szCs w:val="36"/>
              </w:rPr>
            </w:pPr>
            <w:bookmarkStart w:id="1" w:name="_Hlk57884087"/>
            <w:r>
              <w:rPr>
                <w:rFonts w:eastAsia="仿宋"/>
                <w:color w:val="auto"/>
                <w:sz w:val="36"/>
                <w:szCs w:val="36"/>
              </w:rPr>
              <w:t>项目名称：</w:t>
            </w:r>
          </w:p>
        </w:tc>
        <w:tc>
          <w:tcPr>
            <w:tcW w:w="5451" w:type="dxa"/>
            <w:tcBorders>
              <w:bottom w:val="single" w:color="auto" w:sz="4" w:space="0"/>
            </w:tcBorders>
            <w:noWrap w:val="0"/>
            <w:vAlign w:val="center"/>
          </w:tcPr>
          <w:p w14:paraId="2A7DCB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仿宋"/>
                <w:color w:val="auto"/>
                <w:sz w:val="36"/>
                <w:szCs w:val="36"/>
              </w:rPr>
            </w:pPr>
            <w:r>
              <w:rPr>
                <w:rFonts w:hint="eastAsia" w:ascii="Times New Roman" w:hAnsi="Times New Roman" w:eastAsia="仿宋" w:cs="Times New Roman"/>
                <w:color w:val="auto"/>
                <w:sz w:val="36"/>
                <w:szCs w:val="36"/>
                <w:lang w:val="en-US" w:eastAsia="zh-CN"/>
              </w:rPr>
              <w:t>淮南市精神病医院山南院区及污水处理站项目</w:t>
            </w:r>
          </w:p>
        </w:tc>
      </w:tr>
      <w:tr w14:paraId="34A7F534">
        <w:tblPrEx>
          <w:tblCellMar>
            <w:top w:w="0" w:type="dxa"/>
            <w:left w:w="108" w:type="dxa"/>
            <w:bottom w:w="0" w:type="dxa"/>
            <w:right w:w="108" w:type="dxa"/>
          </w:tblCellMar>
        </w:tblPrEx>
        <w:trPr>
          <w:trHeight w:val="698" w:hRule="atLeast"/>
          <w:jc w:val="center"/>
        </w:trPr>
        <w:tc>
          <w:tcPr>
            <w:tcW w:w="2348" w:type="dxa"/>
            <w:noWrap w:val="0"/>
            <w:vAlign w:val="center"/>
          </w:tcPr>
          <w:p w14:paraId="493F38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eastAsia="仿宋"/>
                <w:color w:val="auto"/>
                <w:sz w:val="36"/>
                <w:szCs w:val="36"/>
              </w:rPr>
            </w:pPr>
            <w:r>
              <w:rPr>
                <w:rFonts w:eastAsia="仿宋"/>
                <w:color w:val="auto"/>
                <w:sz w:val="36"/>
                <w:szCs w:val="36"/>
              </w:rPr>
              <w:t>建设单位：</w:t>
            </w:r>
          </w:p>
        </w:tc>
        <w:tc>
          <w:tcPr>
            <w:tcW w:w="5451" w:type="dxa"/>
            <w:tcBorders>
              <w:top w:val="single" w:color="auto" w:sz="4" w:space="0"/>
              <w:bottom w:val="single" w:color="auto" w:sz="4" w:space="0"/>
            </w:tcBorders>
            <w:noWrap w:val="0"/>
            <w:vAlign w:val="center"/>
          </w:tcPr>
          <w:p w14:paraId="5526C2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仿宋"/>
                <w:color w:val="auto"/>
                <w:sz w:val="36"/>
                <w:szCs w:val="36"/>
                <w:lang w:val="en-US"/>
              </w:rPr>
            </w:pPr>
            <w:r>
              <w:rPr>
                <w:rFonts w:hint="eastAsia" w:eastAsia="仿宋" w:cs="Times New Roman"/>
                <w:color w:val="auto"/>
                <w:sz w:val="36"/>
                <w:szCs w:val="36"/>
                <w:lang w:val="en-US" w:eastAsia="zh-CN"/>
              </w:rPr>
              <w:t>淮南市精神病医院（淮南市第四人民医院）</w:t>
            </w:r>
          </w:p>
        </w:tc>
      </w:tr>
      <w:tr w14:paraId="44B75262">
        <w:tblPrEx>
          <w:tblCellMar>
            <w:top w:w="0" w:type="dxa"/>
            <w:left w:w="108" w:type="dxa"/>
            <w:bottom w:w="0" w:type="dxa"/>
            <w:right w:w="108" w:type="dxa"/>
          </w:tblCellMar>
        </w:tblPrEx>
        <w:trPr>
          <w:trHeight w:val="698" w:hRule="atLeast"/>
          <w:jc w:val="center"/>
        </w:trPr>
        <w:tc>
          <w:tcPr>
            <w:tcW w:w="2348" w:type="dxa"/>
            <w:noWrap w:val="0"/>
            <w:vAlign w:val="center"/>
          </w:tcPr>
          <w:p w14:paraId="53B6DD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eastAsia="仿宋"/>
                <w:color w:val="auto"/>
                <w:sz w:val="36"/>
                <w:szCs w:val="36"/>
              </w:rPr>
            </w:pPr>
            <w:r>
              <w:rPr>
                <w:rFonts w:eastAsia="仿宋"/>
                <w:color w:val="auto"/>
                <w:sz w:val="36"/>
                <w:szCs w:val="36"/>
              </w:rPr>
              <w:t>编制日期：</w:t>
            </w:r>
          </w:p>
        </w:tc>
        <w:tc>
          <w:tcPr>
            <w:tcW w:w="5451" w:type="dxa"/>
            <w:tcBorders>
              <w:top w:val="single" w:color="auto" w:sz="4" w:space="0"/>
              <w:bottom w:val="single" w:color="auto" w:sz="4" w:space="0"/>
            </w:tcBorders>
            <w:noWrap w:val="0"/>
            <w:vAlign w:val="center"/>
          </w:tcPr>
          <w:p w14:paraId="2B014A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仿宋"/>
                <w:color w:val="auto"/>
                <w:sz w:val="36"/>
                <w:szCs w:val="36"/>
              </w:rPr>
            </w:pPr>
            <w:r>
              <w:rPr>
                <w:rFonts w:hint="eastAsia" w:eastAsia="仿宋"/>
                <w:color w:val="auto"/>
                <w:sz w:val="36"/>
                <w:szCs w:val="36"/>
                <w:lang w:val="en-US" w:eastAsia="zh-CN"/>
              </w:rPr>
              <w:t>2025年1月</w:t>
            </w:r>
          </w:p>
        </w:tc>
      </w:tr>
    </w:tbl>
    <w:p w14:paraId="673B51CB">
      <w:pPr>
        <w:adjustRightInd w:val="0"/>
        <w:snapToGrid w:val="0"/>
        <w:spacing w:line="288" w:lineRule="auto"/>
        <w:ind w:firstLine="1040"/>
        <w:rPr>
          <w:rFonts w:eastAsia="仿宋"/>
          <w:color w:val="auto"/>
          <w:sz w:val="36"/>
          <w:szCs w:val="36"/>
          <w:u w:val="single"/>
        </w:rPr>
      </w:pPr>
    </w:p>
    <w:p w14:paraId="2409B5FF">
      <w:pPr>
        <w:rPr>
          <w:rFonts w:eastAsia="仿宋"/>
          <w:color w:val="auto"/>
          <w:sz w:val="36"/>
          <w:szCs w:val="36"/>
        </w:rPr>
      </w:pPr>
    </w:p>
    <w:p w14:paraId="6C28384A">
      <w:pPr>
        <w:pStyle w:val="14"/>
        <w:ind w:firstLine="723"/>
        <w:rPr>
          <w:rFonts w:eastAsia="仿宋"/>
          <w:color w:val="auto"/>
          <w:sz w:val="36"/>
          <w:szCs w:val="36"/>
        </w:rPr>
      </w:pPr>
    </w:p>
    <w:bookmarkEnd w:id="1"/>
    <w:p w14:paraId="0996FA93">
      <w:pPr>
        <w:ind w:left="0" w:leftChars="0" w:firstLine="0" w:firstLineChars="0"/>
        <w:jc w:val="center"/>
      </w:pPr>
      <w:r>
        <w:rPr>
          <w:rFonts w:eastAsia="楷体"/>
          <w:color w:val="auto"/>
          <w:sz w:val="36"/>
          <w:szCs w:val="36"/>
        </w:rPr>
        <w:t>中华人民共和国生态环境部制</w:t>
      </w:r>
    </w:p>
    <w:p w14:paraId="4A50AE7C">
      <w:pPr>
        <w:pStyle w:val="4"/>
        <w:ind w:firstLine="0" w:firstLineChars="0"/>
        <w:rPr>
          <w:rFonts w:hint="eastAsia"/>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737" w:footer="850" w:gutter="0"/>
          <w:pgBorders>
            <w:top w:val="none" w:sz="0" w:space="0"/>
            <w:left w:val="none" w:sz="0" w:space="0"/>
            <w:bottom w:val="none" w:sz="0" w:space="0"/>
            <w:right w:val="none" w:sz="0" w:space="0"/>
          </w:pgBorders>
          <w:pgNumType w:fmt="decimal" w:start="1"/>
          <w:cols w:space="720" w:num="1"/>
          <w:docGrid w:type="lines" w:linePitch="312" w:charSpace="0"/>
        </w:sectPr>
      </w:pPr>
    </w:p>
    <w:p w14:paraId="69A7B5F2">
      <w:pPr>
        <w:rPr>
          <w:rFonts w:hint="eastAsia"/>
        </w:rPr>
      </w:pPr>
    </w:p>
    <w:p w14:paraId="60556FD8">
      <w:pPr>
        <w:pStyle w:val="4"/>
        <w:ind w:firstLine="0" w:firstLineChars="0"/>
        <w:jc w:val="center"/>
      </w:pPr>
      <w:r>
        <w:rPr>
          <w:rFonts w:hint="eastAsia"/>
        </w:rPr>
        <w:t>一</w:t>
      </w:r>
      <w:r>
        <w:t>、建设项目基本情况</w:t>
      </w:r>
      <w:bookmarkEnd w:id="0"/>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2091"/>
        <w:gridCol w:w="1841"/>
        <w:gridCol w:w="3380"/>
      </w:tblGrid>
      <w:tr w14:paraId="58C8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10" w:type="dxa"/>
            <w:tcBorders>
              <w:tl2br w:val="nil"/>
              <w:tr2bl w:val="nil"/>
            </w:tcBorders>
            <w:vAlign w:val="center"/>
          </w:tcPr>
          <w:p w14:paraId="47C2868C">
            <w:pPr>
              <w:spacing w:line="240" w:lineRule="auto"/>
              <w:ind w:firstLine="0" w:firstLineChars="0"/>
              <w:jc w:val="center"/>
              <w:rPr>
                <w:color w:val="auto"/>
              </w:rPr>
            </w:pPr>
            <w:r>
              <w:rPr>
                <w:rFonts w:hint="eastAsia"/>
                <w:color w:val="auto"/>
              </w:rPr>
              <w:t>项目名称</w:t>
            </w:r>
          </w:p>
        </w:tc>
        <w:tc>
          <w:tcPr>
            <w:tcW w:w="7312" w:type="dxa"/>
            <w:gridSpan w:val="3"/>
            <w:tcBorders>
              <w:tl2br w:val="nil"/>
              <w:tr2bl w:val="nil"/>
            </w:tcBorders>
            <w:vAlign w:val="center"/>
          </w:tcPr>
          <w:p w14:paraId="110D02D7">
            <w:pPr>
              <w:spacing w:line="240" w:lineRule="auto"/>
              <w:ind w:firstLine="0" w:firstLineChars="0"/>
              <w:jc w:val="center"/>
              <w:rPr>
                <w:rFonts w:hint="default"/>
                <w:color w:val="auto"/>
                <w:lang w:val="en-US"/>
              </w:rPr>
            </w:pPr>
            <w:r>
              <w:rPr>
                <w:rFonts w:hint="eastAsia" w:eastAsiaTheme="minorEastAsia"/>
                <w:color w:val="auto"/>
                <w:szCs w:val="21"/>
                <w:lang w:val="en-US" w:eastAsia="zh-CN"/>
              </w:rPr>
              <w:t>淮南市精神病医院山南院区及污水处理站项目</w:t>
            </w:r>
          </w:p>
        </w:tc>
      </w:tr>
      <w:tr w14:paraId="3C41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10" w:type="dxa"/>
            <w:tcBorders>
              <w:tl2br w:val="nil"/>
              <w:tr2bl w:val="nil"/>
            </w:tcBorders>
            <w:vAlign w:val="center"/>
          </w:tcPr>
          <w:p w14:paraId="59CCFE0D">
            <w:pPr>
              <w:spacing w:line="240" w:lineRule="auto"/>
              <w:ind w:firstLine="0" w:firstLineChars="0"/>
              <w:jc w:val="center"/>
              <w:rPr>
                <w:color w:val="auto"/>
              </w:rPr>
            </w:pPr>
            <w:r>
              <w:rPr>
                <w:rFonts w:hint="eastAsia"/>
                <w:color w:val="auto"/>
              </w:rPr>
              <w:t>项目代码</w:t>
            </w:r>
          </w:p>
        </w:tc>
        <w:tc>
          <w:tcPr>
            <w:tcW w:w="7312" w:type="dxa"/>
            <w:gridSpan w:val="3"/>
            <w:tcBorders>
              <w:tl2br w:val="nil"/>
              <w:tr2bl w:val="nil"/>
            </w:tcBorders>
            <w:vAlign w:val="center"/>
          </w:tcPr>
          <w:p w14:paraId="2CC6ADEA">
            <w:pPr>
              <w:widowControl/>
              <w:spacing w:line="240" w:lineRule="auto"/>
              <w:ind w:firstLine="480"/>
              <w:jc w:val="center"/>
              <w:rPr>
                <w:rFonts w:hint="default" w:eastAsia="宋体"/>
                <w:b/>
                <w:bCs/>
                <w:color w:val="auto"/>
                <w:lang w:val="en-US" w:eastAsia="zh-CN"/>
              </w:rPr>
            </w:pPr>
            <w:r>
              <w:rPr>
                <w:rFonts w:hint="eastAsia"/>
                <w:color w:val="auto"/>
                <w:lang w:val="en-US" w:eastAsia="zh-CN"/>
              </w:rPr>
              <w:t>2411-340463-04-01-918290</w:t>
            </w:r>
          </w:p>
        </w:tc>
      </w:tr>
      <w:tr w14:paraId="5003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10" w:type="dxa"/>
            <w:tcBorders>
              <w:tl2br w:val="nil"/>
              <w:tr2bl w:val="nil"/>
            </w:tcBorders>
            <w:vAlign w:val="center"/>
          </w:tcPr>
          <w:p w14:paraId="3BB2942E">
            <w:pPr>
              <w:spacing w:line="240" w:lineRule="auto"/>
              <w:ind w:firstLine="0" w:firstLineChars="0"/>
              <w:jc w:val="center"/>
              <w:rPr>
                <w:color w:val="auto"/>
              </w:rPr>
            </w:pPr>
            <w:r>
              <w:rPr>
                <w:rFonts w:hint="eastAsia"/>
                <w:color w:val="auto"/>
              </w:rPr>
              <w:t>建设单位联系人</w:t>
            </w:r>
          </w:p>
        </w:tc>
        <w:tc>
          <w:tcPr>
            <w:tcW w:w="2091" w:type="dxa"/>
            <w:tcBorders>
              <w:tl2br w:val="nil"/>
              <w:tr2bl w:val="nil"/>
            </w:tcBorders>
            <w:vAlign w:val="center"/>
          </w:tcPr>
          <w:p w14:paraId="7F113C34">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方浩</w:t>
            </w:r>
          </w:p>
        </w:tc>
        <w:tc>
          <w:tcPr>
            <w:tcW w:w="1841" w:type="dxa"/>
            <w:tcBorders>
              <w:tl2br w:val="nil"/>
              <w:tr2bl w:val="nil"/>
            </w:tcBorders>
            <w:vAlign w:val="center"/>
          </w:tcPr>
          <w:p w14:paraId="6935F35A">
            <w:pPr>
              <w:spacing w:line="240" w:lineRule="auto"/>
              <w:ind w:firstLine="0" w:firstLineChars="0"/>
              <w:jc w:val="center"/>
              <w:rPr>
                <w:color w:val="auto"/>
                <w:highlight w:val="none"/>
              </w:rPr>
            </w:pPr>
            <w:r>
              <w:rPr>
                <w:rFonts w:hint="eastAsia"/>
                <w:color w:val="auto"/>
                <w:highlight w:val="none"/>
              </w:rPr>
              <w:t>联系方式</w:t>
            </w:r>
          </w:p>
        </w:tc>
        <w:tc>
          <w:tcPr>
            <w:tcW w:w="3380" w:type="dxa"/>
            <w:tcBorders>
              <w:tl2br w:val="nil"/>
              <w:tr2bl w:val="nil"/>
            </w:tcBorders>
            <w:vAlign w:val="center"/>
          </w:tcPr>
          <w:p w14:paraId="5C5E5BAB">
            <w:pPr>
              <w:spacing w:line="240" w:lineRule="auto"/>
              <w:ind w:firstLine="0" w:firstLineChars="0"/>
              <w:jc w:val="center"/>
              <w:rPr>
                <w:rFonts w:hint="default" w:eastAsia="宋体"/>
                <w:color w:val="auto"/>
                <w:highlight w:val="none"/>
                <w:lang w:val="en-US" w:eastAsia="zh-CN"/>
              </w:rPr>
            </w:pPr>
            <w:r>
              <w:rPr>
                <w:rFonts w:hint="default" w:eastAsia="宋体"/>
                <w:color w:val="auto"/>
                <w:highlight w:val="none"/>
                <w:lang w:val="en-US" w:eastAsia="zh-CN"/>
              </w:rPr>
              <w:t>18611523179</w:t>
            </w:r>
          </w:p>
        </w:tc>
      </w:tr>
      <w:tr w14:paraId="03A4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10" w:type="dxa"/>
            <w:tcBorders>
              <w:tl2br w:val="nil"/>
              <w:tr2bl w:val="nil"/>
            </w:tcBorders>
            <w:vAlign w:val="center"/>
          </w:tcPr>
          <w:p w14:paraId="1AE31784">
            <w:pPr>
              <w:spacing w:line="240" w:lineRule="auto"/>
              <w:ind w:firstLine="0" w:firstLineChars="0"/>
              <w:jc w:val="center"/>
              <w:rPr>
                <w:color w:val="auto"/>
              </w:rPr>
            </w:pPr>
            <w:r>
              <w:rPr>
                <w:rFonts w:hint="eastAsia"/>
                <w:color w:val="auto"/>
              </w:rPr>
              <w:t>建设地点</w:t>
            </w:r>
          </w:p>
        </w:tc>
        <w:tc>
          <w:tcPr>
            <w:tcW w:w="7312" w:type="dxa"/>
            <w:gridSpan w:val="3"/>
            <w:tcBorders>
              <w:tl2br w:val="nil"/>
              <w:tr2bl w:val="nil"/>
            </w:tcBorders>
            <w:vAlign w:val="center"/>
          </w:tcPr>
          <w:p w14:paraId="005F48A0">
            <w:pPr>
              <w:spacing w:line="240" w:lineRule="auto"/>
              <w:ind w:firstLine="0" w:firstLineChars="0"/>
              <w:jc w:val="center"/>
              <w:rPr>
                <w:rFonts w:hint="default" w:eastAsiaTheme="minorEastAsia"/>
                <w:color w:val="auto"/>
                <w:lang w:val="en-US" w:eastAsia="zh-CN"/>
              </w:rPr>
            </w:pPr>
            <w:r>
              <w:rPr>
                <w:rFonts w:hint="eastAsia" w:eastAsiaTheme="minorEastAsia"/>
                <w:color w:val="auto"/>
                <w:szCs w:val="21"/>
                <w:lang w:val="en-US" w:eastAsia="zh-CN"/>
              </w:rPr>
              <w:t>安徽省淮南市高新技术产业开发区市级福利保障区（南纬二路南侧，南纬三路北侧）</w:t>
            </w:r>
          </w:p>
        </w:tc>
      </w:tr>
      <w:tr w14:paraId="09DE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10" w:type="dxa"/>
            <w:tcBorders>
              <w:tl2br w:val="nil"/>
              <w:tr2bl w:val="nil"/>
            </w:tcBorders>
            <w:vAlign w:val="center"/>
          </w:tcPr>
          <w:p w14:paraId="092BE753">
            <w:pPr>
              <w:spacing w:line="240" w:lineRule="auto"/>
              <w:ind w:firstLine="0" w:firstLineChars="0"/>
              <w:jc w:val="center"/>
              <w:rPr>
                <w:color w:val="auto"/>
              </w:rPr>
            </w:pPr>
            <w:r>
              <w:rPr>
                <w:rFonts w:hint="eastAsia"/>
                <w:color w:val="auto"/>
              </w:rPr>
              <w:t>地理坐标</w:t>
            </w:r>
          </w:p>
        </w:tc>
        <w:tc>
          <w:tcPr>
            <w:tcW w:w="7312" w:type="dxa"/>
            <w:gridSpan w:val="3"/>
            <w:tcBorders>
              <w:tl2br w:val="nil"/>
              <w:tr2bl w:val="nil"/>
            </w:tcBorders>
            <w:vAlign w:val="center"/>
          </w:tcPr>
          <w:p w14:paraId="54A2E206">
            <w:pPr>
              <w:spacing w:line="240" w:lineRule="auto"/>
              <w:ind w:firstLine="0" w:firstLineChars="0"/>
              <w:jc w:val="center"/>
              <w:rPr>
                <w:color w:val="auto"/>
              </w:rPr>
            </w:pPr>
            <w:r>
              <w:rPr>
                <w:rFonts w:hint="eastAsia"/>
                <w:color w:val="auto"/>
              </w:rPr>
              <w:t>经度：</w:t>
            </w:r>
            <w:r>
              <w:rPr>
                <w:color w:val="auto"/>
              </w:rPr>
              <w:t>11</w:t>
            </w:r>
            <w:r>
              <w:rPr>
                <w:rFonts w:hint="eastAsia"/>
                <w:color w:val="auto"/>
                <w:lang w:val="en-US" w:eastAsia="zh-CN"/>
              </w:rPr>
              <w:t>6</w:t>
            </w:r>
            <w:r>
              <w:rPr>
                <w:rFonts w:hint="eastAsia"/>
                <w:color w:val="auto"/>
              </w:rPr>
              <w:t>度</w:t>
            </w:r>
            <w:r>
              <w:rPr>
                <w:rFonts w:hint="eastAsia"/>
                <w:color w:val="auto"/>
                <w:lang w:val="en-US" w:eastAsia="zh-CN"/>
              </w:rPr>
              <w:t>58</w:t>
            </w:r>
            <w:r>
              <w:rPr>
                <w:rFonts w:hint="eastAsia"/>
                <w:color w:val="auto"/>
              </w:rPr>
              <w:t>分</w:t>
            </w:r>
            <w:r>
              <w:rPr>
                <w:rFonts w:hint="eastAsia"/>
                <w:color w:val="auto"/>
                <w:lang w:val="en-US" w:eastAsia="zh-CN"/>
              </w:rPr>
              <w:t>22.006</w:t>
            </w:r>
            <w:r>
              <w:rPr>
                <w:rFonts w:hint="eastAsia"/>
                <w:color w:val="auto"/>
              </w:rPr>
              <w:t>秒，纬度：</w:t>
            </w:r>
            <w:r>
              <w:rPr>
                <w:color w:val="auto"/>
              </w:rPr>
              <w:t>32</w:t>
            </w:r>
            <w:r>
              <w:rPr>
                <w:rFonts w:hint="eastAsia"/>
                <w:color w:val="auto"/>
              </w:rPr>
              <w:t>度</w:t>
            </w:r>
            <w:r>
              <w:rPr>
                <w:rFonts w:hint="eastAsia"/>
                <w:color w:val="auto"/>
                <w:lang w:val="en-US" w:eastAsia="zh-CN"/>
              </w:rPr>
              <w:t>35</w:t>
            </w:r>
            <w:r>
              <w:rPr>
                <w:rFonts w:hint="eastAsia"/>
                <w:color w:val="auto"/>
              </w:rPr>
              <w:t>分</w:t>
            </w:r>
            <w:r>
              <w:rPr>
                <w:rFonts w:hint="eastAsia"/>
                <w:color w:val="auto"/>
                <w:lang w:val="en-US" w:eastAsia="zh-CN"/>
              </w:rPr>
              <w:t>40.380</w:t>
            </w:r>
            <w:r>
              <w:rPr>
                <w:rFonts w:hint="eastAsia"/>
                <w:color w:val="auto"/>
              </w:rPr>
              <w:t>秒</w:t>
            </w:r>
          </w:p>
        </w:tc>
      </w:tr>
      <w:tr w14:paraId="5F78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10" w:type="dxa"/>
            <w:tcBorders>
              <w:tl2br w:val="nil"/>
              <w:tr2bl w:val="nil"/>
            </w:tcBorders>
            <w:vAlign w:val="center"/>
          </w:tcPr>
          <w:p w14:paraId="74923398">
            <w:pPr>
              <w:spacing w:line="240" w:lineRule="auto"/>
              <w:ind w:firstLine="0" w:firstLineChars="0"/>
              <w:rPr>
                <w:color w:val="auto"/>
                <w:spacing w:val="2"/>
              </w:rPr>
            </w:pPr>
            <w:r>
              <w:rPr>
                <w:rFonts w:hint="eastAsia"/>
                <w:color w:val="auto"/>
                <w:spacing w:val="2"/>
              </w:rPr>
              <w:t>国民经济行业类别</w:t>
            </w:r>
          </w:p>
        </w:tc>
        <w:tc>
          <w:tcPr>
            <w:tcW w:w="2091" w:type="dxa"/>
            <w:tcBorders>
              <w:tl2br w:val="nil"/>
              <w:tr2bl w:val="nil"/>
            </w:tcBorders>
            <w:vAlign w:val="center"/>
          </w:tcPr>
          <w:p w14:paraId="3F95C531">
            <w:pPr>
              <w:spacing w:line="240" w:lineRule="auto"/>
              <w:ind w:firstLine="0" w:firstLineChars="0"/>
              <w:rPr>
                <w:rFonts w:hint="eastAsia" w:eastAsia="宋体"/>
                <w:color w:val="auto"/>
                <w:spacing w:val="2"/>
                <w:lang w:val="en-US" w:eastAsia="zh-CN"/>
              </w:rPr>
            </w:pPr>
            <w:r>
              <w:rPr>
                <w:rFonts w:hint="eastAsia" w:cs="Times New Roman"/>
                <w:color w:val="auto"/>
                <w:sz w:val="24"/>
                <w:lang w:eastAsia="zh-CN"/>
              </w:rPr>
              <w:t>Q8415 专科医院</w:t>
            </w:r>
          </w:p>
        </w:tc>
        <w:tc>
          <w:tcPr>
            <w:tcW w:w="1841" w:type="dxa"/>
            <w:tcBorders>
              <w:tl2br w:val="nil"/>
              <w:tr2bl w:val="nil"/>
            </w:tcBorders>
            <w:vAlign w:val="center"/>
          </w:tcPr>
          <w:p w14:paraId="2E36E9FC">
            <w:pPr>
              <w:spacing w:line="240" w:lineRule="auto"/>
              <w:ind w:firstLine="0" w:firstLineChars="0"/>
              <w:jc w:val="center"/>
              <w:rPr>
                <w:color w:val="auto"/>
              </w:rPr>
            </w:pPr>
            <w:r>
              <w:rPr>
                <w:rFonts w:hint="eastAsia"/>
                <w:color w:val="auto"/>
              </w:rPr>
              <w:t>建设项目行业类别</w:t>
            </w:r>
          </w:p>
        </w:tc>
        <w:tc>
          <w:tcPr>
            <w:tcW w:w="3380" w:type="dxa"/>
            <w:tcBorders>
              <w:tl2br w:val="nil"/>
              <w:tr2bl w:val="nil"/>
            </w:tcBorders>
            <w:vAlign w:val="center"/>
          </w:tcPr>
          <w:p w14:paraId="379B08E5">
            <w:pPr>
              <w:bidi w:val="0"/>
              <w:spacing w:line="240" w:lineRule="auto"/>
              <w:ind w:left="0" w:leftChars="0" w:firstLine="0" w:firstLineChars="0"/>
              <w:rPr>
                <w:rFonts w:hint="default" w:ascii="Times New Roman" w:hAnsi="Times New Roman" w:eastAsia="宋体" w:cs="Times New Roman"/>
                <w:color w:val="auto"/>
                <w:spacing w:val="-3"/>
                <w:lang w:val="en-US" w:eastAsia="zh-CN"/>
              </w:rPr>
            </w:pPr>
            <w:r>
              <w:rPr>
                <w:rFonts w:hint="default" w:ascii="Times New Roman" w:hAnsi="Times New Roman" w:eastAsia="宋体" w:cs="Times New Roman"/>
                <w:color w:val="auto"/>
                <w:spacing w:val="-3"/>
                <w:lang w:val="en-US" w:eastAsia="zh-CN"/>
              </w:rPr>
              <w:t>四十九、卫生 8</w:t>
            </w:r>
            <w:r>
              <w:rPr>
                <w:rFonts w:hint="eastAsia" w:cs="Times New Roman"/>
                <w:color w:val="auto"/>
                <w:spacing w:val="-3"/>
                <w:lang w:val="en-US" w:eastAsia="zh-CN"/>
              </w:rPr>
              <w:t xml:space="preserve">4 </w:t>
            </w:r>
            <w:r>
              <w:rPr>
                <w:rFonts w:hint="default" w:ascii="Times New Roman" w:hAnsi="Times New Roman" w:eastAsia="宋体" w:cs="Times New Roman"/>
                <w:color w:val="auto"/>
                <w:spacing w:val="-3"/>
                <w:lang w:val="en-US" w:eastAsia="zh-CN"/>
              </w:rPr>
              <w:t xml:space="preserve">108 </w:t>
            </w:r>
            <w:r>
              <w:rPr>
                <w:rFonts w:hint="eastAsia" w:cs="Times New Roman"/>
                <w:color w:val="auto"/>
                <w:spacing w:val="-3"/>
                <w:lang w:val="en-US" w:eastAsia="zh-CN"/>
              </w:rPr>
              <w:t>专科疾病防治院（所、站8432）</w:t>
            </w:r>
          </w:p>
        </w:tc>
      </w:tr>
      <w:tr w14:paraId="34C4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10" w:type="dxa"/>
            <w:tcBorders>
              <w:tl2br w:val="nil"/>
              <w:tr2bl w:val="nil"/>
            </w:tcBorders>
            <w:vAlign w:val="center"/>
          </w:tcPr>
          <w:p w14:paraId="46851134">
            <w:pPr>
              <w:spacing w:line="240" w:lineRule="auto"/>
              <w:ind w:firstLine="0" w:firstLineChars="0"/>
              <w:jc w:val="center"/>
              <w:rPr>
                <w:color w:val="auto"/>
              </w:rPr>
            </w:pPr>
            <w:r>
              <w:rPr>
                <w:rFonts w:hint="eastAsia"/>
                <w:color w:val="auto"/>
              </w:rPr>
              <w:t>建设性质</w:t>
            </w:r>
          </w:p>
        </w:tc>
        <w:tc>
          <w:tcPr>
            <w:tcW w:w="2091" w:type="dxa"/>
            <w:tcBorders>
              <w:tl2br w:val="nil"/>
              <w:tr2bl w:val="nil"/>
            </w:tcBorders>
            <w:vAlign w:val="center"/>
          </w:tcPr>
          <w:p w14:paraId="2F7DC0F1">
            <w:pPr>
              <w:spacing w:line="240" w:lineRule="auto"/>
              <w:ind w:firstLine="0" w:firstLineChars="0"/>
              <w:rPr>
                <w:color w:val="auto"/>
              </w:rPr>
            </w:pPr>
            <w:r>
              <w:rPr>
                <w:rFonts w:hint="eastAsia"/>
                <w:color w:val="auto"/>
                <w:lang w:eastAsia="zh-CN"/>
              </w:rPr>
              <w:t>☑</w:t>
            </w:r>
            <w:r>
              <w:rPr>
                <w:rFonts w:hint="eastAsia"/>
                <w:color w:val="auto"/>
              </w:rPr>
              <w:t>新建（迁建）</w:t>
            </w:r>
          </w:p>
          <w:p w14:paraId="0AB81941">
            <w:pPr>
              <w:spacing w:line="240" w:lineRule="auto"/>
              <w:ind w:firstLine="0" w:firstLineChars="0"/>
              <w:rPr>
                <w:color w:val="auto"/>
              </w:rPr>
            </w:pPr>
            <w:r>
              <w:rPr>
                <w:rFonts w:hint="eastAsia"/>
                <w:color w:val="auto"/>
              </w:rPr>
              <w:t>□改建</w:t>
            </w:r>
          </w:p>
          <w:p w14:paraId="49A95217">
            <w:pPr>
              <w:spacing w:line="240" w:lineRule="auto"/>
              <w:ind w:firstLine="0" w:firstLineChars="0"/>
              <w:rPr>
                <w:color w:val="auto"/>
              </w:rPr>
            </w:pPr>
            <w:r>
              <w:rPr>
                <w:rFonts w:hint="eastAsia"/>
                <w:color w:val="auto"/>
                <w:lang w:eastAsia="zh-CN"/>
              </w:rPr>
              <w:t>□</w:t>
            </w:r>
            <w:r>
              <w:rPr>
                <w:rFonts w:hint="eastAsia"/>
                <w:color w:val="auto"/>
              </w:rPr>
              <w:t>扩建</w:t>
            </w:r>
          </w:p>
          <w:p w14:paraId="774CA83F">
            <w:pPr>
              <w:spacing w:line="240" w:lineRule="auto"/>
              <w:ind w:firstLine="0" w:firstLineChars="0"/>
              <w:rPr>
                <w:color w:val="auto"/>
              </w:rPr>
            </w:pPr>
            <w:r>
              <w:rPr>
                <w:rFonts w:hint="eastAsia"/>
                <w:color w:val="auto"/>
                <w:lang w:eastAsia="zh-CN"/>
              </w:rPr>
              <w:t>□</w:t>
            </w:r>
            <w:r>
              <w:rPr>
                <w:rFonts w:hint="eastAsia"/>
                <w:color w:val="auto"/>
              </w:rPr>
              <w:t>技术改造</w:t>
            </w:r>
          </w:p>
        </w:tc>
        <w:tc>
          <w:tcPr>
            <w:tcW w:w="1841" w:type="dxa"/>
            <w:tcBorders>
              <w:tl2br w:val="nil"/>
              <w:tr2bl w:val="nil"/>
            </w:tcBorders>
            <w:vAlign w:val="center"/>
          </w:tcPr>
          <w:p w14:paraId="2B804F30">
            <w:pPr>
              <w:spacing w:line="240" w:lineRule="auto"/>
              <w:ind w:firstLine="0" w:firstLineChars="0"/>
              <w:jc w:val="center"/>
              <w:rPr>
                <w:color w:val="auto"/>
              </w:rPr>
            </w:pPr>
            <w:r>
              <w:rPr>
                <w:rFonts w:hint="eastAsia"/>
                <w:color w:val="auto"/>
              </w:rPr>
              <w:t>建设项目申报情形</w:t>
            </w:r>
          </w:p>
        </w:tc>
        <w:tc>
          <w:tcPr>
            <w:tcW w:w="3380" w:type="dxa"/>
            <w:tcBorders>
              <w:tl2br w:val="nil"/>
              <w:tr2bl w:val="nil"/>
            </w:tcBorders>
            <w:vAlign w:val="center"/>
          </w:tcPr>
          <w:p w14:paraId="1E617EDE">
            <w:pPr>
              <w:spacing w:before="82" w:line="240" w:lineRule="auto"/>
              <w:ind w:firstLine="0" w:firstLineChars="0"/>
              <w:rPr>
                <w:rFonts w:ascii="宋体" w:hAnsi="宋体"/>
                <w:color w:val="auto"/>
              </w:rPr>
            </w:pPr>
            <w:r>
              <w:rPr>
                <w:rFonts w:hint="eastAsia"/>
                <w:color w:val="auto"/>
              </w:rPr>
              <w:t>☑</w:t>
            </w:r>
            <w:r>
              <w:rPr>
                <w:rFonts w:hint="eastAsia" w:ascii="宋体" w:hAnsi="宋体"/>
                <w:color w:val="auto"/>
              </w:rPr>
              <w:t>首次申报项目</w:t>
            </w:r>
          </w:p>
          <w:p w14:paraId="2D4F0610">
            <w:pPr>
              <w:spacing w:before="5" w:line="240" w:lineRule="auto"/>
              <w:ind w:left="247" w:leftChars="3" w:hanging="240" w:hangingChars="100"/>
              <w:rPr>
                <w:rFonts w:ascii="宋体" w:hAnsi="宋体"/>
                <w:color w:val="auto"/>
              </w:rPr>
            </w:pPr>
            <w:r>
              <w:rPr>
                <w:rFonts w:hint="eastAsia"/>
                <w:color w:val="auto"/>
              </w:rPr>
              <w:t>□</w:t>
            </w:r>
            <w:r>
              <w:rPr>
                <w:rFonts w:hint="eastAsia" w:ascii="宋体" w:hAnsi="宋体"/>
                <w:color w:val="auto"/>
              </w:rPr>
              <w:t>不予批准后再次申报项目</w:t>
            </w:r>
          </w:p>
          <w:p w14:paraId="0A4EAD72">
            <w:pPr>
              <w:tabs>
                <w:tab w:val="left" w:pos="198"/>
              </w:tabs>
              <w:spacing w:before="2" w:line="240" w:lineRule="auto"/>
              <w:ind w:firstLine="0" w:firstLineChars="0"/>
              <w:rPr>
                <w:rFonts w:ascii="宋体" w:hAnsi="宋体"/>
                <w:color w:val="auto"/>
              </w:rPr>
            </w:pPr>
            <w:r>
              <w:rPr>
                <w:rFonts w:hint="eastAsia"/>
                <w:color w:val="auto"/>
              </w:rPr>
              <w:t>□</w:t>
            </w:r>
            <w:r>
              <w:rPr>
                <w:rFonts w:hint="eastAsia" w:ascii="宋体" w:hAnsi="宋体"/>
                <w:color w:val="auto"/>
                <w:spacing w:val="-3"/>
              </w:rPr>
              <w:t>超五年重新审核项目</w:t>
            </w:r>
          </w:p>
          <w:p w14:paraId="777D91C1">
            <w:pPr>
              <w:spacing w:before="5" w:line="240" w:lineRule="auto"/>
              <w:ind w:firstLine="0" w:firstLineChars="0"/>
              <w:rPr>
                <w:rFonts w:ascii="宋体" w:hAnsi="宋体"/>
                <w:color w:val="auto"/>
              </w:rPr>
            </w:pPr>
            <w:r>
              <w:rPr>
                <w:rFonts w:hint="eastAsia"/>
                <w:color w:val="auto"/>
              </w:rPr>
              <w:t>□</w:t>
            </w:r>
            <w:r>
              <w:rPr>
                <w:rFonts w:hint="eastAsia" w:ascii="宋体" w:hAnsi="宋体"/>
                <w:color w:val="auto"/>
              </w:rPr>
              <w:t>重大变动重新报批项目</w:t>
            </w:r>
          </w:p>
        </w:tc>
      </w:tr>
      <w:tr w14:paraId="4942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10" w:type="dxa"/>
            <w:tcBorders>
              <w:tl2br w:val="nil"/>
              <w:tr2bl w:val="nil"/>
            </w:tcBorders>
            <w:vAlign w:val="center"/>
          </w:tcPr>
          <w:p w14:paraId="4774F622">
            <w:pPr>
              <w:spacing w:line="240" w:lineRule="auto"/>
              <w:ind w:firstLine="0" w:firstLineChars="0"/>
              <w:jc w:val="center"/>
              <w:rPr>
                <w:color w:val="auto"/>
              </w:rPr>
            </w:pPr>
            <w:r>
              <w:rPr>
                <w:rFonts w:hint="eastAsia"/>
                <w:color w:val="auto"/>
              </w:rPr>
              <w:t>项目审批（核准/备案）部门</w:t>
            </w:r>
          </w:p>
        </w:tc>
        <w:tc>
          <w:tcPr>
            <w:tcW w:w="2091" w:type="dxa"/>
            <w:tcBorders>
              <w:tl2br w:val="nil"/>
              <w:tr2bl w:val="nil"/>
            </w:tcBorders>
            <w:vAlign w:val="center"/>
          </w:tcPr>
          <w:p w14:paraId="75D6EC1A">
            <w:pPr>
              <w:spacing w:line="240" w:lineRule="auto"/>
              <w:ind w:firstLine="0" w:firstLineChars="0"/>
              <w:jc w:val="center"/>
              <w:rPr>
                <w:rFonts w:hint="default" w:eastAsia="宋体"/>
                <w:color w:val="auto"/>
                <w:lang w:val="en-US" w:eastAsia="zh-CN"/>
              </w:rPr>
            </w:pPr>
            <w:r>
              <w:rPr>
                <w:rFonts w:hint="eastAsia"/>
                <w:color w:val="auto"/>
                <w:highlight w:val="none"/>
                <w:lang w:val="en-US" w:eastAsia="zh-CN"/>
              </w:rPr>
              <w:t>淮南高新技术产业开发区管理委员会经济发展局</w:t>
            </w:r>
          </w:p>
        </w:tc>
        <w:tc>
          <w:tcPr>
            <w:tcW w:w="1841" w:type="dxa"/>
            <w:tcBorders>
              <w:tl2br w:val="nil"/>
              <w:tr2bl w:val="nil"/>
            </w:tcBorders>
            <w:vAlign w:val="center"/>
          </w:tcPr>
          <w:p w14:paraId="36097766">
            <w:pPr>
              <w:spacing w:line="240" w:lineRule="auto"/>
              <w:ind w:firstLine="0" w:firstLineChars="0"/>
              <w:jc w:val="center"/>
              <w:rPr>
                <w:color w:val="auto"/>
              </w:rPr>
            </w:pPr>
            <w:r>
              <w:rPr>
                <w:rFonts w:hint="eastAsia"/>
                <w:color w:val="auto"/>
              </w:rPr>
              <w:t>项目审批（核准/备案）文号</w:t>
            </w:r>
          </w:p>
        </w:tc>
        <w:tc>
          <w:tcPr>
            <w:tcW w:w="3380" w:type="dxa"/>
            <w:tcBorders>
              <w:tl2br w:val="nil"/>
              <w:tr2bl w:val="nil"/>
            </w:tcBorders>
            <w:vAlign w:val="center"/>
          </w:tcPr>
          <w:p w14:paraId="659188FC">
            <w:pPr>
              <w:spacing w:line="240" w:lineRule="auto"/>
              <w:ind w:firstLine="0" w:firstLineChars="0"/>
              <w:jc w:val="center"/>
              <w:rPr>
                <w:color w:val="auto"/>
              </w:rPr>
            </w:pPr>
            <w:r>
              <w:rPr>
                <w:rFonts w:hint="eastAsia"/>
                <w:color w:val="auto"/>
              </w:rPr>
              <w:t>/</w:t>
            </w:r>
          </w:p>
        </w:tc>
      </w:tr>
      <w:tr w14:paraId="4278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10" w:type="dxa"/>
            <w:tcBorders>
              <w:tl2br w:val="nil"/>
              <w:tr2bl w:val="nil"/>
            </w:tcBorders>
            <w:vAlign w:val="center"/>
          </w:tcPr>
          <w:p w14:paraId="33F59CFA">
            <w:pPr>
              <w:spacing w:line="240" w:lineRule="auto"/>
              <w:ind w:firstLine="0" w:firstLineChars="0"/>
              <w:jc w:val="center"/>
              <w:rPr>
                <w:color w:val="auto"/>
              </w:rPr>
            </w:pPr>
            <w:r>
              <w:rPr>
                <w:rFonts w:hint="eastAsia"/>
                <w:color w:val="auto"/>
              </w:rPr>
              <w:t>总投资</w:t>
            </w:r>
          </w:p>
          <w:p w14:paraId="30D65D1D">
            <w:pPr>
              <w:spacing w:line="240" w:lineRule="auto"/>
              <w:ind w:firstLine="0" w:firstLineChars="0"/>
              <w:jc w:val="center"/>
              <w:rPr>
                <w:color w:val="auto"/>
              </w:rPr>
            </w:pPr>
            <w:r>
              <w:rPr>
                <w:rFonts w:hint="eastAsia"/>
                <w:color w:val="auto"/>
              </w:rPr>
              <w:t>（万元）</w:t>
            </w:r>
          </w:p>
        </w:tc>
        <w:tc>
          <w:tcPr>
            <w:tcW w:w="2091" w:type="dxa"/>
            <w:tcBorders>
              <w:tl2br w:val="nil"/>
              <w:tr2bl w:val="nil"/>
            </w:tcBorders>
            <w:vAlign w:val="center"/>
          </w:tcPr>
          <w:p w14:paraId="225027E8">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200</w:t>
            </w:r>
          </w:p>
        </w:tc>
        <w:tc>
          <w:tcPr>
            <w:tcW w:w="1841" w:type="dxa"/>
            <w:tcBorders>
              <w:tl2br w:val="nil"/>
              <w:tr2bl w:val="nil"/>
            </w:tcBorders>
            <w:vAlign w:val="center"/>
          </w:tcPr>
          <w:p w14:paraId="4C16D128">
            <w:pPr>
              <w:spacing w:line="240" w:lineRule="auto"/>
              <w:ind w:firstLine="0" w:firstLineChars="0"/>
              <w:jc w:val="center"/>
              <w:rPr>
                <w:color w:val="auto"/>
                <w:highlight w:val="none"/>
              </w:rPr>
            </w:pPr>
            <w:r>
              <w:rPr>
                <w:rFonts w:hint="eastAsia"/>
                <w:color w:val="auto"/>
                <w:highlight w:val="none"/>
              </w:rPr>
              <w:t>环保投资</w:t>
            </w:r>
          </w:p>
          <w:p w14:paraId="6CF8D6B9">
            <w:pPr>
              <w:spacing w:line="240" w:lineRule="auto"/>
              <w:ind w:firstLine="0" w:firstLineChars="0"/>
              <w:jc w:val="center"/>
              <w:rPr>
                <w:color w:val="auto"/>
                <w:highlight w:val="none"/>
              </w:rPr>
            </w:pPr>
            <w:r>
              <w:rPr>
                <w:rFonts w:hint="eastAsia"/>
                <w:color w:val="auto"/>
                <w:highlight w:val="none"/>
              </w:rPr>
              <w:t>（万元）</w:t>
            </w:r>
          </w:p>
        </w:tc>
        <w:tc>
          <w:tcPr>
            <w:tcW w:w="3380" w:type="dxa"/>
            <w:tcBorders>
              <w:tl2br w:val="nil"/>
              <w:tr2bl w:val="nil"/>
            </w:tcBorders>
            <w:vAlign w:val="center"/>
          </w:tcPr>
          <w:p w14:paraId="0C644E35">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80</w:t>
            </w:r>
          </w:p>
        </w:tc>
      </w:tr>
      <w:tr w14:paraId="770F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10" w:type="dxa"/>
            <w:tcBorders>
              <w:tl2br w:val="nil"/>
              <w:tr2bl w:val="nil"/>
            </w:tcBorders>
            <w:vAlign w:val="center"/>
          </w:tcPr>
          <w:p w14:paraId="48C0F79E">
            <w:pPr>
              <w:spacing w:line="240" w:lineRule="auto"/>
              <w:ind w:firstLine="0" w:firstLineChars="0"/>
              <w:jc w:val="center"/>
              <w:rPr>
                <w:color w:val="auto"/>
              </w:rPr>
            </w:pPr>
            <w:r>
              <w:rPr>
                <w:rFonts w:hint="eastAsia"/>
                <w:color w:val="auto"/>
              </w:rPr>
              <w:t>环保投资占比（%）</w:t>
            </w:r>
          </w:p>
        </w:tc>
        <w:tc>
          <w:tcPr>
            <w:tcW w:w="2091" w:type="dxa"/>
            <w:tcBorders>
              <w:tl2br w:val="nil"/>
              <w:tr2bl w:val="nil"/>
            </w:tcBorders>
            <w:vAlign w:val="center"/>
          </w:tcPr>
          <w:p w14:paraId="79FFA702">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40</w:t>
            </w:r>
          </w:p>
        </w:tc>
        <w:tc>
          <w:tcPr>
            <w:tcW w:w="1841" w:type="dxa"/>
            <w:tcBorders>
              <w:tl2br w:val="nil"/>
              <w:tr2bl w:val="nil"/>
            </w:tcBorders>
            <w:vAlign w:val="center"/>
          </w:tcPr>
          <w:p w14:paraId="3B823210">
            <w:pPr>
              <w:spacing w:line="240" w:lineRule="auto"/>
              <w:ind w:firstLine="0" w:firstLineChars="0"/>
              <w:jc w:val="center"/>
              <w:rPr>
                <w:color w:val="auto"/>
                <w:highlight w:val="none"/>
              </w:rPr>
            </w:pPr>
            <w:r>
              <w:rPr>
                <w:rFonts w:hint="eastAsia"/>
                <w:color w:val="auto"/>
                <w:highlight w:val="none"/>
              </w:rPr>
              <w:t>施工工期</w:t>
            </w:r>
          </w:p>
        </w:tc>
        <w:tc>
          <w:tcPr>
            <w:tcW w:w="3380" w:type="dxa"/>
            <w:tcBorders>
              <w:tl2br w:val="nil"/>
              <w:tr2bl w:val="nil"/>
            </w:tcBorders>
            <w:vAlign w:val="center"/>
          </w:tcPr>
          <w:p w14:paraId="17F1BDFE">
            <w:pPr>
              <w:spacing w:line="240" w:lineRule="auto"/>
              <w:ind w:firstLine="0" w:firstLineChars="0"/>
              <w:jc w:val="center"/>
              <w:rPr>
                <w:color w:val="auto"/>
                <w:highlight w:val="none"/>
              </w:rPr>
            </w:pPr>
            <w:r>
              <w:rPr>
                <w:rFonts w:hint="eastAsia"/>
                <w:color w:val="auto"/>
                <w:highlight w:val="none"/>
                <w:lang w:val="en-US" w:eastAsia="zh-CN"/>
              </w:rPr>
              <w:t>3</w:t>
            </w:r>
            <w:r>
              <w:rPr>
                <w:rFonts w:hint="eastAsia"/>
                <w:color w:val="auto"/>
                <w:highlight w:val="none"/>
              </w:rPr>
              <w:t>个月</w:t>
            </w:r>
          </w:p>
        </w:tc>
      </w:tr>
      <w:tr w14:paraId="169E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10" w:type="dxa"/>
            <w:tcBorders>
              <w:tl2br w:val="nil"/>
              <w:tr2bl w:val="nil"/>
            </w:tcBorders>
            <w:vAlign w:val="center"/>
          </w:tcPr>
          <w:p w14:paraId="20419C7F">
            <w:pPr>
              <w:spacing w:line="240" w:lineRule="auto"/>
              <w:ind w:firstLine="0" w:firstLineChars="0"/>
              <w:jc w:val="center"/>
              <w:rPr>
                <w:color w:val="auto"/>
              </w:rPr>
            </w:pPr>
            <w:r>
              <w:rPr>
                <w:rFonts w:hint="eastAsia"/>
                <w:color w:val="auto"/>
              </w:rPr>
              <w:t>是否开工建设</w:t>
            </w:r>
          </w:p>
        </w:tc>
        <w:tc>
          <w:tcPr>
            <w:tcW w:w="2091" w:type="dxa"/>
            <w:tcBorders>
              <w:tl2br w:val="nil"/>
              <w:tr2bl w:val="nil"/>
            </w:tcBorders>
            <w:vAlign w:val="center"/>
          </w:tcPr>
          <w:p w14:paraId="354B86C6">
            <w:pPr>
              <w:spacing w:line="240" w:lineRule="auto"/>
              <w:ind w:firstLine="0" w:firstLineChars="0"/>
              <w:rPr>
                <w:color w:val="auto"/>
                <w:highlight w:val="none"/>
              </w:rPr>
            </w:pPr>
            <w:r>
              <w:rPr>
                <w:rFonts w:hint="eastAsia"/>
                <w:color w:val="auto"/>
                <w:highlight w:val="none"/>
              </w:rPr>
              <w:t>☑否</w:t>
            </w:r>
          </w:p>
          <w:p w14:paraId="5CACFB84">
            <w:pPr>
              <w:spacing w:beforeLines="10" w:afterAutospacing="1" w:line="240" w:lineRule="auto"/>
              <w:ind w:firstLine="0" w:firstLineChars="0"/>
              <w:jc w:val="both"/>
              <w:rPr>
                <w:rFonts w:ascii="宋体" w:hAnsi="宋体" w:cs="宋体"/>
                <w:color w:val="auto"/>
                <w:highlight w:val="none"/>
              </w:rPr>
            </w:pPr>
            <w:r>
              <w:rPr>
                <w:rFonts w:hint="eastAsia"/>
                <w:color w:val="auto"/>
                <w:highlight w:val="none"/>
              </w:rPr>
              <w:t>□</w:t>
            </w:r>
            <w:r>
              <w:rPr>
                <w:rFonts w:hint="eastAsia" w:ascii="宋体" w:hAnsi="宋体"/>
                <w:color w:val="auto"/>
                <w:highlight w:val="none"/>
              </w:rPr>
              <w:t>是</w:t>
            </w:r>
          </w:p>
        </w:tc>
        <w:tc>
          <w:tcPr>
            <w:tcW w:w="1841" w:type="dxa"/>
            <w:tcBorders>
              <w:tl2br w:val="nil"/>
              <w:tr2bl w:val="nil"/>
            </w:tcBorders>
            <w:vAlign w:val="center"/>
          </w:tcPr>
          <w:p w14:paraId="4BAB0654">
            <w:pPr>
              <w:spacing w:before="78" w:line="240" w:lineRule="auto"/>
              <w:ind w:right="160" w:firstLine="0" w:firstLineChars="0"/>
              <w:jc w:val="center"/>
              <w:rPr>
                <w:color w:val="auto"/>
                <w:highlight w:val="none"/>
              </w:rPr>
            </w:pPr>
            <w:r>
              <w:rPr>
                <w:rFonts w:hint="eastAsia"/>
                <w:color w:val="auto"/>
                <w:highlight w:val="none"/>
              </w:rPr>
              <w:t>用地面积（㎡）</w:t>
            </w:r>
          </w:p>
        </w:tc>
        <w:tc>
          <w:tcPr>
            <w:tcW w:w="3380" w:type="dxa"/>
            <w:tcBorders>
              <w:tl2br w:val="nil"/>
              <w:tr2bl w:val="nil"/>
            </w:tcBorders>
            <w:vAlign w:val="center"/>
          </w:tcPr>
          <w:p w14:paraId="7A91A3D3">
            <w:pPr>
              <w:spacing w:line="240" w:lineRule="auto"/>
              <w:ind w:right="402" w:firstLine="480"/>
              <w:jc w:val="center"/>
              <w:rPr>
                <w:rFonts w:hint="default" w:eastAsia="宋体"/>
                <w:color w:val="auto"/>
                <w:highlight w:val="none"/>
                <w:lang w:val="en-US" w:eastAsia="zh-CN"/>
              </w:rPr>
            </w:pPr>
            <w:r>
              <w:rPr>
                <w:rFonts w:hint="eastAsia"/>
                <w:color w:val="auto"/>
                <w:highlight w:val="none"/>
                <w:lang w:val="en-US" w:eastAsia="zh-CN"/>
              </w:rPr>
              <w:t>13453</w:t>
            </w:r>
          </w:p>
        </w:tc>
      </w:tr>
      <w:tr w14:paraId="3910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10" w:type="dxa"/>
            <w:tcBorders>
              <w:tl2br w:val="nil"/>
              <w:tr2bl w:val="nil"/>
            </w:tcBorders>
            <w:vAlign w:val="center"/>
          </w:tcPr>
          <w:p w14:paraId="0A3E2E6F">
            <w:pPr>
              <w:spacing w:line="240" w:lineRule="auto"/>
              <w:ind w:firstLine="0" w:firstLineChars="0"/>
              <w:jc w:val="center"/>
              <w:rPr>
                <w:color w:val="auto"/>
              </w:rPr>
            </w:pPr>
            <w:r>
              <w:rPr>
                <w:rFonts w:hint="eastAsia"/>
                <w:color w:val="auto"/>
              </w:rPr>
              <w:t>专项评价设置情况</w:t>
            </w:r>
          </w:p>
        </w:tc>
        <w:tc>
          <w:tcPr>
            <w:tcW w:w="7312" w:type="dxa"/>
            <w:gridSpan w:val="3"/>
            <w:tcBorders>
              <w:tl2br w:val="nil"/>
              <w:tr2bl w:val="nil"/>
            </w:tcBorders>
            <w:vAlign w:val="center"/>
          </w:tcPr>
          <w:p w14:paraId="151D59C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color w:val="auto"/>
                <w:lang w:val="en-US" w:eastAsia="zh-CN"/>
              </w:rPr>
            </w:pPr>
            <w:r>
              <w:rPr>
                <w:rFonts w:hint="eastAsia"/>
                <w:color w:val="auto"/>
              </w:rPr>
              <w:t>根据《建设项目环境影响报告表编制技术指南</w:t>
            </w:r>
            <w:r>
              <w:rPr>
                <w:rFonts w:hint="eastAsia"/>
                <w:color w:val="auto"/>
                <w:lang w:eastAsia="zh-CN"/>
              </w:rPr>
              <w:t>（</w:t>
            </w:r>
            <w:r>
              <w:rPr>
                <w:rFonts w:hint="eastAsia"/>
                <w:color w:val="auto"/>
              </w:rPr>
              <w:t>污染影响类</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》可知，本项目</w:t>
            </w:r>
            <w:r>
              <w:rPr>
                <w:rFonts w:hint="eastAsia"/>
                <w:color w:val="auto"/>
                <w:lang w:val="en-US" w:eastAsia="zh-CN"/>
              </w:rPr>
              <w:t>无需设置</w:t>
            </w:r>
            <w:r>
              <w:rPr>
                <w:rFonts w:hint="eastAsia"/>
                <w:color w:val="auto"/>
              </w:rPr>
              <w:t>专项</w:t>
            </w:r>
            <w:r>
              <w:rPr>
                <w:rFonts w:hint="eastAsia"/>
                <w:color w:val="auto"/>
                <w:lang w:val="en-US" w:eastAsia="zh-CN"/>
              </w:rPr>
              <w:t>评价</w:t>
            </w:r>
            <w:r>
              <w:rPr>
                <w:rFonts w:hint="eastAsia"/>
                <w:color w:val="auto"/>
              </w:rPr>
              <w:t>，具体判定见</w:t>
            </w:r>
            <w:r>
              <w:rPr>
                <w:rFonts w:hint="eastAsia"/>
                <w:color w:val="auto"/>
                <w:lang w:val="en-US" w:eastAsia="zh-CN"/>
              </w:rPr>
              <w:t>下表。</w:t>
            </w:r>
          </w:p>
          <w:p w14:paraId="378721CA">
            <w:pPr>
              <w:pStyle w:val="27"/>
              <w:bidi w:val="0"/>
              <w:rPr>
                <w:rFonts w:hint="eastAsia"/>
                <w:lang w:val="en-US" w:eastAsia="zh-CN"/>
              </w:rPr>
            </w:pPr>
            <w:r>
              <w:rPr>
                <w:rFonts w:hint="eastAsia"/>
                <w:lang w:val="en-US" w:eastAsia="zh-CN"/>
              </w:rPr>
              <w:t>表1-1  专项评价设置原则表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2721"/>
              <w:gridCol w:w="2769"/>
            </w:tblGrid>
            <w:tr w14:paraId="4E50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1" w:type="dxa"/>
                  <w:vAlign w:val="center"/>
                </w:tcPr>
                <w:p w14:paraId="6C641D64">
                  <w:pPr>
                    <w:pStyle w:val="32"/>
                    <w:bidi w:val="0"/>
                    <w:rPr>
                      <w:rFonts w:hint="default"/>
                      <w:b/>
                      <w:bCs/>
                      <w:lang w:val="en-US" w:eastAsia="zh-CN"/>
                    </w:rPr>
                  </w:pPr>
                  <w:r>
                    <w:rPr>
                      <w:rFonts w:hint="eastAsia"/>
                      <w:b/>
                      <w:bCs/>
                      <w:lang w:val="en-US" w:eastAsia="zh-CN"/>
                    </w:rPr>
                    <w:t>专项评价的类别</w:t>
                  </w:r>
                </w:p>
              </w:tc>
              <w:tc>
                <w:tcPr>
                  <w:tcW w:w="2985" w:type="dxa"/>
                  <w:vAlign w:val="center"/>
                </w:tcPr>
                <w:p w14:paraId="60EF426A">
                  <w:pPr>
                    <w:pStyle w:val="32"/>
                    <w:bidi w:val="0"/>
                    <w:rPr>
                      <w:rFonts w:hint="default"/>
                      <w:b/>
                      <w:bCs/>
                      <w:lang w:val="en-US" w:eastAsia="zh-CN"/>
                    </w:rPr>
                  </w:pPr>
                  <w:r>
                    <w:rPr>
                      <w:rFonts w:hint="eastAsia"/>
                      <w:b/>
                      <w:bCs/>
                      <w:lang w:val="en-US" w:eastAsia="zh-CN"/>
                    </w:rPr>
                    <w:t>设置原则</w:t>
                  </w:r>
                </w:p>
              </w:tc>
              <w:tc>
                <w:tcPr>
                  <w:tcW w:w="3038" w:type="dxa"/>
                  <w:vAlign w:val="center"/>
                </w:tcPr>
                <w:p w14:paraId="2FE43249">
                  <w:pPr>
                    <w:pStyle w:val="32"/>
                    <w:bidi w:val="0"/>
                    <w:rPr>
                      <w:rFonts w:hint="default"/>
                      <w:b/>
                      <w:bCs/>
                      <w:lang w:val="en-US" w:eastAsia="zh-CN"/>
                    </w:rPr>
                  </w:pPr>
                  <w:r>
                    <w:rPr>
                      <w:rFonts w:hint="eastAsia"/>
                      <w:b/>
                      <w:bCs/>
                      <w:lang w:val="en-US" w:eastAsia="zh-CN"/>
                    </w:rPr>
                    <w:t>本项目情况</w:t>
                  </w:r>
                </w:p>
              </w:tc>
            </w:tr>
            <w:tr w14:paraId="41B8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1" w:type="dxa"/>
                  <w:vAlign w:val="center"/>
                </w:tcPr>
                <w:p w14:paraId="08B9ABEC">
                  <w:pPr>
                    <w:pStyle w:val="32"/>
                    <w:bidi w:val="0"/>
                    <w:rPr>
                      <w:rFonts w:hint="eastAsia"/>
                      <w:lang w:val="en-US" w:eastAsia="zh-CN"/>
                    </w:rPr>
                  </w:pPr>
                  <w:r>
                    <w:rPr>
                      <w:rFonts w:hint="eastAsia"/>
                      <w:lang w:val="en-US" w:eastAsia="zh-CN"/>
                    </w:rPr>
                    <w:t>大气</w:t>
                  </w:r>
                </w:p>
              </w:tc>
              <w:tc>
                <w:tcPr>
                  <w:tcW w:w="2985" w:type="dxa"/>
                  <w:vAlign w:val="center"/>
                </w:tcPr>
                <w:p w14:paraId="79354E05">
                  <w:pPr>
                    <w:pStyle w:val="32"/>
                    <w:bidi w:val="0"/>
                    <w:rPr>
                      <w:rFonts w:hint="default"/>
                      <w:lang w:val="en-US"/>
                    </w:rPr>
                  </w:pPr>
                  <w:r>
                    <w:rPr>
                      <w:rFonts w:hint="default"/>
                      <w:lang w:val="en-US"/>
                    </w:rPr>
                    <w:t>排放废气含有毒有害污染物1、二噁英、苯并[a]芘、氟化物、氯气且厂界外500米范围内有环境空气保护目标的建设项目</w:t>
                  </w:r>
                </w:p>
              </w:tc>
              <w:tc>
                <w:tcPr>
                  <w:tcW w:w="3038" w:type="dxa"/>
                  <w:vAlign w:val="center"/>
                </w:tcPr>
                <w:p w14:paraId="1010BF11">
                  <w:pPr>
                    <w:pStyle w:val="32"/>
                    <w:bidi w:val="0"/>
                    <w:rPr>
                      <w:rFonts w:hint="default" w:eastAsia="宋体"/>
                      <w:lang w:val="en-US" w:eastAsia="zh-CN"/>
                    </w:rPr>
                  </w:pPr>
                  <w:r>
                    <w:t>本项目排放废气</w:t>
                  </w:r>
                  <w:r>
                    <w:rPr>
                      <w:rFonts w:hint="eastAsia"/>
                      <w:lang w:val="en-US" w:eastAsia="zh-CN"/>
                    </w:rPr>
                    <w:t>中不含左列有毒有害污染物，无需进行大气专项评价</w:t>
                  </w:r>
                </w:p>
              </w:tc>
            </w:tr>
            <w:tr w14:paraId="7E72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1" w:type="dxa"/>
                  <w:vAlign w:val="center"/>
                </w:tcPr>
                <w:p w14:paraId="6F059B57">
                  <w:pPr>
                    <w:pStyle w:val="32"/>
                    <w:bidi w:val="0"/>
                    <w:rPr>
                      <w:rFonts w:hint="default"/>
                      <w:lang w:val="en-US" w:eastAsia="zh-CN"/>
                    </w:rPr>
                  </w:pPr>
                  <w:r>
                    <w:rPr>
                      <w:rFonts w:hint="eastAsia"/>
                      <w:lang w:val="en-US" w:eastAsia="zh-CN"/>
                    </w:rPr>
                    <w:t>地表水</w:t>
                  </w:r>
                </w:p>
              </w:tc>
              <w:tc>
                <w:tcPr>
                  <w:tcW w:w="2985" w:type="dxa"/>
                  <w:vAlign w:val="center"/>
                </w:tcPr>
                <w:p w14:paraId="0026AD36">
                  <w:pPr>
                    <w:pStyle w:val="32"/>
                    <w:bidi w:val="0"/>
                    <w:rPr>
                      <w:rFonts w:hint="default"/>
                      <w:lang w:val="en-US"/>
                    </w:rPr>
                  </w:pPr>
                  <w:r>
                    <w:rPr>
                      <w:rFonts w:hint="default"/>
                      <w:lang w:val="en-US"/>
                    </w:rPr>
                    <w:t>新增工业废水直排建设项目</w:t>
                  </w:r>
                  <w:r>
                    <w:rPr>
                      <w:rFonts w:hint="eastAsia"/>
                      <w:lang w:val="en-US" w:eastAsia="zh-CN"/>
                    </w:rPr>
                    <w:t>（</w:t>
                  </w:r>
                  <w:r>
                    <w:rPr>
                      <w:rFonts w:hint="default"/>
                      <w:lang w:val="en-US"/>
                    </w:rPr>
                    <w:t>槽罐车外送污水处理厂的除外</w:t>
                  </w:r>
                  <w:r>
                    <w:rPr>
                      <w:rFonts w:hint="eastAsia"/>
                      <w:lang w:val="en-US" w:eastAsia="zh-CN"/>
                    </w:rPr>
                    <w:t>）；</w:t>
                  </w:r>
                  <w:r>
                    <w:rPr>
                      <w:rFonts w:hint="default"/>
                      <w:lang w:val="en-US"/>
                    </w:rPr>
                    <w:t>新增废水直排的污水集中处理厂</w:t>
                  </w:r>
                </w:p>
              </w:tc>
              <w:tc>
                <w:tcPr>
                  <w:tcW w:w="3038" w:type="dxa"/>
                  <w:vAlign w:val="center"/>
                </w:tcPr>
                <w:p w14:paraId="79170B77">
                  <w:pPr>
                    <w:pStyle w:val="32"/>
                    <w:bidi w:val="0"/>
                    <w:rPr>
                      <w:rFonts w:hint="default"/>
                      <w:lang w:val="en-US"/>
                    </w:rPr>
                  </w:pPr>
                  <w:r>
                    <w:rPr>
                      <w:rFonts w:hint="default"/>
                      <w:lang w:val="en-US"/>
                    </w:rPr>
                    <w:t>项目</w:t>
                  </w:r>
                  <w:r>
                    <w:rPr>
                      <w:rFonts w:hint="eastAsia"/>
                      <w:lang w:val="en-US" w:eastAsia="zh-CN"/>
                    </w:rPr>
                    <w:t>综合医疗废水经污水处理站处理后经管网</w:t>
                  </w:r>
                  <w:r>
                    <w:rPr>
                      <w:rFonts w:hint="default"/>
                    </w:rPr>
                    <w:t>排入山南新区污水处理厂集中处理</w:t>
                  </w:r>
                  <w:r>
                    <w:rPr>
                      <w:rFonts w:hint="eastAsia"/>
                      <w:lang w:val="en-US" w:eastAsia="zh-CN"/>
                    </w:rPr>
                    <w:t>，</w:t>
                  </w:r>
                  <w:r>
                    <w:rPr>
                      <w:rFonts w:hint="default"/>
                      <w:lang w:val="en-US"/>
                    </w:rPr>
                    <w:t>无需进行地表水专项评价</w:t>
                  </w:r>
                </w:p>
              </w:tc>
            </w:tr>
            <w:tr w14:paraId="354F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1" w:type="dxa"/>
                  <w:vAlign w:val="center"/>
                </w:tcPr>
                <w:p w14:paraId="4B4B2596">
                  <w:pPr>
                    <w:pStyle w:val="32"/>
                    <w:bidi w:val="0"/>
                    <w:rPr>
                      <w:rFonts w:hint="default"/>
                      <w:lang w:val="en-US" w:eastAsia="zh-CN"/>
                    </w:rPr>
                  </w:pPr>
                  <w:r>
                    <w:rPr>
                      <w:rFonts w:hint="eastAsia"/>
                      <w:lang w:val="en-US" w:eastAsia="zh-CN"/>
                    </w:rPr>
                    <w:t>环境风险</w:t>
                  </w:r>
                </w:p>
              </w:tc>
              <w:tc>
                <w:tcPr>
                  <w:tcW w:w="2985" w:type="dxa"/>
                  <w:vAlign w:val="center"/>
                </w:tcPr>
                <w:p w14:paraId="5912E424">
                  <w:pPr>
                    <w:pStyle w:val="32"/>
                    <w:bidi w:val="0"/>
                    <w:rPr>
                      <w:rFonts w:hint="default"/>
                      <w:lang w:val="en-US"/>
                    </w:rPr>
                  </w:pPr>
                  <w:r>
                    <w:rPr>
                      <w:rFonts w:hint="default"/>
                      <w:lang w:val="en-US"/>
                    </w:rPr>
                    <w:t>有毒有害和易燃易爆危险物质存储量超过临界量的建设项目</w:t>
                  </w:r>
                </w:p>
              </w:tc>
              <w:tc>
                <w:tcPr>
                  <w:tcW w:w="3038" w:type="dxa"/>
                  <w:vAlign w:val="center"/>
                </w:tcPr>
                <w:p w14:paraId="37B5FCFC">
                  <w:pPr>
                    <w:pStyle w:val="32"/>
                    <w:bidi w:val="0"/>
                    <w:rPr>
                      <w:rFonts w:hint="default"/>
                      <w:lang w:val="en-US"/>
                    </w:rPr>
                  </w:pPr>
                  <w:r>
                    <w:rPr>
                      <w:rFonts w:hint="default"/>
                      <w:lang w:val="en-US"/>
                    </w:rPr>
                    <w:t>项目危险物质存储量未超过临界量，不需进行环境风险专项评价</w:t>
                  </w:r>
                </w:p>
              </w:tc>
            </w:tr>
            <w:tr w14:paraId="1BFC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1" w:type="dxa"/>
                  <w:vAlign w:val="center"/>
                </w:tcPr>
                <w:p w14:paraId="620E608A">
                  <w:pPr>
                    <w:pStyle w:val="32"/>
                    <w:bidi w:val="0"/>
                    <w:rPr>
                      <w:rFonts w:hint="default"/>
                      <w:lang w:val="en-US" w:eastAsia="zh-CN"/>
                    </w:rPr>
                  </w:pPr>
                  <w:r>
                    <w:rPr>
                      <w:rFonts w:hint="eastAsia"/>
                      <w:lang w:val="en-US" w:eastAsia="zh-CN"/>
                    </w:rPr>
                    <w:t>生态</w:t>
                  </w:r>
                </w:p>
              </w:tc>
              <w:tc>
                <w:tcPr>
                  <w:tcW w:w="2985" w:type="dxa"/>
                  <w:vAlign w:val="center"/>
                </w:tcPr>
                <w:p w14:paraId="23334531">
                  <w:pPr>
                    <w:pStyle w:val="32"/>
                    <w:bidi w:val="0"/>
                    <w:rPr>
                      <w:rFonts w:hint="default"/>
                      <w:lang w:val="en-US"/>
                    </w:rPr>
                  </w:pPr>
                  <w:r>
                    <w:rPr>
                      <w:rFonts w:hint="default"/>
                      <w:lang w:val="en-US"/>
                    </w:rPr>
                    <w:t>取水口下游500米范围内有重要水生生物的</w:t>
                  </w:r>
                  <w:r>
                    <w:rPr>
                      <w:rFonts w:hint="eastAsia"/>
                      <w:lang w:val="en-US" w:eastAsia="zh-CN"/>
                    </w:rPr>
                    <w:t>自然</w:t>
                  </w:r>
                  <w:r>
                    <w:rPr>
                      <w:rFonts w:hint="default"/>
                      <w:lang w:val="en-US"/>
                    </w:rPr>
                    <w:t>产卵场、索饵场、越冬场和洄游通道的新增河道取水的污染类建设项目</w:t>
                  </w:r>
                </w:p>
              </w:tc>
              <w:tc>
                <w:tcPr>
                  <w:tcW w:w="3038" w:type="dxa"/>
                  <w:vAlign w:val="center"/>
                </w:tcPr>
                <w:p w14:paraId="10D48DB2">
                  <w:pPr>
                    <w:pStyle w:val="32"/>
                    <w:bidi w:val="0"/>
                    <w:rPr>
                      <w:rFonts w:hint="default"/>
                      <w:lang w:val="en-US"/>
                    </w:rPr>
                  </w:pPr>
                  <w:r>
                    <w:rPr>
                      <w:rFonts w:hint="default"/>
                      <w:lang w:val="en-US"/>
                    </w:rPr>
                    <w:t>项目不</w:t>
                  </w:r>
                  <w:r>
                    <w:rPr>
                      <w:rFonts w:hint="eastAsia"/>
                      <w:lang w:val="en-US" w:eastAsia="zh-CN"/>
                    </w:rPr>
                    <w:t>设取水口，</w:t>
                  </w:r>
                  <w:r>
                    <w:rPr>
                      <w:rFonts w:hint="default"/>
                      <w:lang w:val="en-US"/>
                    </w:rPr>
                    <w:t>无需进行生态专项评价</w:t>
                  </w:r>
                </w:p>
              </w:tc>
            </w:tr>
            <w:tr w14:paraId="70E1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1" w:type="dxa"/>
                  <w:vAlign w:val="center"/>
                </w:tcPr>
                <w:p w14:paraId="27C56E77">
                  <w:pPr>
                    <w:pStyle w:val="32"/>
                    <w:bidi w:val="0"/>
                    <w:rPr>
                      <w:rFonts w:hint="default"/>
                      <w:lang w:val="en-US" w:eastAsia="zh-CN"/>
                    </w:rPr>
                  </w:pPr>
                  <w:r>
                    <w:rPr>
                      <w:rFonts w:hint="eastAsia"/>
                      <w:lang w:val="en-US" w:eastAsia="zh-CN"/>
                    </w:rPr>
                    <w:t>海洋</w:t>
                  </w:r>
                </w:p>
              </w:tc>
              <w:tc>
                <w:tcPr>
                  <w:tcW w:w="2985" w:type="dxa"/>
                  <w:vAlign w:val="center"/>
                </w:tcPr>
                <w:p w14:paraId="370E42ED">
                  <w:pPr>
                    <w:pStyle w:val="32"/>
                    <w:bidi w:val="0"/>
                    <w:rPr>
                      <w:rFonts w:hint="default"/>
                      <w:lang w:val="en-US"/>
                    </w:rPr>
                  </w:pPr>
                  <w:r>
                    <w:rPr>
                      <w:rFonts w:hint="default"/>
                      <w:lang w:val="en-US"/>
                    </w:rPr>
                    <w:t>直接向海排放污染物的海洋工程建设项目</w:t>
                  </w:r>
                </w:p>
              </w:tc>
              <w:tc>
                <w:tcPr>
                  <w:tcW w:w="3038" w:type="dxa"/>
                  <w:vAlign w:val="center"/>
                </w:tcPr>
                <w:p w14:paraId="3E1F9330">
                  <w:pPr>
                    <w:pStyle w:val="32"/>
                    <w:bidi w:val="0"/>
                    <w:rPr>
                      <w:rFonts w:hint="default"/>
                      <w:lang w:val="en-US"/>
                    </w:rPr>
                  </w:pPr>
                  <w:r>
                    <w:rPr>
                      <w:rFonts w:hint="default"/>
                      <w:lang w:val="en-US"/>
                    </w:rPr>
                    <w:t>项目未直接向海排放污染物，无需进行海洋专项评价</w:t>
                  </w:r>
                </w:p>
              </w:tc>
            </w:tr>
          </w:tbl>
          <w:p w14:paraId="0D7458FE">
            <w:pPr>
              <w:rPr>
                <w:rFonts w:hint="default"/>
                <w:color w:val="auto"/>
                <w:lang w:val="en-US"/>
              </w:rPr>
            </w:pPr>
          </w:p>
        </w:tc>
      </w:tr>
      <w:tr w14:paraId="323A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10" w:type="dxa"/>
            <w:tcBorders>
              <w:tl2br w:val="nil"/>
              <w:tr2bl w:val="nil"/>
            </w:tcBorders>
            <w:vAlign w:val="center"/>
          </w:tcPr>
          <w:p w14:paraId="08BE0230">
            <w:pPr>
              <w:ind w:firstLine="0" w:firstLineChars="0"/>
              <w:jc w:val="center"/>
              <w:rPr>
                <w:color w:val="auto"/>
              </w:rPr>
            </w:pPr>
            <w:r>
              <w:rPr>
                <w:rFonts w:hint="eastAsia"/>
                <w:color w:val="auto"/>
              </w:rPr>
              <w:t>规划情况</w:t>
            </w:r>
          </w:p>
        </w:tc>
        <w:tc>
          <w:tcPr>
            <w:tcW w:w="7312" w:type="dxa"/>
            <w:gridSpan w:val="3"/>
            <w:tcBorders>
              <w:tl2br w:val="nil"/>
              <w:tr2bl w:val="nil"/>
            </w:tcBorders>
            <w:vAlign w:val="center"/>
          </w:tcPr>
          <w:p w14:paraId="06161663">
            <w:pPr>
              <w:bidi w:val="0"/>
              <w:ind w:left="0" w:leftChars="0" w:firstLine="0" w:firstLineChars="0"/>
              <w:rPr>
                <w:rFonts w:hint="eastAsia"/>
                <w:lang w:val="en-US" w:eastAsia="zh-CN"/>
              </w:rPr>
            </w:pPr>
            <w:r>
              <w:rPr>
                <w:rFonts w:hint="eastAsia"/>
                <w:lang w:val="en-US" w:eastAsia="zh-CN"/>
              </w:rPr>
              <w:t>规划名称：《淮南市国土空间总体规划（2021-2035年）》</w:t>
            </w:r>
          </w:p>
          <w:p w14:paraId="41780F5B">
            <w:pPr>
              <w:bidi w:val="0"/>
              <w:ind w:left="0" w:leftChars="0" w:firstLine="0" w:firstLineChars="0"/>
            </w:pPr>
            <w:r>
              <w:rPr>
                <w:rFonts w:hint="eastAsia"/>
                <w:lang w:val="en-US" w:eastAsia="zh-CN"/>
              </w:rPr>
              <w:t>审批机关：安徽省人民政府</w:t>
            </w:r>
          </w:p>
          <w:p w14:paraId="2BD3A621">
            <w:pPr>
              <w:bidi w:val="0"/>
              <w:ind w:left="0" w:leftChars="0" w:firstLine="0" w:firstLineChars="0"/>
              <w:rPr>
                <w:lang w:val="en-US" w:eastAsia="zh-CN"/>
              </w:rPr>
            </w:pPr>
            <w:r>
              <w:rPr>
                <w:lang w:val="en-US" w:eastAsia="zh-CN"/>
              </w:rPr>
              <w:t>审批文件：《关于</w:t>
            </w:r>
            <w:r>
              <w:rPr>
                <w:rFonts w:hint="eastAsia"/>
                <w:lang w:val="en-US" w:eastAsia="zh-CN"/>
              </w:rPr>
              <w:t>淮南市国土空间总体规划（2021—2035年）的批复</w:t>
            </w:r>
            <w:r>
              <w:rPr>
                <w:lang w:val="en-US" w:eastAsia="zh-CN"/>
              </w:rPr>
              <w:t>》</w:t>
            </w:r>
          </w:p>
          <w:p w14:paraId="76B12A26">
            <w:pPr>
              <w:ind w:firstLine="0" w:firstLineChars="0"/>
              <w:jc w:val="both"/>
              <w:rPr>
                <w:color w:val="auto"/>
              </w:rPr>
            </w:pPr>
            <w:r>
              <w:t>审批文号：</w:t>
            </w:r>
            <w:r>
              <w:rPr>
                <w:rFonts w:hint="eastAsia"/>
                <w:lang w:val="en-US" w:eastAsia="zh-CN"/>
              </w:rPr>
              <w:t>皖政</w:t>
            </w:r>
            <w:r>
              <w:t>秘〔20</w:t>
            </w:r>
            <w:r>
              <w:rPr>
                <w:rFonts w:hint="eastAsia"/>
                <w:lang w:val="en-US" w:eastAsia="zh-CN"/>
              </w:rPr>
              <w:t>24</w:t>
            </w:r>
            <w:r>
              <w:t>〕</w:t>
            </w:r>
            <w:r>
              <w:rPr>
                <w:rFonts w:hint="eastAsia"/>
                <w:lang w:val="en-US" w:eastAsia="zh-CN"/>
              </w:rPr>
              <w:t>46</w:t>
            </w:r>
            <w:r>
              <w:t>号</w:t>
            </w:r>
          </w:p>
        </w:tc>
      </w:tr>
      <w:tr w14:paraId="3FF7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tcBorders>
              <w:tl2br w:val="nil"/>
              <w:tr2bl w:val="nil"/>
            </w:tcBorders>
            <w:vAlign w:val="center"/>
          </w:tcPr>
          <w:p w14:paraId="3B008CCA">
            <w:pPr>
              <w:bidi w:val="0"/>
              <w:ind w:left="0" w:leftChars="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规划环境影响评价情况</w:t>
            </w:r>
          </w:p>
        </w:tc>
        <w:tc>
          <w:tcPr>
            <w:tcW w:w="7312" w:type="dxa"/>
            <w:gridSpan w:val="3"/>
            <w:tcBorders>
              <w:tl2br w:val="nil"/>
              <w:tr2bl w:val="nil"/>
            </w:tcBorders>
            <w:vAlign w:val="center"/>
          </w:tcPr>
          <w:p w14:paraId="7A822548">
            <w:pPr>
              <w:bidi w:val="0"/>
              <w:ind w:left="0" w:leftChars="0"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w:t>
            </w:r>
          </w:p>
        </w:tc>
      </w:tr>
      <w:tr w14:paraId="3988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tcBorders>
              <w:tl2br w:val="nil"/>
              <w:tr2bl w:val="nil"/>
            </w:tcBorders>
            <w:vAlign w:val="center"/>
          </w:tcPr>
          <w:p w14:paraId="5098BECA">
            <w:pPr>
              <w:ind w:firstLine="0" w:firstLineChars="0"/>
              <w:jc w:val="center"/>
              <w:rPr>
                <w:color w:val="auto"/>
              </w:rPr>
            </w:pPr>
            <w:r>
              <w:rPr>
                <w:rFonts w:hint="eastAsia"/>
                <w:color w:val="auto"/>
              </w:rPr>
              <w:t>规划环境影响评价情况</w:t>
            </w:r>
          </w:p>
        </w:tc>
        <w:tc>
          <w:tcPr>
            <w:tcW w:w="7312" w:type="dxa"/>
            <w:gridSpan w:val="3"/>
            <w:tcBorders>
              <w:tl2br w:val="nil"/>
              <w:tr2bl w:val="nil"/>
            </w:tcBorders>
            <w:vAlign w:val="center"/>
          </w:tcPr>
          <w:p w14:paraId="0B827BD4">
            <w:pPr>
              <w:bidi w:val="0"/>
              <w:rPr>
                <w:rFonts w:hint="eastAsia"/>
                <w:b/>
                <w:bCs/>
                <w:lang w:val="en-US" w:eastAsia="zh-CN"/>
              </w:rPr>
            </w:pPr>
            <w:r>
              <w:rPr>
                <w:rFonts w:hint="default"/>
                <w:b/>
                <w:bCs/>
                <w:lang w:eastAsia="zh-CN"/>
              </w:rPr>
              <w:t>与</w:t>
            </w:r>
            <w:r>
              <w:rPr>
                <w:rFonts w:hint="default"/>
                <w:b/>
                <w:bCs/>
                <w:lang w:val="en-US" w:eastAsia="zh-CN"/>
              </w:rPr>
              <w:t>《淮南市国土空间总体规划（2021—2035年）》</w:t>
            </w:r>
            <w:r>
              <w:rPr>
                <w:rFonts w:hint="default"/>
                <w:b/>
                <w:bCs/>
                <w:lang w:eastAsia="zh-CN"/>
              </w:rPr>
              <w:t>相符性分析</w:t>
            </w:r>
          </w:p>
          <w:p w14:paraId="3A0BD9F0">
            <w:pPr>
              <w:keepNext w:val="0"/>
              <w:keepLines w:val="0"/>
              <w:pageBreakBefore w:val="0"/>
              <w:kinsoku/>
              <w:wordWrap w:val="0"/>
              <w:overflowPunct/>
              <w:topLinePunct w:val="0"/>
              <w:autoSpaceDE/>
              <w:autoSpaceDN/>
              <w:bidi w:val="0"/>
              <w:adjustRightInd/>
              <w:snapToGrid/>
              <w:spacing w:line="336" w:lineRule="auto"/>
              <w:textAlignment w:val="auto"/>
              <w:rPr>
                <w:color w:val="auto"/>
              </w:rPr>
            </w:pPr>
            <w:r>
              <w:rPr>
                <w:rFonts w:hint="eastAsia"/>
                <w:color w:val="000000" w:themeColor="text1"/>
                <w:lang w:val="en-US" w:eastAsia="zh-CN"/>
                <w14:textFill>
                  <w14:solidFill>
                    <w14:schemeClr w14:val="tx1"/>
                  </w14:solidFill>
                </w14:textFill>
              </w:rPr>
              <w:t>根据《淮南市国土空间总体规划（2021-2035年）》及建设单位提供的土地证，项目土地利用现状为公共设施用地</w:t>
            </w:r>
            <w:r>
              <w:rPr>
                <w:rFonts w:hint="eastAsia"/>
                <w:color w:val="000000" w:themeColor="text1"/>
                <w:highlight w:val="none"/>
                <w:lang w:val="en-US" w:eastAsia="zh-CN"/>
                <w14:textFill>
                  <w14:solidFill>
                    <w14:schemeClr w14:val="tx1"/>
                  </w14:solidFill>
                </w14:textFill>
              </w:rPr>
              <w:t>，不</w:t>
            </w:r>
            <w:r>
              <w:rPr>
                <w:rFonts w:hint="eastAsia"/>
                <w:color w:val="000000" w:themeColor="text1"/>
                <w:lang w:val="en-US" w:eastAsia="zh-CN"/>
                <w14:textFill>
                  <w14:solidFill>
                    <w14:schemeClr w14:val="tx1"/>
                  </w14:solidFill>
                </w14:textFill>
              </w:rPr>
              <w:t>占用基本农田，符合符合国家用地政策，地理位置优越，交通便利。本项目选址符合《淮南市国土空间总体规划（2021-2035年）》。</w:t>
            </w:r>
          </w:p>
        </w:tc>
      </w:tr>
      <w:tr w14:paraId="7F3E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0" w:type="dxa"/>
            <w:tcBorders>
              <w:tl2br w:val="nil"/>
              <w:tr2bl w:val="nil"/>
            </w:tcBorders>
            <w:vAlign w:val="center"/>
          </w:tcPr>
          <w:p w14:paraId="0FC04340">
            <w:pPr>
              <w:ind w:firstLine="0" w:firstLineChars="0"/>
              <w:jc w:val="center"/>
              <w:rPr>
                <w:color w:val="auto"/>
              </w:rPr>
            </w:pPr>
            <w:r>
              <w:rPr>
                <w:rFonts w:hint="eastAsia"/>
                <w:color w:val="auto"/>
              </w:rPr>
              <w:t>其他符合性分析</w:t>
            </w:r>
          </w:p>
        </w:tc>
        <w:tc>
          <w:tcPr>
            <w:tcW w:w="7312" w:type="dxa"/>
            <w:gridSpan w:val="3"/>
            <w:tcBorders>
              <w:tl2br w:val="nil"/>
              <w:tr2bl w:val="nil"/>
            </w:tcBorders>
            <w:vAlign w:val="center"/>
          </w:tcPr>
          <w:p w14:paraId="10BE6389">
            <w:pPr>
              <w:bidi w:val="0"/>
              <w:rPr>
                <w:rFonts w:hint="eastAsia"/>
                <w:b/>
                <w:bCs/>
                <w:lang w:val="en-US" w:eastAsia="zh-CN"/>
              </w:rPr>
            </w:pPr>
            <w:r>
              <w:rPr>
                <w:rFonts w:hint="eastAsia"/>
                <w:b/>
                <w:bCs/>
                <w:lang w:val="en-US" w:eastAsia="zh-CN"/>
              </w:rPr>
              <w:t>1、用地性质符合性分析</w:t>
            </w:r>
          </w:p>
          <w:p w14:paraId="30F63921">
            <w:pPr>
              <w:bidi w:val="0"/>
              <w:rPr>
                <w:rFonts w:hint="eastAsia"/>
                <w:lang w:val="en-US" w:eastAsia="zh-CN"/>
              </w:rPr>
            </w:pPr>
            <w:r>
              <w:rPr>
                <w:rFonts w:hint="eastAsia"/>
                <w:lang w:val="en-US" w:eastAsia="zh-CN"/>
              </w:rPr>
              <w:t>本项目位于淮南市市级福利保障区内，因淮南市第四人民医院病患较多，现有床位不能满足正常的医疗需求。因此利用福利院东南侧闲置楼建设淮南市精神病医院（淮南市第四人民医院）山南院区。项目用地性质为公共设施用地，土地证号为淮国用（2015）第030080号。</w:t>
            </w:r>
          </w:p>
          <w:p w14:paraId="66F1D675">
            <w:pPr>
              <w:bidi w:val="0"/>
              <w:rPr>
                <w:b/>
                <w:bCs/>
              </w:rPr>
            </w:pPr>
            <w:r>
              <w:rPr>
                <w:rFonts w:hint="eastAsia"/>
                <w:b/>
                <w:bCs/>
                <w:lang w:val="en-US" w:eastAsia="zh-CN"/>
              </w:rPr>
              <w:t>2、</w:t>
            </w:r>
            <w:r>
              <w:rPr>
                <w:b/>
                <w:bCs/>
              </w:rPr>
              <w:t>产业政策</w:t>
            </w:r>
            <w:r>
              <w:rPr>
                <w:rFonts w:hint="eastAsia"/>
                <w:b/>
                <w:bCs/>
              </w:rPr>
              <w:t>相符性</w:t>
            </w:r>
            <w:r>
              <w:rPr>
                <w:b/>
                <w:bCs/>
              </w:rPr>
              <w:t>分析</w:t>
            </w:r>
          </w:p>
          <w:p w14:paraId="10C652E9">
            <w:pPr>
              <w:bidi w:val="0"/>
              <w:rPr>
                <w:rFonts w:hint="eastAsia"/>
                <w:color w:val="auto"/>
              </w:rPr>
            </w:pPr>
            <w:r>
              <w:rPr>
                <w:rFonts w:hint="eastAsia"/>
                <w:color w:val="auto"/>
              </w:rPr>
              <w:t>根据国家发展和改革委员会发布实施的《产业结构调整指导目录(2024年本)》，本项目属于鼓励类，项目建设符合国家产业政策。</w:t>
            </w:r>
          </w:p>
          <w:p w14:paraId="18AF7C76">
            <w:pPr>
              <w:bidi w:val="0"/>
              <w:rPr>
                <w:b/>
                <w:bCs/>
              </w:rPr>
            </w:pPr>
            <w:r>
              <w:rPr>
                <w:rFonts w:hint="eastAsia"/>
                <w:b/>
                <w:bCs/>
                <w:lang w:val="en-US" w:eastAsia="zh-CN"/>
              </w:rPr>
              <w:t>3、</w:t>
            </w:r>
            <w:r>
              <w:rPr>
                <w:b/>
                <w:bCs/>
              </w:rPr>
              <w:t>与</w:t>
            </w:r>
            <w:r>
              <w:rPr>
                <w:rFonts w:hint="eastAsia"/>
                <w:b/>
                <w:bCs/>
                <w:lang w:eastAsia="zh-CN"/>
              </w:rPr>
              <w:t>“</w:t>
            </w:r>
            <w:r>
              <w:rPr>
                <w:b/>
                <w:bCs/>
              </w:rPr>
              <w:t>三线一单</w:t>
            </w:r>
            <w:r>
              <w:rPr>
                <w:rFonts w:hint="eastAsia"/>
                <w:b/>
                <w:bCs/>
                <w:lang w:eastAsia="zh-CN"/>
              </w:rPr>
              <w:t>”</w:t>
            </w:r>
            <w:r>
              <w:rPr>
                <w:b/>
                <w:bCs/>
              </w:rPr>
              <w:t>相符性分析</w:t>
            </w:r>
          </w:p>
          <w:p w14:paraId="25D143AE">
            <w:pPr>
              <w:spacing w:line="460" w:lineRule="exact"/>
              <w:ind w:firstLine="480"/>
              <w:rPr>
                <w:color w:val="auto"/>
              </w:rPr>
            </w:pPr>
            <w:r>
              <w:rPr>
                <w:rFonts w:hint="eastAsia" w:ascii="Times New Roman" w:hAnsi="Times New Roman" w:eastAsia="宋体" w:cs="Times New Roman"/>
                <w:b/>
                <w:bCs/>
                <w:color w:val="auto"/>
                <w:highlight w:val="none"/>
              </w:rPr>
              <w:t>（1）与以改善环境质量为核心加强环境影响评价管理的通知相符性</w:t>
            </w:r>
          </w:p>
          <w:p w14:paraId="60E87408">
            <w:pPr>
              <w:ind w:firstLine="480"/>
              <w:rPr>
                <w:color w:val="auto"/>
              </w:rPr>
            </w:pPr>
            <w:r>
              <w:rPr>
                <w:color w:val="auto"/>
              </w:rPr>
              <w:t>中华人民共和国环境保护部环环评</w:t>
            </w:r>
            <w:r>
              <w:rPr>
                <w:color w:val="auto"/>
                <w:lang w:val="zh-CN"/>
              </w:rPr>
              <w:t>〔201</w:t>
            </w:r>
            <w:r>
              <w:rPr>
                <w:color w:val="auto"/>
              </w:rPr>
              <w:t>6</w:t>
            </w:r>
            <w:r>
              <w:rPr>
                <w:color w:val="auto"/>
                <w:lang w:val="zh-CN"/>
              </w:rPr>
              <w:t>〕</w:t>
            </w:r>
            <w:r>
              <w:rPr>
                <w:color w:val="auto"/>
              </w:rPr>
              <w:t>150号文《关于以改善环境质量为核心加强环境影响评价管理的通知》要求：为适应以改善环境质量为核心的环境管理要求，切实加强环境影响评价（以下简称环评）管理，落实</w:t>
            </w:r>
            <w:r>
              <w:rPr>
                <w:rFonts w:hint="eastAsia"/>
                <w:color w:val="auto"/>
                <w:lang w:eastAsia="zh-CN"/>
              </w:rPr>
              <w:t>“</w:t>
            </w:r>
            <w:r>
              <w:rPr>
                <w:color w:val="auto"/>
              </w:rPr>
              <w:t>生态保护红线、环境质量底线、资源利用上线和环境准入负面清单</w:t>
            </w:r>
            <w:r>
              <w:rPr>
                <w:rFonts w:hint="eastAsia"/>
                <w:color w:val="auto"/>
                <w:lang w:eastAsia="zh-CN"/>
              </w:rPr>
              <w:t>”</w:t>
            </w:r>
            <w:r>
              <w:rPr>
                <w:color w:val="auto"/>
              </w:rPr>
              <w:t>（以下简称</w:t>
            </w:r>
            <w:r>
              <w:rPr>
                <w:rFonts w:hint="eastAsia"/>
                <w:color w:val="auto"/>
                <w:lang w:eastAsia="zh-CN"/>
              </w:rPr>
              <w:t>“</w:t>
            </w:r>
            <w:r>
              <w:rPr>
                <w:color w:val="auto"/>
              </w:rPr>
              <w:t>三线一单</w:t>
            </w:r>
            <w:r>
              <w:rPr>
                <w:rFonts w:hint="eastAsia"/>
                <w:color w:val="auto"/>
                <w:lang w:eastAsia="zh-CN"/>
              </w:rPr>
              <w:t>”</w:t>
            </w:r>
            <w:r>
              <w:rPr>
                <w:color w:val="auto"/>
              </w:rPr>
              <w:t>）约束，建立项目环评审批与规划环评、现有项目环境管理、区域环境质量联动机制（以下简称</w:t>
            </w:r>
            <w:r>
              <w:rPr>
                <w:rFonts w:hint="eastAsia"/>
                <w:color w:val="auto"/>
                <w:lang w:eastAsia="zh-CN"/>
              </w:rPr>
              <w:t>“</w:t>
            </w:r>
            <w:r>
              <w:rPr>
                <w:color w:val="auto"/>
              </w:rPr>
              <w:t>三挂钩</w:t>
            </w:r>
            <w:r>
              <w:rPr>
                <w:rFonts w:hint="eastAsia"/>
                <w:color w:val="auto"/>
                <w:lang w:eastAsia="zh-CN"/>
              </w:rPr>
              <w:t>”</w:t>
            </w:r>
            <w:r>
              <w:rPr>
                <w:color w:val="auto"/>
              </w:rPr>
              <w:t>机制），更好地发挥环评制度从源头防范环境污染和生态破坏的作用，加快推进改善环境质量。</w:t>
            </w:r>
          </w:p>
          <w:p w14:paraId="480E7951">
            <w:pPr>
              <w:spacing w:line="460" w:lineRule="exact"/>
              <w:ind w:firstLine="482"/>
              <w:rPr>
                <w:b/>
                <w:bCs/>
                <w:color w:val="auto"/>
                <w:lang w:val="zh-CN"/>
              </w:rPr>
            </w:pPr>
            <w:r>
              <w:rPr>
                <w:rFonts w:hint="eastAsia"/>
                <w:b/>
                <w:bCs/>
                <w:color w:val="auto"/>
              </w:rPr>
              <w:t>1</w:t>
            </w:r>
            <w:r>
              <w:rPr>
                <w:rFonts w:hint="eastAsia"/>
                <w:b/>
                <w:bCs/>
                <w:color w:val="auto"/>
                <w:lang w:eastAsia="zh-CN"/>
              </w:rPr>
              <w:t>）</w:t>
            </w:r>
            <w:r>
              <w:rPr>
                <w:b/>
                <w:bCs/>
                <w:color w:val="auto"/>
              </w:rPr>
              <w:t>生态保护红线</w:t>
            </w:r>
          </w:p>
          <w:p w14:paraId="2A2720DF">
            <w:pPr>
              <w:bidi w:val="0"/>
            </w:pPr>
            <w:r>
              <w:t>本项目位于</w:t>
            </w:r>
            <w:r>
              <w:rPr>
                <w:rFonts w:hint="eastAsia"/>
              </w:rPr>
              <w:t>安徽省淮南市</w:t>
            </w:r>
            <w:r>
              <w:rPr>
                <w:rFonts w:hint="eastAsia"/>
                <w:lang w:val="en-US" w:eastAsia="zh-CN"/>
              </w:rPr>
              <w:t>高新技术开发区民裕大街北侧</w:t>
            </w:r>
            <w:r>
              <w:t>，不在生态红线范围内。根据调查，建设项目影响范围内无重要生态影响功能区域，建设项目影响范围内无自然保护区、风景名胜区、森林公园、地质公园、重要湿地等特殊生态敏感区以及重要生态敏感区。因此，本项目的建设不违背生态红线区域保护规划的要求。拟建项目与</w:t>
            </w:r>
            <w:r>
              <w:rPr>
                <w:rFonts w:hint="eastAsia"/>
              </w:rPr>
              <w:t>淮南市</w:t>
            </w:r>
            <w:r>
              <w:t>生态保护红线区域分布的相对位置关系见</w:t>
            </w:r>
            <w:r>
              <w:rPr>
                <w:rFonts w:hint="eastAsia"/>
              </w:rPr>
              <w:t>附图</w:t>
            </w:r>
            <w:r>
              <w:t>2</w:t>
            </w:r>
            <w:r>
              <w:rPr>
                <w:lang w:val="zh-CN"/>
              </w:rPr>
              <w:t>。</w:t>
            </w:r>
          </w:p>
          <w:p w14:paraId="78B1D3D2">
            <w:pPr>
              <w:ind w:firstLine="482"/>
              <w:rPr>
                <w:b/>
                <w:bCs/>
                <w:color w:val="auto"/>
                <w:lang w:val="zh-CN"/>
              </w:rPr>
            </w:pPr>
            <w:r>
              <w:rPr>
                <w:rFonts w:hint="eastAsia"/>
                <w:b/>
                <w:bCs/>
                <w:color w:val="auto"/>
              </w:rPr>
              <w:t>2</w:t>
            </w:r>
            <w:r>
              <w:rPr>
                <w:rFonts w:hint="eastAsia"/>
                <w:b/>
                <w:bCs/>
                <w:color w:val="auto"/>
                <w:lang w:eastAsia="zh-CN"/>
              </w:rPr>
              <w:t>）</w:t>
            </w:r>
            <w:r>
              <w:rPr>
                <w:b/>
                <w:bCs/>
                <w:color w:val="auto"/>
                <w:lang w:val="zh-CN"/>
              </w:rPr>
              <w:t>环境质量底线</w:t>
            </w:r>
          </w:p>
          <w:p w14:paraId="7C5696A6">
            <w:pPr>
              <w:ind w:firstLine="480"/>
              <w:rPr>
                <w:color w:val="auto"/>
              </w:rPr>
            </w:pPr>
            <w:r>
              <w:rPr>
                <w:rFonts w:hint="eastAsia" w:ascii="宋体" w:hAnsi="宋体" w:cs="宋体"/>
                <w:color w:val="auto"/>
              </w:rPr>
              <w:t>根据淮南市人民政府网站公布的《</w:t>
            </w:r>
            <w:r>
              <w:rPr>
                <w:color w:val="auto"/>
              </w:rPr>
              <w:t>202</w:t>
            </w:r>
            <w:r>
              <w:rPr>
                <w:rFonts w:hint="eastAsia"/>
                <w:color w:val="auto"/>
              </w:rPr>
              <w:t>3</w:t>
            </w:r>
            <w:r>
              <w:rPr>
                <w:rFonts w:hint="eastAsia" w:ascii="宋体" w:hAnsi="宋体" w:cs="宋体"/>
                <w:color w:val="auto"/>
              </w:rPr>
              <w:t>年淮南市环境质量状况公报》，项目所在地的环境空气质量不达标，可吸入细颗粒物（</w:t>
            </w:r>
            <w:r>
              <w:rPr>
                <w:color w:val="auto"/>
              </w:rPr>
              <w:t>P</w:t>
            </w:r>
            <w:r>
              <w:rPr>
                <w:rFonts w:hint="eastAsia"/>
                <w:color w:val="auto"/>
              </w:rPr>
              <w:t>M</w:t>
            </w:r>
            <w:r>
              <w:rPr>
                <w:rFonts w:hint="eastAsia"/>
                <w:color w:val="auto"/>
                <w:vertAlign w:val="subscript"/>
              </w:rPr>
              <w:t>2.5</w:t>
            </w:r>
            <w:r>
              <w:rPr>
                <w:rFonts w:hint="eastAsia" w:ascii="宋体" w:hAnsi="宋体" w:cs="宋体"/>
                <w:color w:val="auto"/>
              </w:rPr>
              <w:t>）年均浓度超过《环境空气质量标准》（</w:t>
            </w:r>
            <w:r>
              <w:rPr>
                <w:color w:val="auto"/>
              </w:rPr>
              <w:t>GB3095-2012</w:t>
            </w:r>
            <w:r>
              <w:rPr>
                <w:rFonts w:hint="eastAsia" w:ascii="宋体" w:hAnsi="宋体" w:cs="宋体"/>
                <w:color w:val="auto"/>
              </w:rPr>
              <w:t>）及修改单中二级标准，超标倍数0.11。全市8个国控断面中优良水质比例为87.5%，Ⅳ类水质比例12.5%，总体水质状况良好；11个省控断面中优良水质比例为100%，总体水质状况优；淮南市区域噪声昼间平均等效声级为</w:t>
            </w:r>
            <w:r>
              <w:rPr>
                <w:rFonts w:hint="eastAsia"/>
                <w:color w:val="auto"/>
              </w:rPr>
              <w:t>51.2</w:t>
            </w:r>
            <w:r>
              <w:rPr>
                <w:color w:val="auto"/>
              </w:rPr>
              <w:t>dB</w:t>
            </w:r>
            <w:r>
              <w:rPr>
                <w:rFonts w:hint="eastAsia" w:ascii="宋体" w:hAnsi="宋体" w:cs="宋体"/>
                <w:color w:val="auto"/>
              </w:rPr>
              <w:t>（</w:t>
            </w:r>
            <w:r>
              <w:rPr>
                <w:color w:val="auto"/>
              </w:rPr>
              <w:t>A</w:t>
            </w:r>
            <w:r>
              <w:rPr>
                <w:rFonts w:hint="eastAsia" w:ascii="宋体" w:hAnsi="宋体" w:cs="宋体"/>
                <w:color w:val="auto"/>
              </w:rPr>
              <w:t>），噪声总体水平为</w:t>
            </w:r>
            <w:r>
              <w:rPr>
                <w:rFonts w:hint="eastAsia" w:ascii="宋体" w:hAnsi="宋体" w:cs="宋体"/>
                <w:color w:val="auto"/>
                <w:lang w:val="en-US" w:eastAsia="zh-CN"/>
              </w:rPr>
              <w:t>2</w:t>
            </w:r>
            <w:r>
              <w:rPr>
                <w:rFonts w:hint="eastAsia" w:ascii="宋体" w:hAnsi="宋体" w:cs="宋体"/>
                <w:color w:val="auto"/>
              </w:rPr>
              <w:t>级，声环境质量较好。</w:t>
            </w:r>
            <w:r>
              <w:rPr>
                <w:rFonts w:hint="eastAsia"/>
                <w:color w:val="auto"/>
              </w:rPr>
              <w:t>具体见下表。</w:t>
            </w:r>
          </w:p>
          <w:p w14:paraId="364A4288">
            <w:pPr>
              <w:pStyle w:val="27"/>
              <w:bidi w:val="0"/>
              <w:rPr>
                <w:rFonts w:hint="eastAsia"/>
              </w:rPr>
            </w:pPr>
          </w:p>
          <w:p w14:paraId="4E0C3B0A">
            <w:pPr>
              <w:pStyle w:val="27"/>
              <w:bidi w:val="0"/>
              <w:rPr>
                <w:rFonts w:hint="eastAsia"/>
              </w:rPr>
            </w:pPr>
          </w:p>
          <w:p w14:paraId="3E40425A">
            <w:pPr>
              <w:pStyle w:val="27"/>
              <w:bidi w:val="0"/>
            </w:pPr>
            <w:r>
              <w:rPr>
                <w:rFonts w:hint="eastAsia"/>
              </w:rPr>
              <w:t>表1-</w:t>
            </w:r>
            <w:r>
              <w:rPr>
                <w:rFonts w:hint="eastAsia"/>
                <w:lang w:val="en-US" w:eastAsia="zh-CN"/>
              </w:rPr>
              <w:t>2</w:t>
            </w:r>
            <w:r>
              <w:rPr>
                <w:rFonts w:hint="eastAsia"/>
              </w:rPr>
              <w:t xml:space="preserve"> </w:t>
            </w:r>
            <w:r>
              <w:rPr>
                <w:rFonts w:hint="eastAsia"/>
                <w:lang w:val="en-US" w:eastAsia="zh-CN"/>
              </w:rPr>
              <w:t xml:space="preserve"> </w:t>
            </w:r>
            <w:r>
              <w:rPr>
                <w:rFonts w:hint="eastAsia"/>
              </w:rPr>
              <w:t>2023年度环境质量状况</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481"/>
              <w:gridCol w:w="1086"/>
              <w:gridCol w:w="1066"/>
              <w:gridCol w:w="1150"/>
              <w:gridCol w:w="1187"/>
            </w:tblGrid>
            <w:tr w14:paraId="5D13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noWrap/>
                  <w:vAlign w:val="center"/>
                </w:tcPr>
                <w:p w14:paraId="1BE41361">
                  <w:pPr>
                    <w:pStyle w:val="32"/>
                    <w:bidi w:val="0"/>
                    <w:rPr>
                      <w:b/>
                      <w:bCs/>
                    </w:rPr>
                  </w:pPr>
                  <w:r>
                    <w:rPr>
                      <w:rFonts w:hint="eastAsia"/>
                      <w:b/>
                      <w:bCs/>
                    </w:rPr>
                    <w:t>环境要素</w:t>
                  </w:r>
                </w:p>
              </w:tc>
              <w:tc>
                <w:tcPr>
                  <w:tcW w:w="1045" w:type="pct"/>
                  <w:noWrap/>
                  <w:vAlign w:val="center"/>
                </w:tcPr>
                <w:p w14:paraId="67B46C5B">
                  <w:pPr>
                    <w:pStyle w:val="32"/>
                    <w:bidi w:val="0"/>
                    <w:rPr>
                      <w:b/>
                      <w:bCs/>
                    </w:rPr>
                  </w:pPr>
                  <w:r>
                    <w:rPr>
                      <w:rFonts w:hint="eastAsia"/>
                      <w:b/>
                      <w:bCs/>
                    </w:rPr>
                    <w:t>评价因子</w:t>
                  </w:r>
                </w:p>
              </w:tc>
              <w:tc>
                <w:tcPr>
                  <w:tcW w:w="766" w:type="pct"/>
                  <w:noWrap/>
                  <w:vAlign w:val="center"/>
                </w:tcPr>
                <w:p w14:paraId="5F861B22">
                  <w:pPr>
                    <w:pStyle w:val="32"/>
                    <w:bidi w:val="0"/>
                    <w:rPr>
                      <w:b/>
                      <w:bCs/>
                    </w:rPr>
                  </w:pPr>
                  <w:r>
                    <w:rPr>
                      <w:rFonts w:hint="eastAsia"/>
                      <w:b/>
                      <w:bCs/>
                    </w:rPr>
                    <w:t>监测值</w:t>
                  </w:r>
                </w:p>
              </w:tc>
              <w:tc>
                <w:tcPr>
                  <w:tcW w:w="752" w:type="pct"/>
                  <w:noWrap/>
                  <w:vAlign w:val="center"/>
                </w:tcPr>
                <w:p w14:paraId="454C15DF">
                  <w:pPr>
                    <w:pStyle w:val="32"/>
                    <w:bidi w:val="0"/>
                    <w:rPr>
                      <w:b/>
                      <w:bCs/>
                    </w:rPr>
                  </w:pPr>
                  <w:r>
                    <w:rPr>
                      <w:rFonts w:hint="eastAsia"/>
                      <w:b/>
                      <w:bCs/>
                    </w:rPr>
                    <w:t>标准值</w:t>
                  </w:r>
                </w:p>
              </w:tc>
              <w:tc>
                <w:tcPr>
                  <w:tcW w:w="812" w:type="pct"/>
                  <w:noWrap/>
                  <w:vAlign w:val="center"/>
                </w:tcPr>
                <w:p w14:paraId="4FBE58C9">
                  <w:pPr>
                    <w:pStyle w:val="32"/>
                    <w:bidi w:val="0"/>
                    <w:rPr>
                      <w:b/>
                      <w:bCs/>
                    </w:rPr>
                  </w:pPr>
                  <w:r>
                    <w:rPr>
                      <w:rFonts w:hint="eastAsia"/>
                      <w:b/>
                      <w:bCs/>
                    </w:rPr>
                    <w:t>是否达标</w:t>
                  </w:r>
                </w:p>
              </w:tc>
              <w:tc>
                <w:tcPr>
                  <w:tcW w:w="838" w:type="pct"/>
                  <w:noWrap/>
                  <w:vAlign w:val="center"/>
                </w:tcPr>
                <w:p w14:paraId="0091A995">
                  <w:pPr>
                    <w:pStyle w:val="32"/>
                    <w:bidi w:val="0"/>
                    <w:rPr>
                      <w:b/>
                      <w:bCs/>
                    </w:rPr>
                  </w:pPr>
                  <w:r>
                    <w:rPr>
                      <w:rFonts w:hint="eastAsia"/>
                      <w:b/>
                      <w:bCs/>
                    </w:rPr>
                    <w:t>超标倍数</w:t>
                  </w:r>
                </w:p>
              </w:tc>
            </w:tr>
            <w:tr w14:paraId="7ABF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Merge w:val="restart"/>
                  <w:noWrap/>
                  <w:vAlign w:val="center"/>
                </w:tcPr>
                <w:p w14:paraId="38277455">
                  <w:pPr>
                    <w:pStyle w:val="32"/>
                    <w:bidi w:val="0"/>
                  </w:pPr>
                  <w:r>
                    <w:rPr>
                      <w:rFonts w:hint="eastAsia"/>
                    </w:rPr>
                    <w:t>环境空气</w:t>
                  </w:r>
                </w:p>
              </w:tc>
              <w:tc>
                <w:tcPr>
                  <w:tcW w:w="1045" w:type="pct"/>
                  <w:noWrap/>
                  <w:vAlign w:val="center"/>
                </w:tcPr>
                <w:p w14:paraId="3252DD0D">
                  <w:pPr>
                    <w:pStyle w:val="32"/>
                    <w:bidi w:val="0"/>
                  </w:pPr>
                  <w:r>
                    <w:t>SO</w:t>
                  </w:r>
                  <w:r>
                    <w:rPr>
                      <w:vertAlign w:val="subscript"/>
                    </w:rPr>
                    <w:t>2</w:t>
                  </w:r>
                  <w:r>
                    <w:rPr>
                      <w:rFonts w:hint="eastAsia"/>
                    </w:rPr>
                    <w:t>(</w:t>
                  </w:r>
                  <w:r>
                    <w:rPr>
                      <w:rFonts w:hint="default"/>
                    </w:rPr>
                    <w:t>μ</w:t>
                  </w:r>
                  <w:r>
                    <w:rPr>
                      <w:rFonts w:hint="eastAsia"/>
                      <w:lang w:val="en-US" w:eastAsia="zh-CN"/>
                    </w:rPr>
                    <w:t>g</w:t>
                  </w:r>
                  <w:r>
                    <w:rPr>
                      <w:rFonts w:hint="eastAsia"/>
                    </w:rPr>
                    <w:t>/</w:t>
                  </w:r>
                  <w:r>
                    <w:rPr>
                      <w:rFonts w:hint="eastAsia"/>
                      <w:lang w:eastAsia="zh-CN"/>
                    </w:rPr>
                    <w:t>m³</w:t>
                  </w:r>
                  <w:r>
                    <w:rPr>
                      <w:rFonts w:hint="eastAsia"/>
                    </w:rPr>
                    <w:t>)</w:t>
                  </w:r>
                </w:p>
              </w:tc>
              <w:tc>
                <w:tcPr>
                  <w:tcW w:w="766" w:type="pct"/>
                  <w:noWrap/>
                  <w:vAlign w:val="center"/>
                </w:tcPr>
                <w:p w14:paraId="79DA765B">
                  <w:pPr>
                    <w:pStyle w:val="32"/>
                    <w:bidi w:val="0"/>
                  </w:pPr>
                  <w:r>
                    <w:rPr>
                      <w:rFonts w:hint="eastAsia"/>
                    </w:rPr>
                    <w:t>8</w:t>
                  </w:r>
                </w:p>
              </w:tc>
              <w:tc>
                <w:tcPr>
                  <w:tcW w:w="752" w:type="pct"/>
                  <w:noWrap/>
                  <w:vAlign w:val="center"/>
                </w:tcPr>
                <w:p w14:paraId="41A8357A">
                  <w:pPr>
                    <w:pStyle w:val="32"/>
                    <w:bidi w:val="0"/>
                  </w:pPr>
                  <w:r>
                    <w:rPr>
                      <w:rFonts w:hint="eastAsia"/>
                    </w:rPr>
                    <w:t>60</w:t>
                  </w:r>
                </w:p>
              </w:tc>
              <w:tc>
                <w:tcPr>
                  <w:tcW w:w="812" w:type="pct"/>
                  <w:noWrap/>
                  <w:vAlign w:val="center"/>
                </w:tcPr>
                <w:p w14:paraId="597204AD">
                  <w:pPr>
                    <w:pStyle w:val="32"/>
                    <w:bidi w:val="0"/>
                  </w:pPr>
                  <w:r>
                    <w:rPr>
                      <w:rFonts w:hint="eastAsia"/>
                    </w:rPr>
                    <w:t>是</w:t>
                  </w:r>
                </w:p>
              </w:tc>
              <w:tc>
                <w:tcPr>
                  <w:tcW w:w="838" w:type="pct"/>
                  <w:noWrap/>
                  <w:vAlign w:val="center"/>
                </w:tcPr>
                <w:p w14:paraId="24B5BC98">
                  <w:pPr>
                    <w:pStyle w:val="32"/>
                    <w:bidi w:val="0"/>
                  </w:pPr>
                  <w:r>
                    <w:rPr>
                      <w:rFonts w:hint="eastAsia"/>
                    </w:rPr>
                    <w:t>-</w:t>
                  </w:r>
                </w:p>
              </w:tc>
            </w:tr>
            <w:tr w14:paraId="070D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Merge w:val="continue"/>
                  <w:noWrap/>
                  <w:vAlign w:val="center"/>
                </w:tcPr>
                <w:p w14:paraId="1435FA13">
                  <w:pPr>
                    <w:pStyle w:val="32"/>
                    <w:bidi w:val="0"/>
                  </w:pPr>
                </w:p>
              </w:tc>
              <w:tc>
                <w:tcPr>
                  <w:tcW w:w="1045" w:type="pct"/>
                  <w:noWrap/>
                  <w:vAlign w:val="center"/>
                </w:tcPr>
                <w:p w14:paraId="1C03F6EC">
                  <w:pPr>
                    <w:pStyle w:val="32"/>
                    <w:bidi w:val="0"/>
                  </w:pPr>
                  <w:r>
                    <w:t>NO</w:t>
                  </w:r>
                  <w:r>
                    <w:rPr>
                      <w:vertAlign w:val="subscript"/>
                    </w:rPr>
                    <w:t>2</w:t>
                  </w:r>
                  <w:r>
                    <w:rPr>
                      <w:rFonts w:hint="eastAsia"/>
                    </w:rPr>
                    <w:t>(</w:t>
                  </w:r>
                  <w:r>
                    <w:rPr>
                      <w:rFonts w:hint="default"/>
                    </w:rPr>
                    <w:t>μ</w:t>
                  </w:r>
                  <w:r>
                    <w:rPr>
                      <w:rFonts w:hint="eastAsia"/>
                      <w:lang w:val="en-US" w:eastAsia="zh-CN"/>
                    </w:rPr>
                    <w:t>g</w:t>
                  </w:r>
                  <w:r>
                    <w:rPr>
                      <w:rFonts w:hint="eastAsia"/>
                    </w:rPr>
                    <w:t>/</w:t>
                  </w:r>
                  <w:r>
                    <w:rPr>
                      <w:rFonts w:hint="eastAsia"/>
                      <w:lang w:eastAsia="zh-CN"/>
                    </w:rPr>
                    <w:t>m³</w:t>
                  </w:r>
                  <w:r>
                    <w:rPr>
                      <w:rFonts w:hint="eastAsia"/>
                    </w:rPr>
                    <w:t>)</w:t>
                  </w:r>
                </w:p>
              </w:tc>
              <w:tc>
                <w:tcPr>
                  <w:tcW w:w="766" w:type="pct"/>
                  <w:noWrap/>
                  <w:vAlign w:val="center"/>
                </w:tcPr>
                <w:p w14:paraId="6CADA8FB">
                  <w:pPr>
                    <w:pStyle w:val="32"/>
                    <w:bidi w:val="0"/>
                  </w:pPr>
                  <w:r>
                    <w:rPr>
                      <w:rFonts w:hint="eastAsia"/>
                    </w:rPr>
                    <w:t>21</w:t>
                  </w:r>
                </w:p>
              </w:tc>
              <w:tc>
                <w:tcPr>
                  <w:tcW w:w="752" w:type="pct"/>
                  <w:noWrap/>
                  <w:vAlign w:val="center"/>
                </w:tcPr>
                <w:p w14:paraId="42DE5823">
                  <w:pPr>
                    <w:pStyle w:val="32"/>
                    <w:bidi w:val="0"/>
                  </w:pPr>
                  <w:r>
                    <w:rPr>
                      <w:rFonts w:hint="eastAsia"/>
                    </w:rPr>
                    <w:t>40</w:t>
                  </w:r>
                </w:p>
              </w:tc>
              <w:tc>
                <w:tcPr>
                  <w:tcW w:w="812" w:type="pct"/>
                  <w:noWrap/>
                  <w:vAlign w:val="center"/>
                </w:tcPr>
                <w:p w14:paraId="26F0C229">
                  <w:pPr>
                    <w:pStyle w:val="32"/>
                    <w:bidi w:val="0"/>
                  </w:pPr>
                  <w:r>
                    <w:rPr>
                      <w:rFonts w:hint="eastAsia"/>
                    </w:rPr>
                    <w:t>是</w:t>
                  </w:r>
                </w:p>
              </w:tc>
              <w:tc>
                <w:tcPr>
                  <w:tcW w:w="838" w:type="pct"/>
                  <w:noWrap/>
                  <w:vAlign w:val="center"/>
                </w:tcPr>
                <w:p w14:paraId="75C6E464">
                  <w:pPr>
                    <w:pStyle w:val="32"/>
                    <w:bidi w:val="0"/>
                  </w:pPr>
                  <w:r>
                    <w:rPr>
                      <w:rFonts w:hint="eastAsia"/>
                    </w:rPr>
                    <w:t>-</w:t>
                  </w:r>
                </w:p>
              </w:tc>
            </w:tr>
            <w:tr w14:paraId="4E57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Merge w:val="continue"/>
                  <w:noWrap/>
                  <w:vAlign w:val="center"/>
                </w:tcPr>
                <w:p w14:paraId="672D8C71">
                  <w:pPr>
                    <w:pStyle w:val="32"/>
                    <w:bidi w:val="0"/>
                  </w:pPr>
                </w:p>
              </w:tc>
              <w:tc>
                <w:tcPr>
                  <w:tcW w:w="1045" w:type="pct"/>
                  <w:noWrap/>
                  <w:vAlign w:val="center"/>
                </w:tcPr>
                <w:p w14:paraId="2C992407">
                  <w:pPr>
                    <w:pStyle w:val="32"/>
                    <w:bidi w:val="0"/>
                  </w:pPr>
                  <w:r>
                    <w:t>PM</w:t>
                  </w:r>
                  <w:r>
                    <w:rPr>
                      <w:vertAlign w:val="subscript"/>
                    </w:rPr>
                    <w:t>10</w:t>
                  </w:r>
                  <w:r>
                    <w:rPr>
                      <w:rFonts w:hint="eastAsia"/>
                    </w:rPr>
                    <w:t>(</w:t>
                  </w:r>
                  <w:r>
                    <w:rPr>
                      <w:rFonts w:hint="default"/>
                    </w:rPr>
                    <w:t>μ</w:t>
                  </w:r>
                  <w:r>
                    <w:rPr>
                      <w:rFonts w:hint="eastAsia"/>
                      <w:lang w:val="en-US" w:eastAsia="zh-CN"/>
                    </w:rPr>
                    <w:t>g</w:t>
                  </w:r>
                  <w:r>
                    <w:rPr>
                      <w:rFonts w:hint="eastAsia"/>
                    </w:rPr>
                    <w:t>/</w:t>
                  </w:r>
                  <w:r>
                    <w:rPr>
                      <w:rFonts w:hint="eastAsia"/>
                      <w:lang w:eastAsia="zh-CN"/>
                    </w:rPr>
                    <w:t>m³</w:t>
                  </w:r>
                  <w:r>
                    <w:rPr>
                      <w:rFonts w:hint="eastAsia"/>
                    </w:rPr>
                    <w:t>)</w:t>
                  </w:r>
                </w:p>
              </w:tc>
              <w:tc>
                <w:tcPr>
                  <w:tcW w:w="766" w:type="pct"/>
                  <w:noWrap/>
                  <w:vAlign w:val="center"/>
                </w:tcPr>
                <w:p w14:paraId="233829D1">
                  <w:pPr>
                    <w:pStyle w:val="32"/>
                    <w:bidi w:val="0"/>
                  </w:pPr>
                  <w:r>
                    <w:rPr>
                      <w:rFonts w:hint="eastAsia"/>
                    </w:rPr>
                    <w:t>65.9</w:t>
                  </w:r>
                </w:p>
              </w:tc>
              <w:tc>
                <w:tcPr>
                  <w:tcW w:w="752" w:type="pct"/>
                  <w:noWrap/>
                  <w:vAlign w:val="center"/>
                </w:tcPr>
                <w:p w14:paraId="6FCEC11A">
                  <w:pPr>
                    <w:pStyle w:val="32"/>
                    <w:bidi w:val="0"/>
                  </w:pPr>
                  <w:r>
                    <w:rPr>
                      <w:rFonts w:hint="eastAsia"/>
                    </w:rPr>
                    <w:t>70</w:t>
                  </w:r>
                </w:p>
              </w:tc>
              <w:tc>
                <w:tcPr>
                  <w:tcW w:w="812" w:type="pct"/>
                  <w:noWrap/>
                  <w:vAlign w:val="center"/>
                </w:tcPr>
                <w:p w14:paraId="3178B22C">
                  <w:pPr>
                    <w:pStyle w:val="32"/>
                    <w:bidi w:val="0"/>
                  </w:pPr>
                  <w:r>
                    <w:rPr>
                      <w:rFonts w:hint="eastAsia"/>
                    </w:rPr>
                    <w:t>是</w:t>
                  </w:r>
                </w:p>
              </w:tc>
              <w:tc>
                <w:tcPr>
                  <w:tcW w:w="838" w:type="pct"/>
                  <w:noWrap/>
                  <w:vAlign w:val="center"/>
                </w:tcPr>
                <w:p w14:paraId="386BA0BD">
                  <w:pPr>
                    <w:pStyle w:val="32"/>
                    <w:bidi w:val="0"/>
                  </w:pPr>
                  <w:r>
                    <w:rPr>
                      <w:rFonts w:hint="eastAsia"/>
                    </w:rPr>
                    <w:t>-</w:t>
                  </w:r>
                </w:p>
              </w:tc>
            </w:tr>
            <w:tr w14:paraId="0343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Merge w:val="continue"/>
                  <w:noWrap/>
                  <w:vAlign w:val="center"/>
                </w:tcPr>
                <w:p w14:paraId="2A0A0996">
                  <w:pPr>
                    <w:pStyle w:val="32"/>
                    <w:bidi w:val="0"/>
                  </w:pPr>
                </w:p>
              </w:tc>
              <w:tc>
                <w:tcPr>
                  <w:tcW w:w="1045" w:type="pct"/>
                  <w:noWrap/>
                  <w:vAlign w:val="center"/>
                </w:tcPr>
                <w:p w14:paraId="493B2861">
                  <w:pPr>
                    <w:pStyle w:val="32"/>
                    <w:bidi w:val="0"/>
                  </w:pPr>
                  <w:r>
                    <w:t>P</w:t>
                  </w:r>
                  <w:r>
                    <w:rPr>
                      <w:rFonts w:hint="eastAsia"/>
                    </w:rPr>
                    <w:t>M</w:t>
                  </w:r>
                  <w:r>
                    <w:rPr>
                      <w:rFonts w:hint="eastAsia"/>
                      <w:vertAlign w:val="subscript"/>
                    </w:rPr>
                    <w:t>2.5</w:t>
                  </w:r>
                  <w:r>
                    <w:rPr>
                      <w:rFonts w:hint="eastAsia"/>
                    </w:rPr>
                    <w:t>(</w:t>
                  </w:r>
                  <w:r>
                    <w:rPr>
                      <w:rFonts w:hint="default"/>
                    </w:rPr>
                    <w:t>μ</w:t>
                  </w:r>
                  <w:r>
                    <w:rPr>
                      <w:rFonts w:hint="eastAsia"/>
                      <w:lang w:val="en-US" w:eastAsia="zh-CN"/>
                    </w:rPr>
                    <w:t>g</w:t>
                  </w:r>
                  <w:r>
                    <w:rPr>
                      <w:rFonts w:hint="eastAsia"/>
                    </w:rPr>
                    <w:t>/</w:t>
                  </w:r>
                  <w:r>
                    <w:rPr>
                      <w:rFonts w:hint="eastAsia"/>
                      <w:lang w:eastAsia="zh-CN"/>
                    </w:rPr>
                    <w:t>m³</w:t>
                  </w:r>
                  <w:r>
                    <w:rPr>
                      <w:rFonts w:hint="eastAsia"/>
                    </w:rPr>
                    <w:t>)</w:t>
                  </w:r>
                </w:p>
              </w:tc>
              <w:tc>
                <w:tcPr>
                  <w:tcW w:w="766" w:type="pct"/>
                  <w:noWrap/>
                  <w:vAlign w:val="center"/>
                </w:tcPr>
                <w:p w14:paraId="692EEA93">
                  <w:pPr>
                    <w:pStyle w:val="32"/>
                    <w:bidi w:val="0"/>
                  </w:pPr>
                  <w:r>
                    <w:rPr>
                      <w:rFonts w:hint="eastAsia"/>
                    </w:rPr>
                    <w:t>38.7</w:t>
                  </w:r>
                </w:p>
              </w:tc>
              <w:tc>
                <w:tcPr>
                  <w:tcW w:w="752" w:type="pct"/>
                  <w:noWrap/>
                  <w:vAlign w:val="center"/>
                </w:tcPr>
                <w:p w14:paraId="541041E6">
                  <w:pPr>
                    <w:pStyle w:val="32"/>
                    <w:bidi w:val="0"/>
                  </w:pPr>
                  <w:r>
                    <w:rPr>
                      <w:rFonts w:hint="eastAsia"/>
                    </w:rPr>
                    <w:t>35</w:t>
                  </w:r>
                </w:p>
              </w:tc>
              <w:tc>
                <w:tcPr>
                  <w:tcW w:w="812" w:type="pct"/>
                  <w:noWrap/>
                  <w:vAlign w:val="center"/>
                </w:tcPr>
                <w:p w14:paraId="74F0CEFD">
                  <w:pPr>
                    <w:pStyle w:val="32"/>
                    <w:bidi w:val="0"/>
                  </w:pPr>
                  <w:r>
                    <w:rPr>
                      <w:rFonts w:hint="eastAsia"/>
                    </w:rPr>
                    <w:t>否</w:t>
                  </w:r>
                </w:p>
              </w:tc>
              <w:tc>
                <w:tcPr>
                  <w:tcW w:w="838" w:type="pct"/>
                  <w:noWrap/>
                  <w:vAlign w:val="center"/>
                </w:tcPr>
                <w:p w14:paraId="53131B4E">
                  <w:pPr>
                    <w:pStyle w:val="32"/>
                    <w:bidi w:val="0"/>
                  </w:pPr>
                  <w:r>
                    <w:rPr>
                      <w:rFonts w:hint="eastAsia"/>
                    </w:rPr>
                    <w:t>0.11</w:t>
                  </w:r>
                </w:p>
              </w:tc>
            </w:tr>
            <w:tr w14:paraId="764B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Merge w:val="continue"/>
                  <w:noWrap/>
                  <w:vAlign w:val="center"/>
                </w:tcPr>
                <w:p w14:paraId="7E68D18D">
                  <w:pPr>
                    <w:pStyle w:val="32"/>
                    <w:bidi w:val="0"/>
                  </w:pPr>
                </w:p>
              </w:tc>
              <w:tc>
                <w:tcPr>
                  <w:tcW w:w="1045" w:type="pct"/>
                  <w:noWrap/>
                  <w:vAlign w:val="center"/>
                </w:tcPr>
                <w:p w14:paraId="6C870212">
                  <w:pPr>
                    <w:pStyle w:val="32"/>
                    <w:bidi w:val="0"/>
                  </w:pPr>
                  <w:r>
                    <w:t>CO</w:t>
                  </w:r>
                  <w:r>
                    <w:rPr>
                      <w:rFonts w:hint="eastAsia"/>
                      <w:lang w:eastAsia="zh-CN"/>
                    </w:rPr>
                    <w:t>(</w:t>
                  </w:r>
                  <w:r>
                    <w:rPr>
                      <w:rFonts w:hint="eastAsia"/>
                    </w:rPr>
                    <w:t>mg/</w:t>
                  </w:r>
                  <w:r>
                    <w:rPr>
                      <w:rFonts w:hint="eastAsia"/>
                      <w:lang w:eastAsia="zh-CN"/>
                    </w:rPr>
                    <w:t>m³)</w:t>
                  </w:r>
                </w:p>
              </w:tc>
              <w:tc>
                <w:tcPr>
                  <w:tcW w:w="766" w:type="pct"/>
                  <w:noWrap/>
                  <w:vAlign w:val="center"/>
                </w:tcPr>
                <w:p w14:paraId="122D5FCA">
                  <w:pPr>
                    <w:pStyle w:val="32"/>
                    <w:bidi w:val="0"/>
                  </w:pPr>
                  <w:r>
                    <w:rPr>
                      <w:rFonts w:hint="eastAsia"/>
                    </w:rPr>
                    <w:t>0.7</w:t>
                  </w:r>
                </w:p>
              </w:tc>
              <w:tc>
                <w:tcPr>
                  <w:tcW w:w="752" w:type="pct"/>
                  <w:noWrap/>
                  <w:vAlign w:val="center"/>
                </w:tcPr>
                <w:p w14:paraId="53D72F62">
                  <w:pPr>
                    <w:pStyle w:val="32"/>
                    <w:bidi w:val="0"/>
                  </w:pPr>
                  <w:r>
                    <w:rPr>
                      <w:rFonts w:hint="eastAsia"/>
                    </w:rPr>
                    <w:t>4</w:t>
                  </w:r>
                </w:p>
              </w:tc>
              <w:tc>
                <w:tcPr>
                  <w:tcW w:w="812" w:type="pct"/>
                  <w:noWrap/>
                  <w:vAlign w:val="center"/>
                </w:tcPr>
                <w:p w14:paraId="19642004">
                  <w:pPr>
                    <w:pStyle w:val="32"/>
                    <w:bidi w:val="0"/>
                  </w:pPr>
                  <w:r>
                    <w:rPr>
                      <w:rFonts w:hint="eastAsia"/>
                    </w:rPr>
                    <w:t>是</w:t>
                  </w:r>
                </w:p>
              </w:tc>
              <w:tc>
                <w:tcPr>
                  <w:tcW w:w="838" w:type="pct"/>
                  <w:noWrap/>
                  <w:vAlign w:val="center"/>
                </w:tcPr>
                <w:p w14:paraId="5CAC7186">
                  <w:pPr>
                    <w:pStyle w:val="32"/>
                    <w:bidi w:val="0"/>
                  </w:pPr>
                  <w:r>
                    <w:rPr>
                      <w:rFonts w:hint="eastAsia"/>
                    </w:rPr>
                    <w:t>-</w:t>
                  </w:r>
                </w:p>
              </w:tc>
            </w:tr>
            <w:tr w14:paraId="0850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Merge w:val="continue"/>
                  <w:noWrap/>
                  <w:vAlign w:val="center"/>
                </w:tcPr>
                <w:p w14:paraId="29505DCF">
                  <w:pPr>
                    <w:pStyle w:val="32"/>
                    <w:bidi w:val="0"/>
                  </w:pPr>
                </w:p>
              </w:tc>
              <w:tc>
                <w:tcPr>
                  <w:tcW w:w="1045" w:type="pct"/>
                  <w:noWrap/>
                  <w:vAlign w:val="center"/>
                </w:tcPr>
                <w:p w14:paraId="70F51CCF">
                  <w:pPr>
                    <w:pStyle w:val="32"/>
                    <w:bidi w:val="0"/>
                  </w:pPr>
                  <w:r>
                    <w:t>O</w:t>
                  </w:r>
                  <w:r>
                    <w:rPr>
                      <w:vertAlign w:val="subscript"/>
                    </w:rPr>
                    <w:t>3</w:t>
                  </w:r>
                  <w:r>
                    <w:rPr>
                      <w:rFonts w:hint="eastAsia"/>
                    </w:rPr>
                    <w:t>(</w:t>
                  </w:r>
                  <w:r>
                    <w:rPr>
                      <w:rFonts w:hint="default"/>
                    </w:rPr>
                    <w:t>μ</w:t>
                  </w:r>
                  <w:r>
                    <w:rPr>
                      <w:rFonts w:hint="eastAsia"/>
                      <w:lang w:val="en-US" w:eastAsia="zh-CN"/>
                    </w:rPr>
                    <w:t>g</w:t>
                  </w:r>
                  <w:r>
                    <w:rPr>
                      <w:rFonts w:hint="eastAsia"/>
                    </w:rPr>
                    <w:t>/</w:t>
                  </w:r>
                  <w:r>
                    <w:rPr>
                      <w:rFonts w:hint="eastAsia"/>
                      <w:lang w:eastAsia="zh-CN"/>
                    </w:rPr>
                    <w:t>m³</w:t>
                  </w:r>
                  <w:r>
                    <w:rPr>
                      <w:rFonts w:hint="eastAsia"/>
                    </w:rPr>
                    <w:t>)</w:t>
                  </w:r>
                </w:p>
              </w:tc>
              <w:tc>
                <w:tcPr>
                  <w:tcW w:w="766" w:type="pct"/>
                  <w:noWrap/>
                  <w:vAlign w:val="center"/>
                </w:tcPr>
                <w:p w14:paraId="34871CA7">
                  <w:pPr>
                    <w:pStyle w:val="32"/>
                    <w:bidi w:val="0"/>
                  </w:pPr>
                  <w:r>
                    <w:rPr>
                      <w:rFonts w:hint="eastAsia"/>
                    </w:rPr>
                    <w:t>157</w:t>
                  </w:r>
                </w:p>
              </w:tc>
              <w:tc>
                <w:tcPr>
                  <w:tcW w:w="752" w:type="pct"/>
                  <w:noWrap/>
                  <w:vAlign w:val="center"/>
                </w:tcPr>
                <w:p w14:paraId="5712D845">
                  <w:pPr>
                    <w:pStyle w:val="32"/>
                    <w:bidi w:val="0"/>
                  </w:pPr>
                  <w:r>
                    <w:rPr>
                      <w:rFonts w:hint="eastAsia"/>
                    </w:rPr>
                    <w:t>160</w:t>
                  </w:r>
                </w:p>
              </w:tc>
              <w:tc>
                <w:tcPr>
                  <w:tcW w:w="812" w:type="pct"/>
                  <w:noWrap/>
                  <w:vAlign w:val="center"/>
                </w:tcPr>
                <w:p w14:paraId="7E0C71B1">
                  <w:pPr>
                    <w:pStyle w:val="32"/>
                    <w:bidi w:val="0"/>
                  </w:pPr>
                  <w:r>
                    <w:rPr>
                      <w:rFonts w:hint="eastAsia"/>
                    </w:rPr>
                    <w:t>是</w:t>
                  </w:r>
                </w:p>
              </w:tc>
              <w:tc>
                <w:tcPr>
                  <w:tcW w:w="838" w:type="pct"/>
                  <w:noWrap/>
                  <w:vAlign w:val="center"/>
                </w:tcPr>
                <w:p w14:paraId="6499201B">
                  <w:pPr>
                    <w:pStyle w:val="32"/>
                    <w:bidi w:val="0"/>
                  </w:pPr>
                  <w:r>
                    <w:rPr>
                      <w:rFonts w:hint="eastAsia"/>
                    </w:rPr>
                    <w:t>-</w:t>
                  </w:r>
                </w:p>
              </w:tc>
            </w:tr>
            <w:tr w14:paraId="37FC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noWrap/>
                  <w:vAlign w:val="center"/>
                </w:tcPr>
                <w:p w14:paraId="43068219">
                  <w:pPr>
                    <w:pStyle w:val="32"/>
                    <w:bidi w:val="0"/>
                  </w:pPr>
                  <w:r>
                    <w:rPr>
                      <w:rFonts w:hint="eastAsia"/>
                    </w:rPr>
                    <w:t>声环境质量（</w:t>
                  </w:r>
                  <w:r>
                    <w:rPr>
                      <w:rFonts w:hint="eastAsia"/>
                      <w:lang w:val="en-US" w:eastAsia="zh-CN"/>
                    </w:rPr>
                    <w:t>2</w:t>
                  </w:r>
                  <w:r>
                    <w:rPr>
                      <w:rFonts w:hint="eastAsia"/>
                    </w:rPr>
                    <w:t>级）</w:t>
                  </w:r>
                </w:p>
              </w:tc>
              <w:tc>
                <w:tcPr>
                  <w:tcW w:w="1045" w:type="pct"/>
                  <w:noWrap/>
                  <w:vAlign w:val="center"/>
                </w:tcPr>
                <w:p w14:paraId="7F7A8CFD">
                  <w:pPr>
                    <w:pStyle w:val="32"/>
                    <w:bidi w:val="0"/>
                  </w:pPr>
                  <w:r>
                    <w:t>昼间平均等效声级dB（A）</w:t>
                  </w:r>
                </w:p>
              </w:tc>
              <w:tc>
                <w:tcPr>
                  <w:tcW w:w="766" w:type="pct"/>
                  <w:noWrap/>
                  <w:vAlign w:val="center"/>
                </w:tcPr>
                <w:p w14:paraId="5DB2C5A3">
                  <w:pPr>
                    <w:pStyle w:val="32"/>
                    <w:bidi w:val="0"/>
                  </w:pPr>
                  <w:r>
                    <w:rPr>
                      <w:rFonts w:hint="eastAsia"/>
                    </w:rPr>
                    <w:t>51.2</w:t>
                  </w:r>
                </w:p>
              </w:tc>
              <w:tc>
                <w:tcPr>
                  <w:tcW w:w="752" w:type="pct"/>
                  <w:noWrap/>
                  <w:vAlign w:val="center"/>
                </w:tcPr>
                <w:p w14:paraId="3560C1F3">
                  <w:pPr>
                    <w:pStyle w:val="32"/>
                    <w:bidi w:val="0"/>
                  </w:pPr>
                  <w:r>
                    <w:rPr>
                      <w:rFonts w:hint="eastAsia"/>
                    </w:rPr>
                    <w:t>55</w:t>
                  </w:r>
                </w:p>
              </w:tc>
              <w:tc>
                <w:tcPr>
                  <w:tcW w:w="812" w:type="pct"/>
                  <w:noWrap/>
                  <w:vAlign w:val="center"/>
                </w:tcPr>
                <w:p w14:paraId="54A455EB">
                  <w:pPr>
                    <w:pStyle w:val="32"/>
                    <w:bidi w:val="0"/>
                  </w:pPr>
                  <w:r>
                    <w:rPr>
                      <w:rFonts w:hint="eastAsia"/>
                    </w:rPr>
                    <w:t>是</w:t>
                  </w:r>
                </w:p>
              </w:tc>
              <w:tc>
                <w:tcPr>
                  <w:tcW w:w="838" w:type="pct"/>
                  <w:noWrap/>
                  <w:vAlign w:val="center"/>
                </w:tcPr>
                <w:p w14:paraId="17149000">
                  <w:pPr>
                    <w:pStyle w:val="32"/>
                    <w:bidi w:val="0"/>
                  </w:pPr>
                  <w:r>
                    <w:rPr>
                      <w:rFonts w:hint="eastAsia"/>
                    </w:rPr>
                    <w:t>-</w:t>
                  </w:r>
                </w:p>
              </w:tc>
            </w:tr>
            <w:tr w14:paraId="64E1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noWrap/>
                  <w:vAlign w:val="center"/>
                </w:tcPr>
                <w:p w14:paraId="23CD2C51">
                  <w:pPr>
                    <w:pStyle w:val="32"/>
                    <w:bidi w:val="0"/>
                  </w:pPr>
                  <w:r>
                    <w:t>水环境质量</w:t>
                  </w:r>
                </w:p>
              </w:tc>
              <w:tc>
                <w:tcPr>
                  <w:tcW w:w="1045" w:type="pct"/>
                  <w:noWrap/>
                  <w:vAlign w:val="center"/>
                </w:tcPr>
                <w:p w14:paraId="301FB89E">
                  <w:pPr>
                    <w:pStyle w:val="32"/>
                    <w:bidi w:val="0"/>
                  </w:pPr>
                  <w:r>
                    <w:rPr>
                      <w:rFonts w:hint="eastAsia"/>
                    </w:rPr>
                    <w:t>淮河</w:t>
                  </w:r>
                </w:p>
              </w:tc>
              <w:tc>
                <w:tcPr>
                  <w:tcW w:w="3170" w:type="pct"/>
                  <w:gridSpan w:val="4"/>
                  <w:noWrap/>
                  <w:vAlign w:val="center"/>
                </w:tcPr>
                <w:p w14:paraId="21B1B92F">
                  <w:pPr>
                    <w:pStyle w:val="32"/>
                    <w:bidi w:val="0"/>
                  </w:pPr>
                  <w:r>
                    <w:t>市辖淮河干流及其支流2</w:t>
                  </w:r>
                  <w:r>
                    <w:rPr>
                      <w:rFonts w:hint="eastAsia"/>
                    </w:rPr>
                    <w:t>4</w:t>
                  </w:r>
                  <w:r>
                    <w:t>个监测断面中Ⅰ-Ⅲ类水质比例为</w:t>
                  </w:r>
                  <w:r>
                    <w:rPr>
                      <w:rFonts w:hint="eastAsia"/>
                    </w:rPr>
                    <w:t>84.5</w:t>
                  </w:r>
                  <w:r>
                    <w:t>%，总体水质良好。</w:t>
                  </w:r>
                </w:p>
              </w:tc>
            </w:tr>
          </w:tbl>
          <w:p w14:paraId="784B21C4">
            <w:pPr>
              <w:bidi w:val="0"/>
              <w:rPr>
                <w:rFonts w:hint="eastAsia"/>
              </w:rPr>
            </w:pPr>
            <w:r>
              <w:rPr>
                <w:rFonts w:hint="eastAsia"/>
              </w:rPr>
              <w:t>本项目运营过程中会产生一定的污染物</w:t>
            </w:r>
            <w:r>
              <w:rPr>
                <w:rFonts w:hint="eastAsia"/>
                <w:lang w:eastAsia="zh-CN"/>
              </w:rPr>
              <w:t>，</w:t>
            </w:r>
            <w:r>
              <w:rPr>
                <w:rFonts w:hint="eastAsia"/>
              </w:rPr>
              <w:t>采取相应的污染防治措施后</w:t>
            </w:r>
            <w:r>
              <w:rPr>
                <w:rFonts w:hint="eastAsia"/>
                <w:lang w:eastAsia="zh-CN"/>
              </w:rPr>
              <w:t>，</w:t>
            </w:r>
            <w:r>
              <w:rPr>
                <w:rFonts w:hint="eastAsia"/>
              </w:rPr>
              <w:t>各类污染物的排放一般不会对周围环境造成不良影响，不会降低当地环境质量。</w:t>
            </w:r>
          </w:p>
          <w:p w14:paraId="1EC406BE">
            <w:pPr>
              <w:ind w:firstLine="482"/>
              <w:rPr>
                <w:b/>
                <w:bCs/>
                <w:color w:val="auto"/>
                <w:lang w:val="zh-CN"/>
              </w:rPr>
            </w:pPr>
            <w:r>
              <w:rPr>
                <w:rFonts w:hint="eastAsia"/>
                <w:b/>
                <w:bCs/>
                <w:color w:val="auto"/>
              </w:rPr>
              <w:t>3</w:t>
            </w:r>
            <w:r>
              <w:rPr>
                <w:rFonts w:hint="eastAsia"/>
                <w:b/>
                <w:bCs/>
                <w:color w:val="auto"/>
                <w:lang w:eastAsia="zh-CN"/>
              </w:rPr>
              <w:t>）</w:t>
            </w:r>
            <w:r>
              <w:rPr>
                <w:b/>
                <w:bCs/>
                <w:color w:val="auto"/>
                <w:lang w:val="zh-CN"/>
              </w:rPr>
              <w:t>资源利用上线</w:t>
            </w:r>
          </w:p>
          <w:p w14:paraId="5B07C35F">
            <w:pPr>
              <w:ind w:firstLine="480"/>
              <w:rPr>
                <w:color w:val="auto"/>
                <w:lang w:val="zh-CN"/>
              </w:rPr>
            </w:pPr>
            <w:r>
              <w:rPr>
                <w:rFonts w:hint="eastAsia"/>
                <w:color w:val="auto"/>
                <w:lang w:val="zh-CN"/>
              </w:rPr>
              <w:t>项目采用的能源主要为电、水</w:t>
            </w:r>
            <w:r>
              <w:rPr>
                <w:rFonts w:hint="eastAsia"/>
                <w:color w:val="auto"/>
                <w:highlight w:val="none"/>
              </w:rPr>
              <w:t>，</w:t>
            </w:r>
            <w:r>
              <w:rPr>
                <w:rFonts w:hint="eastAsia"/>
                <w:color w:val="auto"/>
                <w:highlight w:val="none"/>
                <w:lang w:eastAsia="zh-CN"/>
              </w:rPr>
              <w:t>淮南高新技术产业开发区管理委员会经济发展局</w:t>
            </w:r>
            <w:r>
              <w:rPr>
                <w:color w:val="auto"/>
              </w:rPr>
              <w:t>对本项目予以备案，不涉及能源、水、土地等资源上线。</w:t>
            </w:r>
            <w:r>
              <w:rPr>
                <w:rFonts w:hint="eastAsia"/>
                <w:color w:val="auto"/>
                <w:lang w:val="zh-CN"/>
              </w:rPr>
              <w:t>项目对资源的使用较少、利用率较高，不触及资源利用上线。</w:t>
            </w:r>
          </w:p>
          <w:p w14:paraId="720D1BB7">
            <w:pPr>
              <w:ind w:firstLine="482"/>
              <w:rPr>
                <w:b/>
                <w:bCs/>
                <w:color w:val="auto"/>
                <w:lang w:val="zh-CN"/>
              </w:rPr>
            </w:pPr>
            <w:r>
              <w:rPr>
                <w:rFonts w:hint="eastAsia"/>
                <w:b/>
                <w:bCs/>
                <w:color w:val="auto"/>
              </w:rPr>
              <w:t>4</w:t>
            </w:r>
            <w:r>
              <w:rPr>
                <w:rFonts w:hint="eastAsia"/>
                <w:b/>
                <w:bCs/>
                <w:color w:val="auto"/>
                <w:lang w:eastAsia="zh-CN"/>
              </w:rPr>
              <w:t>）</w:t>
            </w:r>
            <w:r>
              <w:rPr>
                <w:b/>
                <w:bCs/>
                <w:color w:val="auto"/>
                <w:lang w:val="zh-CN"/>
              </w:rPr>
              <w:t>生态环境准入清单</w:t>
            </w:r>
          </w:p>
          <w:p w14:paraId="7955E4B4">
            <w:pPr>
              <w:bidi w:val="0"/>
              <w:rPr>
                <w:rFonts w:hint="eastAsia"/>
                <w:lang w:val="en-US" w:eastAsia="zh-CN"/>
              </w:rPr>
            </w:pPr>
            <w:r>
              <w:t>对照《</w:t>
            </w:r>
            <w:r>
              <w:rPr>
                <w:rFonts w:hint="eastAsia"/>
              </w:rPr>
              <w:t>淮南市生态环境分区管控成果动态更新准入清单</w:t>
            </w:r>
            <w:r>
              <w:t>》</w:t>
            </w:r>
            <w:r>
              <w:rPr>
                <w:rFonts w:hint="eastAsia"/>
                <w:lang w:eastAsia="zh-CN"/>
              </w:rPr>
              <w:t>（</w:t>
            </w:r>
            <w:r>
              <w:rPr>
                <w:rFonts w:hint="eastAsia"/>
                <w:lang w:val="en-US" w:eastAsia="zh-CN"/>
              </w:rPr>
              <w:t>2023年10月</w:t>
            </w:r>
            <w:r>
              <w:rPr>
                <w:rFonts w:hint="eastAsia"/>
                <w:lang w:eastAsia="zh-CN"/>
              </w:rPr>
              <w:t>）</w:t>
            </w:r>
            <w:r>
              <w:t>中相关成果，</w:t>
            </w:r>
            <w:r>
              <w:rPr>
                <w:rFonts w:hint="eastAsia"/>
                <w:lang w:val="en-US" w:eastAsia="zh-CN"/>
              </w:rPr>
              <w:t>淮南市高新区</w:t>
            </w:r>
            <w:r>
              <w:t>为大气环境分区管控中的</w:t>
            </w:r>
            <w:r>
              <w:rPr>
                <w:rFonts w:hint="eastAsia"/>
                <w:lang w:val="en-US" w:eastAsia="zh-CN"/>
              </w:rPr>
              <w:t>受体敏感重点管控区（</w:t>
            </w:r>
            <w:r>
              <w:t>见附图</w:t>
            </w:r>
            <w:r>
              <w:rPr>
                <w:rFonts w:hint="eastAsia"/>
                <w:lang w:val="en-US" w:eastAsia="zh-CN"/>
              </w:rPr>
              <w:t>6）</w:t>
            </w:r>
            <w:r>
              <w:rPr>
                <w:rFonts w:hint="eastAsia"/>
                <w:lang w:eastAsia="zh-CN"/>
              </w:rPr>
              <w:t>，</w:t>
            </w:r>
            <w:r>
              <w:rPr>
                <w:rFonts w:hint="eastAsia"/>
                <w:lang w:val="en-US" w:eastAsia="zh-CN"/>
              </w:rPr>
              <w:t>为</w:t>
            </w:r>
            <w:r>
              <w:t>水环境分区管控中的</w:t>
            </w:r>
            <w:r>
              <w:rPr>
                <w:rFonts w:hint="eastAsia"/>
                <w:lang w:val="en-US" w:eastAsia="zh-CN"/>
              </w:rPr>
              <w:t>城镇生活污染</w:t>
            </w:r>
            <w:r>
              <w:t>污染重点管控区</w:t>
            </w:r>
            <w:r>
              <w:rPr>
                <w:rFonts w:hint="eastAsia"/>
                <w:lang w:eastAsia="zh-CN"/>
              </w:rPr>
              <w:t>（</w:t>
            </w:r>
            <w:r>
              <w:t>见附图</w:t>
            </w:r>
            <w:r>
              <w:rPr>
                <w:rFonts w:hint="eastAsia"/>
                <w:lang w:val="en-US" w:eastAsia="zh-CN"/>
              </w:rPr>
              <w:t>7）</w:t>
            </w:r>
            <w:r>
              <w:t>；为土壤</w:t>
            </w:r>
            <w:r>
              <w:rPr>
                <w:rFonts w:hint="eastAsia"/>
                <w:lang w:val="en-US" w:eastAsia="zh-CN"/>
              </w:rPr>
              <w:t>污染风险分区管控中一般管控区（</w:t>
            </w:r>
            <w:r>
              <w:t>见附图</w:t>
            </w:r>
            <w:r>
              <w:rPr>
                <w:rFonts w:hint="eastAsia"/>
                <w:lang w:val="en-US" w:eastAsia="zh-CN"/>
              </w:rPr>
              <w:t>8）</w:t>
            </w:r>
            <w:r>
              <w:rPr>
                <w:rFonts w:hint="eastAsia"/>
                <w:lang w:eastAsia="zh-CN"/>
              </w:rPr>
              <w:t>；</w:t>
            </w:r>
            <w:r>
              <w:rPr>
                <w:rFonts w:hint="eastAsia"/>
                <w:lang w:val="en-US" w:eastAsia="zh-CN"/>
              </w:rPr>
              <w:t>生态管控单元中为重点管控单元（附图9）。</w:t>
            </w:r>
          </w:p>
          <w:p w14:paraId="418B2F4C">
            <w:pPr>
              <w:bidi w:val="0"/>
              <w:rPr>
                <w:rFonts w:hint="eastAsia"/>
              </w:rPr>
            </w:pPr>
            <w:r>
              <w:rPr>
                <w:rFonts w:hint="eastAsia"/>
                <w:lang w:val="en-US" w:eastAsia="zh-CN"/>
              </w:rPr>
              <w:t>本项目</w:t>
            </w:r>
            <w:r>
              <w:t>与淮南市</w:t>
            </w:r>
            <w:r>
              <w:rPr>
                <w:rFonts w:hint="eastAsia"/>
                <w:lang w:eastAsia="zh-CN"/>
              </w:rPr>
              <w:t>“</w:t>
            </w:r>
            <w:r>
              <w:t>三线一单</w:t>
            </w:r>
            <w:r>
              <w:rPr>
                <w:rFonts w:hint="eastAsia"/>
                <w:lang w:eastAsia="zh-CN"/>
              </w:rPr>
              <w:t>”</w:t>
            </w:r>
            <w:r>
              <w:rPr>
                <w:rFonts w:hint="eastAsia"/>
                <w:lang w:val="en-US" w:eastAsia="zh-CN"/>
              </w:rPr>
              <w:t>各管控单元</w:t>
            </w:r>
            <w:r>
              <w:t>符合性分析见表1-</w:t>
            </w:r>
            <w:r>
              <w:rPr>
                <w:rFonts w:hint="eastAsia"/>
                <w:lang w:val="en-US" w:eastAsia="zh-CN"/>
              </w:rPr>
              <w:t>3</w:t>
            </w:r>
            <w:r>
              <w:rPr>
                <w:lang w:eastAsia="zh-CN"/>
              </w:rPr>
              <w:t>。</w:t>
            </w:r>
          </w:p>
          <w:p w14:paraId="65AAB1C2">
            <w:pPr>
              <w:pStyle w:val="27"/>
              <w:bidi w:val="0"/>
            </w:pPr>
            <w:r>
              <w:rPr>
                <w:rFonts w:hint="eastAsia"/>
              </w:rPr>
              <w:t>表1-</w:t>
            </w:r>
            <w:r>
              <w:rPr>
                <w:rFonts w:hint="eastAsia"/>
                <w:lang w:val="en-US" w:eastAsia="zh-CN"/>
              </w:rPr>
              <w:t xml:space="preserve">3 </w:t>
            </w:r>
            <w:r>
              <w:rPr>
                <w:rFonts w:hint="eastAsia"/>
              </w:rPr>
              <w:t>本项目与淮南市</w:t>
            </w:r>
            <w:r>
              <w:rPr>
                <w:rFonts w:hint="eastAsia"/>
                <w:lang w:eastAsia="zh-CN"/>
              </w:rPr>
              <w:t>“</w:t>
            </w:r>
            <w:r>
              <w:rPr>
                <w:rFonts w:hint="eastAsia"/>
              </w:rPr>
              <w:t>三线一单</w:t>
            </w:r>
            <w:r>
              <w:rPr>
                <w:rFonts w:hint="eastAsia"/>
                <w:lang w:eastAsia="zh-CN"/>
              </w:rPr>
              <w:t>”</w:t>
            </w:r>
            <w:r>
              <w:rPr>
                <w:rFonts w:hint="eastAsia"/>
              </w:rPr>
              <w:t>生态准入清单符合性分析一览表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931"/>
              <w:gridCol w:w="2494"/>
              <w:gridCol w:w="845"/>
            </w:tblGrid>
            <w:tr w14:paraId="49EA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noWrap/>
                  <w:vAlign w:val="center"/>
                </w:tcPr>
                <w:p w14:paraId="71D05677">
                  <w:pPr>
                    <w:pStyle w:val="32"/>
                    <w:bidi w:val="0"/>
                    <w:rPr>
                      <w:b/>
                      <w:bCs/>
                    </w:rPr>
                  </w:pPr>
                  <w:r>
                    <w:rPr>
                      <w:b/>
                      <w:bCs/>
                    </w:rPr>
                    <w:t>管控单位分类</w:t>
                  </w:r>
                </w:p>
              </w:tc>
              <w:tc>
                <w:tcPr>
                  <w:tcW w:w="2069" w:type="pct"/>
                  <w:noWrap/>
                  <w:vAlign w:val="center"/>
                </w:tcPr>
                <w:p w14:paraId="36B00BA7">
                  <w:pPr>
                    <w:pStyle w:val="32"/>
                    <w:bidi w:val="0"/>
                    <w:rPr>
                      <w:b/>
                      <w:bCs/>
                    </w:rPr>
                  </w:pPr>
                  <w:r>
                    <w:rPr>
                      <w:b/>
                      <w:bCs/>
                    </w:rPr>
                    <w:t>环境管控要求</w:t>
                  </w:r>
                </w:p>
              </w:tc>
              <w:tc>
                <w:tcPr>
                  <w:tcW w:w="1760" w:type="pct"/>
                  <w:noWrap/>
                  <w:vAlign w:val="center"/>
                </w:tcPr>
                <w:p w14:paraId="37486672">
                  <w:pPr>
                    <w:pStyle w:val="32"/>
                    <w:bidi w:val="0"/>
                    <w:rPr>
                      <w:b/>
                      <w:bCs/>
                    </w:rPr>
                  </w:pPr>
                  <w:r>
                    <w:rPr>
                      <w:b/>
                      <w:bCs/>
                    </w:rPr>
                    <w:t>协调性分析</w:t>
                  </w:r>
                </w:p>
              </w:tc>
              <w:tc>
                <w:tcPr>
                  <w:tcW w:w="596" w:type="pct"/>
                  <w:noWrap/>
                  <w:vAlign w:val="center"/>
                </w:tcPr>
                <w:p w14:paraId="2FF4C33B">
                  <w:pPr>
                    <w:pStyle w:val="32"/>
                    <w:bidi w:val="0"/>
                    <w:rPr>
                      <w:b/>
                      <w:bCs/>
                    </w:rPr>
                  </w:pPr>
                  <w:r>
                    <w:rPr>
                      <w:b/>
                      <w:bCs/>
                    </w:rPr>
                    <w:t>符合性分析</w:t>
                  </w:r>
                </w:p>
              </w:tc>
            </w:tr>
            <w:tr w14:paraId="19B5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noWrap/>
                  <w:vAlign w:val="center"/>
                </w:tcPr>
                <w:p w14:paraId="71AD6F4C">
                  <w:pPr>
                    <w:pStyle w:val="32"/>
                    <w:bidi w:val="0"/>
                  </w:pPr>
                  <w:r>
                    <w:t>水环境分区管控</w:t>
                  </w:r>
                  <w:r>
                    <w:rPr>
                      <w:rFonts w:hint="eastAsia"/>
                    </w:rPr>
                    <w:t>-</w:t>
                  </w:r>
                  <w:r>
                    <w:rPr>
                      <w:rFonts w:hint="eastAsia"/>
                      <w:lang w:val="en-US" w:eastAsia="zh-CN"/>
                    </w:rPr>
                    <w:t>城镇生活污染</w:t>
                  </w:r>
                  <w:r>
                    <w:t>污染重点管控区</w:t>
                  </w:r>
                </w:p>
              </w:tc>
              <w:tc>
                <w:tcPr>
                  <w:tcW w:w="2069" w:type="pct"/>
                  <w:noWrap/>
                  <w:vAlign w:val="center"/>
                </w:tcPr>
                <w:p w14:paraId="0FB16639">
                  <w:pPr>
                    <w:pStyle w:val="32"/>
                    <w:bidi w:val="0"/>
                  </w:pPr>
                  <w:r>
                    <w:rPr>
                      <w:rFonts w:hint="eastAsia"/>
                    </w:rPr>
                    <w:t>依据《中华人民共和国水污染防治法》《水污染防治行动计划》《安徽省水污染防治工作方案》及各市水污染防治工作方案对</w:t>
                  </w:r>
                  <w:r>
                    <w:rPr>
                      <w:rFonts w:hint="eastAsia"/>
                      <w:lang w:val="en-US" w:eastAsia="zh-CN"/>
                    </w:rPr>
                    <w:t>重点管控区</w:t>
                  </w:r>
                  <w:r>
                    <w:rPr>
                      <w:rFonts w:hint="eastAsia"/>
                    </w:rPr>
                    <w:t>实施管控；</w:t>
                  </w:r>
                  <w:r>
                    <w:rPr>
                      <w:rFonts w:hint="eastAsia"/>
                      <w:lang w:val="en-US" w:eastAsia="zh-CN"/>
                    </w:rPr>
                    <w:t>依据</w:t>
                  </w:r>
                  <w:r>
                    <w:rPr>
                      <w:rFonts w:hint="eastAsia"/>
                    </w:rPr>
                    <w:t>开发区规划、规划环评及审查意见相关要求对开发区实施管控</w:t>
                  </w:r>
                  <w:r>
                    <w:rPr>
                      <w:rFonts w:hint="eastAsia"/>
                      <w:lang w:eastAsia="zh-CN"/>
                    </w:rPr>
                    <w:t>；</w:t>
                  </w:r>
                  <w:r>
                    <w:rPr>
                      <w:rFonts w:hint="eastAsia"/>
                    </w:rPr>
                    <w:t>依据《安徽省淮河流域水污染防治条例》对淮河流域实施管控，</w:t>
                  </w:r>
                  <w:r>
                    <w:t>禁止在淮河流域新建化学制浆造纸企业和印染、制革、化工、电镀、酿造等污染严重的小型企业。严格限制在淮河流域新建印染、制革、化工、电镀、酿造等大中型项目或者其他污染严重的项目</w:t>
                  </w:r>
                  <w:r>
                    <w:rPr>
                      <w:rFonts w:hint="eastAsia"/>
                    </w:rPr>
                    <w:t>。</w:t>
                  </w:r>
                </w:p>
              </w:tc>
              <w:tc>
                <w:tcPr>
                  <w:tcW w:w="1760" w:type="pct"/>
                  <w:noWrap/>
                  <w:vAlign w:val="center"/>
                </w:tcPr>
                <w:p w14:paraId="085024D8">
                  <w:pPr>
                    <w:pStyle w:val="32"/>
                    <w:bidi w:val="0"/>
                  </w:pPr>
                  <w:r>
                    <w:t>本项目为</w:t>
                  </w:r>
                  <w:r>
                    <w:rPr>
                      <w:rFonts w:hint="eastAsia"/>
                      <w:lang w:eastAsia="zh-CN"/>
                    </w:rPr>
                    <w:t>Q8415 专科医院</w:t>
                  </w:r>
                  <w:r>
                    <w:t>，不属于</w:t>
                  </w:r>
                  <w:r>
                    <w:rPr>
                      <w:rFonts w:hint="eastAsia"/>
                      <w:lang w:eastAsia="zh-CN"/>
                    </w:rPr>
                    <w:t>“</w:t>
                  </w:r>
                  <w:r>
                    <w:t>十小</w:t>
                  </w:r>
                  <w:r>
                    <w:rPr>
                      <w:rFonts w:hint="eastAsia"/>
                      <w:lang w:eastAsia="zh-CN"/>
                    </w:rPr>
                    <w:t>”</w:t>
                  </w:r>
                  <w:r>
                    <w:t>企业，不属于造纸、制革、印染、染料、炼焦、炼硫、炼砷、炼油、电镀、农药等严重污染水环境的生产项目</w:t>
                  </w:r>
                  <w:r>
                    <w:rPr>
                      <w:rFonts w:hint="eastAsia"/>
                    </w:rPr>
                    <w:t>，</w:t>
                  </w:r>
                  <w:r>
                    <w:t>不属于落后产能，不属于重资产旅游产业，不涉及建设阻水建筑。</w:t>
                  </w:r>
                </w:p>
              </w:tc>
              <w:tc>
                <w:tcPr>
                  <w:tcW w:w="596" w:type="pct"/>
                  <w:noWrap/>
                  <w:vAlign w:val="center"/>
                </w:tcPr>
                <w:p w14:paraId="48379171">
                  <w:pPr>
                    <w:pStyle w:val="32"/>
                    <w:bidi w:val="0"/>
                  </w:pPr>
                  <w:r>
                    <w:t>符合</w:t>
                  </w:r>
                </w:p>
              </w:tc>
            </w:tr>
            <w:tr w14:paraId="229C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jc w:val="center"/>
              </w:trPr>
              <w:tc>
                <w:tcPr>
                  <w:tcW w:w="573" w:type="pct"/>
                  <w:noWrap/>
                  <w:vAlign w:val="center"/>
                </w:tcPr>
                <w:p w14:paraId="5951BEC6">
                  <w:pPr>
                    <w:pStyle w:val="32"/>
                    <w:bidi w:val="0"/>
                  </w:pPr>
                  <w:r>
                    <w:t>大气环境分区管控</w:t>
                  </w:r>
                  <w:r>
                    <w:rPr>
                      <w:rFonts w:hint="eastAsia"/>
                    </w:rPr>
                    <w:t>-</w:t>
                  </w:r>
                  <w:r>
                    <w:rPr>
                      <w:rFonts w:hint="eastAsia"/>
                      <w:lang w:val="en-US" w:eastAsia="zh-CN"/>
                    </w:rPr>
                    <w:t>受体敏感重点管控区</w:t>
                  </w:r>
                </w:p>
              </w:tc>
              <w:tc>
                <w:tcPr>
                  <w:tcW w:w="2069" w:type="pct"/>
                  <w:noWrap/>
                  <w:vAlign w:val="center"/>
                </w:tcPr>
                <w:p w14:paraId="74F68C6E">
                  <w:pPr>
                    <w:pStyle w:val="32"/>
                    <w:bidi w:val="0"/>
                  </w:pPr>
                  <w:r>
                    <w:rPr>
                      <w:rFonts w:hint="eastAsia"/>
                    </w:rPr>
                    <w:t>依据《</w:t>
                  </w:r>
                  <w:r>
                    <w:fldChar w:fldCharType="begin"/>
                  </w:r>
                  <w:r>
                    <w:instrText xml:space="preserve"> HYPERLINK "http://www.so.com/link?m=atqHUsVCrKgKvazQ1diDVK9MSZbKQoCRbJCwaRCjw2QUYOsGw7e0g5ebA0Ym7QAL6wuzl%2BHXq6VmwcazwiBBPgmMY8cBRnT6dyTav3%2FaiJlwyO2WNZ99m3CR7pFV2v0i72jgp9NNJUjqwDwh1PYtiZ%2F5i2BHGs2ruvKdPUtV1dVDG7GLyjrxR%2B8JFtCK0To62u%2Bs1vGD9AcG7JnNs1%2FGWMKE9Lz8%3D" \t "_blank" </w:instrText>
                  </w:r>
                  <w:r>
                    <w:fldChar w:fldCharType="separate"/>
                  </w:r>
                  <w:r>
                    <w:rPr>
                      <w:rFonts w:hint="eastAsia"/>
                    </w:rPr>
                    <w:t>中华人民共和国大气污染防治法</w:t>
                  </w:r>
                  <w:r>
                    <w:rPr>
                      <w:rFonts w:hint="eastAsia"/>
                    </w:rPr>
                    <w:fldChar w:fldCharType="end"/>
                  </w:r>
                  <w:r>
                    <w:rPr>
                      <w:rFonts w:hint="eastAsia"/>
                    </w:rPr>
                    <w:t>》《打赢蓝天保卫战三年行动计划》《安徽省打赢蓝天保卫战三年行动计划实施方案》等法律法规和规章对一般管控区实施管控。上年度</w:t>
                  </w:r>
                  <w:r>
                    <w:t>PM</w:t>
                  </w:r>
                  <w:r>
                    <w:rPr>
                      <w:vertAlign w:val="subscript"/>
                    </w:rPr>
                    <w:t>2.5</w:t>
                  </w:r>
                  <w:r>
                    <w:rPr>
                      <w:rFonts w:hint="eastAsia"/>
                    </w:rPr>
                    <w:t>不达标城市新建、改建和扩建项目大气污染物实施</w:t>
                  </w:r>
                  <w:r>
                    <w:rPr>
                      <w:rFonts w:hint="eastAsia"/>
                      <w:lang w:eastAsia="zh-CN"/>
                    </w:rPr>
                    <w:t>“</w:t>
                  </w:r>
                  <w:r>
                    <w:rPr>
                      <w:rFonts w:hint="eastAsia"/>
                    </w:rPr>
                    <w:t>倍量替代</w:t>
                  </w:r>
                  <w:r>
                    <w:rPr>
                      <w:rFonts w:hint="eastAsia"/>
                      <w:lang w:eastAsia="zh-CN"/>
                    </w:rPr>
                    <w:t>”</w:t>
                  </w:r>
                  <w:r>
                    <w:rPr>
                      <w:rFonts w:hint="eastAsia"/>
                    </w:rPr>
                    <w:t>，执行特别排放标准的行业实施提标升级改造。</w:t>
                  </w:r>
                </w:p>
              </w:tc>
              <w:tc>
                <w:tcPr>
                  <w:tcW w:w="1760" w:type="pct"/>
                  <w:noWrap/>
                  <w:vAlign w:val="center"/>
                </w:tcPr>
                <w:p w14:paraId="1F0E6C67">
                  <w:pPr>
                    <w:pStyle w:val="32"/>
                    <w:bidi w:val="0"/>
                    <w:rPr>
                      <w:rFonts w:hint="default"/>
                      <w:lang w:val="en-US" w:eastAsia="zh-CN"/>
                    </w:rPr>
                  </w:pPr>
                  <w:r>
                    <w:rPr>
                      <w:rFonts w:hint="eastAsia"/>
                      <w:lang w:val="en-US" w:eastAsia="zh-CN"/>
                    </w:rPr>
                    <w:t>项目污水处理站产生的废气经二级活性炭吸附装置处理后均能达标排放</w:t>
                  </w:r>
                </w:p>
              </w:tc>
              <w:tc>
                <w:tcPr>
                  <w:tcW w:w="596" w:type="pct"/>
                  <w:noWrap/>
                  <w:vAlign w:val="center"/>
                </w:tcPr>
                <w:p w14:paraId="733A73FE">
                  <w:pPr>
                    <w:pStyle w:val="32"/>
                    <w:bidi w:val="0"/>
                  </w:pPr>
                  <w:r>
                    <w:t>符合</w:t>
                  </w:r>
                </w:p>
              </w:tc>
            </w:tr>
            <w:tr w14:paraId="0B8C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noWrap/>
                  <w:vAlign w:val="center"/>
                </w:tcPr>
                <w:p w14:paraId="307125F8">
                  <w:pPr>
                    <w:pStyle w:val="32"/>
                    <w:bidi w:val="0"/>
                  </w:pPr>
                  <w:r>
                    <w:t>土壤环境风险-</w:t>
                  </w:r>
                  <w:r>
                    <w:rPr>
                      <w:rFonts w:hint="eastAsia"/>
                    </w:rPr>
                    <w:t>一般管控区</w:t>
                  </w:r>
                </w:p>
              </w:tc>
              <w:tc>
                <w:tcPr>
                  <w:tcW w:w="2069" w:type="pct"/>
                  <w:noWrap/>
                  <w:vAlign w:val="center"/>
                </w:tcPr>
                <w:p w14:paraId="3E1087E1">
                  <w:pPr>
                    <w:pStyle w:val="32"/>
                    <w:bidi w:val="0"/>
                  </w:pPr>
                  <w:r>
                    <w:rPr>
                      <w:rFonts w:hint="eastAsia"/>
                    </w:rPr>
                    <w:t>落实《安徽省</w:t>
                  </w:r>
                  <w:r>
                    <w:rPr>
                      <w:rFonts w:hint="eastAsia"/>
                      <w:lang w:eastAsia="zh-CN"/>
                    </w:rPr>
                    <w:t>“</w:t>
                  </w:r>
                  <w:r>
                    <w:rPr>
                      <w:rFonts w:hint="eastAsia"/>
                    </w:rPr>
                    <w:t>十三五</w:t>
                  </w:r>
                  <w:r>
                    <w:rPr>
                      <w:rFonts w:hint="eastAsia"/>
                      <w:lang w:eastAsia="zh-CN"/>
                    </w:rPr>
                    <w:t>”</w:t>
                  </w:r>
                  <w:r>
                    <w:rPr>
                      <w:rFonts w:hint="eastAsia"/>
                    </w:rPr>
                    <w:t>环境保护规划》《安徽省</w:t>
                  </w:r>
                  <w:r>
                    <w:rPr>
                      <w:rFonts w:hint="eastAsia"/>
                      <w:lang w:eastAsia="zh-CN"/>
                    </w:rPr>
                    <w:t>“</w:t>
                  </w:r>
                  <w:r>
                    <w:rPr>
                      <w:rFonts w:hint="eastAsia"/>
                    </w:rPr>
                    <w:t>十三五</w:t>
                  </w:r>
                  <w:r>
                    <w:rPr>
                      <w:rFonts w:hint="eastAsia"/>
                      <w:lang w:eastAsia="zh-CN"/>
                    </w:rPr>
                    <w:t>”</w:t>
                  </w:r>
                  <w:r>
                    <w:rPr>
                      <w:rFonts w:hint="eastAsia"/>
                    </w:rPr>
                    <w:t>重金属污染综合防治规划》《安徽省</w:t>
                  </w:r>
                  <w:r>
                    <w:rPr>
                      <w:rFonts w:hint="eastAsia"/>
                      <w:lang w:eastAsia="zh-CN"/>
                    </w:rPr>
                    <w:t>“</w:t>
                  </w:r>
                  <w:r>
                    <w:rPr>
                      <w:rFonts w:hint="eastAsia"/>
                    </w:rPr>
                    <w:t>十三五</w:t>
                  </w:r>
                  <w:r>
                    <w:rPr>
                      <w:rFonts w:hint="eastAsia"/>
                      <w:lang w:eastAsia="zh-CN"/>
                    </w:rPr>
                    <w:t>”</w:t>
                  </w:r>
                  <w:r>
                    <w:rPr>
                      <w:rFonts w:hint="eastAsia"/>
                    </w:rPr>
                    <w:t>危险废物污染防治规划》《安徽省土壤污染防治工作方案》等要求，防止土壤污染风险。</w:t>
                  </w:r>
                </w:p>
              </w:tc>
              <w:tc>
                <w:tcPr>
                  <w:tcW w:w="1760" w:type="pct"/>
                  <w:noWrap/>
                  <w:vAlign w:val="center"/>
                </w:tcPr>
                <w:p w14:paraId="08A6F1F7">
                  <w:pPr>
                    <w:pStyle w:val="32"/>
                    <w:bidi w:val="0"/>
                  </w:pPr>
                  <w:r>
                    <w:rPr>
                      <w:rFonts w:hint="eastAsia"/>
                    </w:rPr>
                    <w:t>本项目</w:t>
                  </w:r>
                  <w:r>
                    <w:rPr>
                      <w:rFonts w:hint="eastAsia"/>
                      <w:lang w:val="en-US" w:eastAsia="zh-CN"/>
                    </w:rPr>
                    <w:t>进行</w:t>
                  </w:r>
                  <w:r>
                    <w:t>分区防渗，</w:t>
                  </w:r>
                  <w:r>
                    <w:rPr>
                      <w:rFonts w:hint="eastAsia"/>
                      <w:highlight w:val="none"/>
                      <w:lang w:val="en-US" w:eastAsia="zh-CN"/>
                    </w:rPr>
                    <w:t>医疗废物暂存间、危废暂存间、事故池、污水处理站池体等区域</w:t>
                  </w:r>
                  <w:r>
                    <w:rPr>
                      <w:highlight w:val="none"/>
                    </w:rPr>
                    <w:t>重点防渗</w:t>
                  </w:r>
                  <w:r>
                    <w:rPr>
                      <w:rFonts w:hint="eastAsia"/>
                      <w:highlight w:val="none"/>
                    </w:rPr>
                    <w:t>；</w:t>
                  </w:r>
                  <w:r>
                    <w:rPr>
                      <w:rFonts w:hint="eastAsia"/>
                      <w:highlight w:val="none"/>
                      <w:lang w:val="en-US" w:eastAsia="zh-CN"/>
                    </w:rPr>
                    <w:t>门诊、住院等其他区域</w:t>
                  </w:r>
                  <w:r>
                    <w:rPr>
                      <w:rFonts w:hint="eastAsia"/>
                      <w:highlight w:val="none"/>
                    </w:rPr>
                    <w:t>进</w:t>
                  </w:r>
                  <w:r>
                    <w:rPr>
                      <w:rFonts w:hint="eastAsia"/>
                    </w:rPr>
                    <w:t>行一般地面硬化，土壤风险较小。</w:t>
                  </w:r>
                </w:p>
              </w:tc>
              <w:tc>
                <w:tcPr>
                  <w:tcW w:w="596" w:type="pct"/>
                  <w:noWrap/>
                  <w:vAlign w:val="center"/>
                </w:tcPr>
                <w:p w14:paraId="61E279C4">
                  <w:pPr>
                    <w:pStyle w:val="32"/>
                    <w:bidi w:val="0"/>
                  </w:pPr>
                  <w:r>
                    <w:t>符合</w:t>
                  </w:r>
                </w:p>
              </w:tc>
            </w:tr>
          </w:tbl>
          <w:p w14:paraId="3F1FD678">
            <w:pPr>
              <w:bidi w:val="0"/>
              <w:rPr>
                <w:rFonts w:hint="default"/>
                <w:b/>
                <w:bCs/>
                <w:color w:val="auto"/>
              </w:rPr>
            </w:pPr>
            <w:r>
              <w:rPr>
                <w:rFonts w:hint="default"/>
                <w:b/>
                <w:bCs/>
                <w:color w:val="auto"/>
              </w:rPr>
              <w:t>（2）</w:t>
            </w:r>
            <w:r>
              <w:rPr>
                <w:rFonts w:hint="eastAsia"/>
                <w:b/>
                <w:bCs/>
                <w:color w:val="auto"/>
                <w:lang w:val="en-US" w:eastAsia="zh-CN"/>
              </w:rPr>
              <w:t>生态环境分区管控</w:t>
            </w:r>
            <w:r>
              <w:rPr>
                <w:rFonts w:hint="default"/>
                <w:b/>
                <w:bCs/>
                <w:color w:val="auto"/>
              </w:rPr>
              <w:t>相符性</w:t>
            </w:r>
          </w:p>
          <w:p w14:paraId="7D17F8F7">
            <w:pPr>
              <w:bidi w:val="0"/>
              <w:rPr>
                <w:rFonts w:hint="eastAsia"/>
                <w:color w:val="auto"/>
              </w:rPr>
            </w:pPr>
            <w:r>
              <w:rPr>
                <w:rFonts w:hint="eastAsia"/>
                <w:color w:val="auto"/>
              </w:rPr>
              <w:t>根据安徽省</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公众服务平台查询，本项目所在区域环境管控单元编码为：ZH34040</w:t>
            </w:r>
            <w:r>
              <w:rPr>
                <w:rFonts w:hint="eastAsia"/>
                <w:color w:val="auto"/>
                <w:lang w:val="en-US" w:eastAsia="zh-CN"/>
              </w:rPr>
              <w:t>320026</w:t>
            </w:r>
            <w:r>
              <w:rPr>
                <w:rFonts w:hint="eastAsia"/>
                <w:color w:val="auto"/>
              </w:rPr>
              <w:t>，与</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成果数据分析，与1个环境管控单元存在交叠，其中优先保护类0个，重点管控类1个，一般管控类0个。根据淮南市</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图集</w:t>
            </w:r>
            <w:r>
              <w:rPr>
                <w:rFonts w:hint="eastAsia"/>
                <w:color w:val="auto"/>
                <w:lang w:val="en-US" w:eastAsia="zh-CN"/>
              </w:rPr>
              <w:t>，对照</w:t>
            </w:r>
            <w:r>
              <w:rPr>
                <w:rFonts w:hint="eastAsia"/>
                <w:color w:val="auto"/>
              </w:rPr>
              <w:t>安徽</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管控要求查询报告</w:t>
            </w:r>
            <w:r>
              <w:rPr>
                <w:rFonts w:hint="eastAsia"/>
                <w:color w:val="auto"/>
                <w:lang w:val="en-US" w:eastAsia="zh-CN"/>
              </w:rPr>
              <w:t>内容要求</w:t>
            </w:r>
            <w:r>
              <w:rPr>
                <w:rFonts w:hint="eastAsia"/>
                <w:color w:val="auto"/>
              </w:rPr>
              <w:t>，本次环评筛选了与本项目有关的管控</w:t>
            </w:r>
            <w:r>
              <w:rPr>
                <w:rFonts w:hint="eastAsia"/>
                <w:color w:val="auto"/>
                <w:lang w:val="en-US" w:eastAsia="zh-CN"/>
              </w:rPr>
              <w:t>要求</w:t>
            </w:r>
            <w:r>
              <w:rPr>
                <w:rFonts w:hint="eastAsia"/>
                <w:color w:val="auto"/>
              </w:rPr>
              <w:t>单元生态环境准入清单进行分析，详见下表。</w:t>
            </w:r>
          </w:p>
          <w:p w14:paraId="7DD37E3B">
            <w:pPr>
              <w:bidi w:val="0"/>
              <w:ind w:left="0" w:leftChars="0" w:firstLine="0" w:firstLineChars="0"/>
              <w:jc w:val="center"/>
              <w:rPr>
                <w:rFonts w:hint="eastAsia"/>
                <w:lang w:eastAsia="zh-CN"/>
              </w:rPr>
            </w:pPr>
            <w:r>
              <w:rPr>
                <w:rFonts w:hint="eastAsia"/>
                <w:lang w:eastAsia="zh-CN"/>
              </w:rPr>
              <w:drawing>
                <wp:inline distT="0" distB="0" distL="114300" distR="114300">
                  <wp:extent cx="4055110" cy="3028950"/>
                  <wp:effectExtent l="0" t="0" r="2540" b="0"/>
                  <wp:docPr id="3" name="图片 3" descr="4e955ec73513e2af356860d1773d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e955ec73513e2af356860d1773da34"/>
                          <pic:cNvPicPr>
                            <a:picLocks noChangeAspect="1"/>
                          </pic:cNvPicPr>
                        </pic:nvPicPr>
                        <pic:blipFill>
                          <a:blip r:embed="rId20"/>
                          <a:stretch>
                            <a:fillRect/>
                          </a:stretch>
                        </pic:blipFill>
                        <pic:spPr>
                          <a:xfrm>
                            <a:off x="0" y="0"/>
                            <a:ext cx="4055110" cy="3028950"/>
                          </a:xfrm>
                          <a:prstGeom prst="rect">
                            <a:avLst/>
                          </a:prstGeom>
                        </pic:spPr>
                      </pic:pic>
                    </a:graphicData>
                  </a:graphic>
                </wp:inline>
              </w:drawing>
            </w:r>
          </w:p>
          <w:p w14:paraId="4612BBC5">
            <w:pPr>
              <w:pStyle w:val="27"/>
              <w:bidi w:val="0"/>
              <w:rPr>
                <w:rFonts w:hint="default"/>
                <w:lang w:val="en-US" w:eastAsia="zh-CN"/>
              </w:rPr>
            </w:pPr>
            <w:r>
              <w:rPr>
                <w:rFonts w:hint="eastAsia"/>
                <w:lang w:val="en-US" w:eastAsia="zh-CN"/>
              </w:rPr>
              <w:t>图1-1  本项目在生态环境分区管控单元的点位图</w:t>
            </w:r>
          </w:p>
          <w:p w14:paraId="05BD8D47">
            <w:pPr>
              <w:pStyle w:val="27"/>
              <w:bidi w:val="0"/>
            </w:pPr>
            <w:r>
              <w:rPr>
                <w:rFonts w:hint="eastAsia"/>
                <w:lang w:val="en-US" w:eastAsia="zh-CN"/>
              </w:rPr>
              <w:t>表1-4  本项目与生态管控单元的符合性分析</w:t>
            </w:r>
          </w:p>
          <w:tbl>
            <w:tblPr>
              <w:tblStyle w:val="18"/>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626"/>
              <w:gridCol w:w="2753"/>
              <w:gridCol w:w="2028"/>
              <w:gridCol w:w="843"/>
            </w:tblGrid>
            <w:tr w14:paraId="303A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noWrap w:val="0"/>
                  <w:vAlign w:val="center"/>
                </w:tcPr>
                <w:p w14:paraId="4E8EB309">
                  <w:pPr>
                    <w:pStyle w:val="32"/>
                    <w:bidi w:val="0"/>
                    <w:rPr>
                      <w:b/>
                      <w:bCs/>
                    </w:rPr>
                  </w:pPr>
                  <w:r>
                    <w:rPr>
                      <w:rFonts w:hint="eastAsia"/>
                      <w:b/>
                      <w:bCs/>
                      <w:lang w:val="en-US" w:eastAsia="zh-CN"/>
                    </w:rPr>
                    <w:t>区域管控要求</w:t>
                  </w:r>
                </w:p>
              </w:tc>
              <w:tc>
                <w:tcPr>
                  <w:tcW w:w="442" w:type="pct"/>
                  <w:noWrap w:val="0"/>
                  <w:vAlign w:val="center"/>
                </w:tcPr>
                <w:p w14:paraId="217F61DF">
                  <w:pPr>
                    <w:pStyle w:val="32"/>
                    <w:bidi w:val="0"/>
                    <w:rPr>
                      <w:b/>
                      <w:bCs/>
                    </w:rPr>
                  </w:pPr>
                  <w:r>
                    <w:rPr>
                      <w:rFonts w:hint="eastAsia"/>
                      <w:b/>
                      <w:bCs/>
                      <w:lang w:val="en-US" w:eastAsia="zh-CN"/>
                    </w:rPr>
                    <w:t>管控</w:t>
                  </w:r>
                </w:p>
                <w:p w14:paraId="117B4172">
                  <w:pPr>
                    <w:pStyle w:val="32"/>
                    <w:bidi w:val="0"/>
                    <w:rPr>
                      <w:b/>
                      <w:bCs/>
                    </w:rPr>
                  </w:pPr>
                  <w:r>
                    <w:rPr>
                      <w:rFonts w:hint="eastAsia"/>
                      <w:b/>
                      <w:bCs/>
                      <w:lang w:val="en-US" w:eastAsia="zh-CN"/>
                    </w:rPr>
                    <w:t>类别</w:t>
                  </w:r>
                </w:p>
              </w:tc>
              <w:tc>
                <w:tcPr>
                  <w:tcW w:w="1945" w:type="pct"/>
                  <w:noWrap w:val="0"/>
                  <w:vAlign w:val="center"/>
                </w:tcPr>
                <w:p w14:paraId="3E54E5B8">
                  <w:pPr>
                    <w:pStyle w:val="32"/>
                    <w:bidi w:val="0"/>
                    <w:rPr>
                      <w:b/>
                      <w:bCs/>
                    </w:rPr>
                  </w:pPr>
                  <w:r>
                    <w:rPr>
                      <w:rFonts w:hint="eastAsia"/>
                      <w:b/>
                      <w:bCs/>
                      <w:lang w:val="en-US" w:eastAsia="zh-CN"/>
                    </w:rPr>
                    <w:t>管控要求</w:t>
                  </w:r>
                </w:p>
              </w:tc>
              <w:tc>
                <w:tcPr>
                  <w:tcW w:w="1432" w:type="pct"/>
                  <w:noWrap w:val="0"/>
                  <w:vAlign w:val="center"/>
                </w:tcPr>
                <w:p w14:paraId="4E641415">
                  <w:pPr>
                    <w:pStyle w:val="32"/>
                    <w:bidi w:val="0"/>
                    <w:rPr>
                      <w:b/>
                      <w:bCs/>
                    </w:rPr>
                  </w:pPr>
                  <w:r>
                    <w:rPr>
                      <w:b/>
                      <w:bCs/>
                    </w:rPr>
                    <w:t>协调性分析</w:t>
                  </w:r>
                </w:p>
              </w:tc>
              <w:tc>
                <w:tcPr>
                  <w:tcW w:w="595" w:type="pct"/>
                  <w:noWrap w:val="0"/>
                  <w:vAlign w:val="center"/>
                </w:tcPr>
                <w:p w14:paraId="288CE5D5">
                  <w:pPr>
                    <w:pStyle w:val="32"/>
                    <w:bidi w:val="0"/>
                    <w:rPr>
                      <w:b/>
                      <w:bCs/>
                    </w:rPr>
                  </w:pPr>
                  <w:r>
                    <w:rPr>
                      <w:b/>
                      <w:bCs/>
                    </w:rPr>
                    <w:t>符合性分析</w:t>
                  </w:r>
                </w:p>
              </w:tc>
            </w:tr>
            <w:tr w14:paraId="6FF4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vMerge w:val="restart"/>
                  <w:noWrap w:val="0"/>
                  <w:vAlign w:val="center"/>
                </w:tcPr>
                <w:p w14:paraId="6DB7AA9F">
                  <w:pPr>
                    <w:pStyle w:val="32"/>
                    <w:bidi w:val="0"/>
                    <w:rPr>
                      <w:rFonts w:hint="eastAsia" w:eastAsia="宋体"/>
                      <w:lang w:val="en-US" w:eastAsia="zh-CN"/>
                    </w:rPr>
                  </w:pPr>
                  <w:r>
                    <w:t>重点管控单元</w:t>
                  </w:r>
                  <w:r>
                    <w:rPr>
                      <w:rFonts w:hint="eastAsia"/>
                      <w:lang w:val="en-US" w:eastAsia="zh-CN"/>
                    </w:rPr>
                    <w:t>8</w:t>
                  </w:r>
                </w:p>
              </w:tc>
              <w:tc>
                <w:tcPr>
                  <w:tcW w:w="442" w:type="pct"/>
                  <w:vMerge w:val="restart"/>
                  <w:noWrap w:val="0"/>
                  <w:vAlign w:val="center"/>
                </w:tcPr>
                <w:p w14:paraId="68AD4925">
                  <w:pPr>
                    <w:pStyle w:val="32"/>
                    <w:bidi w:val="0"/>
                  </w:pPr>
                  <w:r>
                    <w:rPr>
                      <w:rFonts w:hint="eastAsia"/>
                      <w:lang w:val="en-US" w:eastAsia="zh-CN"/>
                    </w:rPr>
                    <w:t>空间布局约束</w:t>
                  </w:r>
                </w:p>
              </w:tc>
              <w:tc>
                <w:tcPr>
                  <w:tcW w:w="1945" w:type="pct"/>
                  <w:shd w:val="clear" w:color="auto" w:fill="auto"/>
                  <w:noWrap w:val="0"/>
                  <w:vAlign w:val="center"/>
                </w:tcPr>
                <w:p w14:paraId="50B603B4">
                  <w:pPr>
                    <w:pStyle w:val="32"/>
                    <w:bidi w:val="0"/>
                    <w:ind w:firstLine="0" w:firstLineChars="0"/>
                    <w:rPr>
                      <w:rFonts w:hint="eastAsia"/>
                      <w:lang w:eastAsia="zh-CN"/>
                    </w:rPr>
                  </w:pPr>
                  <w:r>
                    <w:rPr>
                      <w:rFonts w:hint="eastAsia"/>
                    </w:rPr>
                    <w:t>2禁止新建燃料类煤气发生炉(园区现有企业统一建设的</w:t>
                  </w:r>
                  <w:r>
                    <w:rPr>
                      <w:rFonts w:hint="eastAsia"/>
                      <w:lang w:val="en-US" w:eastAsia="zh-CN"/>
                    </w:rPr>
                    <w:t>清洁</w:t>
                  </w:r>
                  <w:r>
                    <w:rPr>
                      <w:rFonts w:hint="eastAsia"/>
                    </w:rPr>
                    <w:t>煤制气中心除外)</w:t>
                  </w:r>
                  <w:r>
                    <w:rPr>
                      <w:rFonts w:hint="eastAsia"/>
                      <w:lang w:eastAsia="zh-CN"/>
                    </w:rPr>
                    <w:t>。</w:t>
                  </w:r>
                </w:p>
                <w:p w14:paraId="74581F66">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3严禁新增钢铁、焦化、电解铝、铸造、水泥、平板玻璃等产能；严格执铸造、水泥、平板玻璃等行业产能置换实施办法</w:t>
                  </w:r>
                </w:p>
              </w:tc>
              <w:tc>
                <w:tcPr>
                  <w:tcW w:w="1432" w:type="pct"/>
                  <w:shd w:val="clear" w:color="auto" w:fill="auto"/>
                  <w:noWrap w:val="0"/>
                  <w:vAlign w:val="center"/>
                </w:tcPr>
                <w:p w14:paraId="2CFBF695">
                  <w:pPr>
                    <w:pStyle w:val="32"/>
                    <w:bidi w:val="0"/>
                    <w:ind w:firstLine="0" w:firstLineChars="0"/>
                    <w:rPr>
                      <w:rFonts w:hint="eastAsia"/>
                      <w:lang w:val="en-US" w:eastAsia="zh-CN"/>
                    </w:rPr>
                  </w:pPr>
                  <w:r>
                    <w:rPr>
                      <w:rFonts w:hint="eastAsia"/>
                      <w:lang w:val="en-US" w:eastAsia="zh-CN"/>
                    </w:rPr>
                    <w:t>2本项目不建设燃料类煤气发生炉。</w:t>
                  </w:r>
                </w:p>
                <w:p w14:paraId="68F0DCFD">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3项目属于Q8415 专科医院，不属于钢铁、有色、石化、水泥、化工等重污染企业。</w:t>
                  </w:r>
                </w:p>
              </w:tc>
              <w:tc>
                <w:tcPr>
                  <w:tcW w:w="595" w:type="pct"/>
                  <w:shd w:val="clear" w:color="auto" w:fill="auto"/>
                  <w:noWrap w:val="0"/>
                  <w:vAlign w:val="center"/>
                </w:tcPr>
                <w:p w14:paraId="0F627CA9">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符合</w:t>
                  </w:r>
                </w:p>
              </w:tc>
            </w:tr>
            <w:tr w14:paraId="7E07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vMerge w:val="continue"/>
                  <w:noWrap w:val="0"/>
                  <w:vAlign w:val="center"/>
                </w:tcPr>
                <w:p w14:paraId="54C63E98">
                  <w:pPr>
                    <w:pStyle w:val="32"/>
                    <w:bidi w:val="0"/>
                  </w:pPr>
                </w:p>
              </w:tc>
              <w:tc>
                <w:tcPr>
                  <w:tcW w:w="442" w:type="pct"/>
                  <w:vMerge w:val="continue"/>
                  <w:noWrap w:val="0"/>
                  <w:vAlign w:val="center"/>
                </w:tcPr>
                <w:p w14:paraId="38F6F78F">
                  <w:pPr>
                    <w:pStyle w:val="32"/>
                    <w:bidi w:val="0"/>
                    <w:rPr>
                      <w:rFonts w:hint="eastAsia"/>
                      <w:lang w:val="en-US" w:eastAsia="zh-CN"/>
                    </w:rPr>
                  </w:pPr>
                </w:p>
              </w:tc>
              <w:tc>
                <w:tcPr>
                  <w:tcW w:w="1945" w:type="pct"/>
                  <w:shd w:val="clear" w:color="auto" w:fill="auto"/>
                  <w:noWrap w:val="0"/>
                  <w:vAlign w:val="center"/>
                </w:tcPr>
                <w:p w14:paraId="2B0E1A5D">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4</w:t>
                  </w:r>
                  <w:r>
                    <w:rPr>
                      <w:rFonts w:hint="eastAsia"/>
                    </w:rPr>
                    <w:t>严格执行国家关于</w:t>
                  </w:r>
                  <w:r>
                    <w:rPr>
                      <w:rFonts w:hint="eastAsia"/>
                      <w:lang w:eastAsia="zh-CN"/>
                    </w:rPr>
                    <w:t>“</w:t>
                  </w:r>
                  <w:r>
                    <w:rPr>
                      <w:rFonts w:hint="eastAsia"/>
                    </w:rPr>
                    <w:t>两高</w:t>
                  </w:r>
                  <w:r>
                    <w:rPr>
                      <w:rFonts w:hint="eastAsia"/>
                      <w:lang w:eastAsia="zh-CN"/>
                    </w:rPr>
                    <w:t>”</w:t>
                  </w:r>
                  <w:r>
                    <w:rPr>
                      <w:rFonts w:hint="eastAsia"/>
                    </w:rPr>
                    <w:t>产业准入目录和产能总量控制政策措施。严禁新增钢铁、焦化、电解铝、铸造、水泥和平板玻璃等产能；新、改、扩建涉及大宗物料运输的建设项目，原则上不得采用公路运输。</w:t>
                  </w:r>
                </w:p>
              </w:tc>
              <w:tc>
                <w:tcPr>
                  <w:tcW w:w="1432" w:type="pct"/>
                  <w:shd w:val="clear" w:color="auto" w:fill="auto"/>
                  <w:noWrap w:val="0"/>
                  <w:vAlign w:val="center"/>
                </w:tcPr>
                <w:p w14:paraId="6ACC0744">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4对照《安徽省“两高”项目管理目录（试行）》，本项目不属于两高项目。本项目不属于</w:t>
                  </w:r>
                  <w:r>
                    <w:rPr>
                      <w:rFonts w:hint="eastAsia"/>
                    </w:rPr>
                    <w:t>钢铁、焦化、电解铝、铸造、水泥和平板玻璃</w:t>
                  </w:r>
                  <w:r>
                    <w:rPr>
                      <w:rFonts w:hint="eastAsia"/>
                      <w:lang w:val="en-US" w:eastAsia="zh-CN"/>
                    </w:rPr>
                    <w:t>。项目不涉及大宗物料运输。</w:t>
                  </w:r>
                </w:p>
              </w:tc>
              <w:tc>
                <w:tcPr>
                  <w:tcW w:w="595" w:type="pct"/>
                  <w:shd w:val="clear" w:color="auto" w:fill="auto"/>
                  <w:noWrap w:val="0"/>
                  <w:vAlign w:val="center"/>
                </w:tcPr>
                <w:p w14:paraId="45579119">
                  <w:pPr>
                    <w:pStyle w:val="32"/>
                    <w:bidi w:val="0"/>
                    <w:ind w:firstLine="0" w:firstLineChars="0"/>
                    <w:rPr>
                      <w:rFonts w:ascii="Times New Roman" w:hAnsi="Times New Roman" w:eastAsia="宋体" w:cs="Times New Roman"/>
                      <w:kern w:val="2"/>
                      <w:sz w:val="21"/>
                      <w:szCs w:val="24"/>
                      <w:lang w:val="en-US" w:eastAsia="zh-CN" w:bidi="ar-SA"/>
                    </w:rPr>
                  </w:pPr>
                  <w:r>
                    <w:t>符合</w:t>
                  </w:r>
                </w:p>
              </w:tc>
            </w:tr>
            <w:tr w14:paraId="2A11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vMerge w:val="continue"/>
                  <w:noWrap w:val="0"/>
                  <w:vAlign w:val="center"/>
                </w:tcPr>
                <w:p w14:paraId="3385B875">
                  <w:pPr>
                    <w:pStyle w:val="32"/>
                    <w:bidi w:val="0"/>
                  </w:pPr>
                </w:p>
              </w:tc>
              <w:tc>
                <w:tcPr>
                  <w:tcW w:w="442" w:type="pct"/>
                  <w:vMerge w:val="continue"/>
                  <w:noWrap w:val="0"/>
                  <w:vAlign w:val="center"/>
                </w:tcPr>
                <w:p w14:paraId="0AC84906">
                  <w:pPr>
                    <w:pStyle w:val="32"/>
                    <w:bidi w:val="0"/>
                    <w:rPr>
                      <w:rFonts w:hint="eastAsia"/>
                      <w:lang w:val="en-US" w:eastAsia="zh-CN"/>
                    </w:rPr>
                  </w:pPr>
                </w:p>
              </w:tc>
              <w:tc>
                <w:tcPr>
                  <w:tcW w:w="1945" w:type="pct"/>
                  <w:shd w:val="clear" w:color="auto" w:fill="auto"/>
                  <w:noWrap w:val="0"/>
                  <w:vAlign w:val="center"/>
                </w:tcPr>
                <w:p w14:paraId="6313F73B">
                  <w:pPr>
                    <w:pStyle w:val="32"/>
                    <w:bidi w:val="0"/>
                    <w:ind w:firstLine="0" w:firstLineChars="0"/>
                    <w:rPr>
                      <w:rFonts w:hint="eastAsia"/>
                      <w:lang w:val="en-US" w:eastAsia="zh-CN"/>
                    </w:rPr>
                  </w:pPr>
                  <w:r>
                    <w:rPr>
                      <w:rFonts w:hint="eastAsia"/>
                      <w:lang w:val="en-US" w:eastAsia="zh-CN"/>
                    </w:rPr>
                    <w:t>12禁止新建、扩建分散燃煤供热锅炉。13在城市规划区内禁止新建、扩建大气污染严重的建设项目。</w:t>
                  </w:r>
                </w:p>
              </w:tc>
              <w:tc>
                <w:tcPr>
                  <w:tcW w:w="1432" w:type="pct"/>
                  <w:shd w:val="clear" w:color="auto" w:fill="auto"/>
                  <w:noWrap w:val="0"/>
                  <w:vAlign w:val="center"/>
                </w:tcPr>
                <w:p w14:paraId="23F08EC7">
                  <w:pPr>
                    <w:pStyle w:val="32"/>
                    <w:bidi w:val="0"/>
                    <w:ind w:firstLine="0" w:firstLineChars="0"/>
                    <w:rPr>
                      <w:rFonts w:hint="eastAsia"/>
                      <w:lang w:val="en-US" w:eastAsia="zh-CN"/>
                    </w:rPr>
                  </w:pPr>
                  <w:r>
                    <w:rPr>
                      <w:rFonts w:hint="eastAsia"/>
                      <w:lang w:val="en-US" w:eastAsia="zh-CN"/>
                    </w:rPr>
                    <w:t>12项目无分散燃煤供热锅炉。</w:t>
                  </w:r>
                </w:p>
                <w:p w14:paraId="672F2905">
                  <w:pPr>
                    <w:pStyle w:val="32"/>
                    <w:bidi w:val="0"/>
                    <w:ind w:firstLine="0" w:firstLineChars="0"/>
                    <w:rPr>
                      <w:rFonts w:hint="default"/>
                      <w:lang w:val="en-US" w:eastAsia="zh-CN"/>
                    </w:rPr>
                  </w:pPr>
                  <w:r>
                    <w:rPr>
                      <w:rFonts w:hint="eastAsia"/>
                      <w:lang w:val="en-US" w:eastAsia="zh-CN"/>
                    </w:rPr>
                    <w:t>13项目污水处理站臭气</w:t>
                  </w:r>
                  <w:r>
                    <w:rPr>
                      <w:rFonts w:hint="eastAsia"/>
                      <w:highlight w:val="none"/>
                      <w:lang w:val="en-US" w:eastAsia="zh-CN"/>
                    </w:rPr>
                    <w:t>经二级活性炭吸附装置处理</w:t>
                  </w:r>
                  <w:r>
                    <w:rPr>
                      <w:rFonts w:hint="eastAsia"/>
                      <w:lang w:val="en-US" w:eastAsia="zh-CN"/>
                    </w:rPr>
                    <w:t>后达标排放，不属于大气污染严重的建设项目</w:t>
                  </w:r>
                </w:p>
              </w:tc>
              <w:tc>
                <w:tcPr>
                  <w:tcW w:w="595" w:type="pct"/>
                  <w:shd w:val="clear" w:color="auto" w:fill="auto"/>
                  <w:noWrap w:val="0"/>
                  <w:vAlign w:val="center"/>
                </w:tcPr>
                <w:p w14:paraId="70E96E86">
                  <w:pPr>
                    <w:pStyle w:val="32"/>
                    <w:bidi w:val="0"/>
                    <w:ind w:firstLine="0" w:firstLineChars="0"/>
                    <w:rPr>
                      <w:rFonts w:hint="eastAsia" w:eastAsia="宋体"/>
                      <w:lang w:val="en-US" w:eastAsia="zh-CN"/>
                    </w:rPr>
                  </w:pPr>
                  <w:r>
                    <w:rPr>
                      <w:rFonts w:hint="eastAsia"/>
                      <w:lang w:val="en-US" w:eastAsia="zh-CN"/>
                    </w:rPr>
                    <w:t>符合</w:t>
                  </w:r>
                </w:p>
              </w:tc>
            </w:tr>
            <w:tr w14:paraId="67EC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vMerge w:val="continue"/>
                  <w:noWrap w:val="0"/>
                  <w:vAlign w:val="center"/>
                </w:tcPr>
                <w:p w14:paraId="2904977E">
                  <w:pPr>
                    <w:pStyle w:val="32"/>
                    <w:bidi w:val="0"/>
                  </w:pPr>
                </w:p>
              </w:tc>
              <w:tc>
                <w:tcPr>
                  <w:tcW w:w="442" w:type="pct"/>
                  <w:vMerge w:val="continue"/>
                  <w:noWrap w:val="0"/>
                  <w:vAlign w:val="center"/>
                </w:tcPr>
                <w:p w14:paraId="737F3B1E">
                  <w:pPr>
                    <w:pStyle w:val="32"/>
                    <w:bidi w:val="0"/>
                    <w:rPr>
                      <w:rFonts w:hint="eastAsia"/>
                      <w:lang w:val="en-US" w:eastAsia="zh-CN"/>
                    </w:rPr>
                  </w:pPr>
                </w:p>
              </w:tc>
              <w:tc>
                <w:tcPr>
                  <w:tcW w:w="1945" w:type="pct"/>
                  <w:shd w:val="clear" w:color="auto" w:fill="auto"/>
                  <w:noWrap w:val="0"/>
                  <w:vAlign w:val="center"/>
                </w:tcPr>
                <w:p w14:paraId="7FE1F944">
                  <w:pPr>
                    <w:pStyle w:val="32"/>
                    <w:bidi w:val="0"/>
                    <w:ind w:firstLine="0" w:firstLineChars="0"/>
                    <w:rPr>
                      <w:rFonts w:hint="eastAsia"/>
                      <w:lang w:val="en-US" w:eastAsia="zh-CN"/>
                    </w:rPr>
                  </w:pPr>
                  <w:r>
                    <w:rPr>
                      <w:rFonts w:hint="eastAsia"/>
                      <w:lang w:val="en-US" w:eastAsia="zh-CN"/>
                    </w:rPr>
                    <w:t>15禁止在人口集中地区、机场周围、交通干线附近以及当地人民政府划定的区域露天焚烧秸秆、落叶、垃圾等产生烟尘污染的物质。</w:t>
                  </w:r>
                </w:p>
                <w:p w14:paraId="3DD486E2">
                  <w:pPr>
                    <w:pStyle w:val="32"/>
                    <w:bidi w:val="0"/>
                    <w:ind w:firstLine="0" w:firstLineChars="0"/>
                    <w:rPr>
                      <w:rFonts w:hint="eastAsia"/>
                      <w:lang w:val="en-US" w:eastAsia="zh-CN"/>
                    </w:rPr>
                  </w:pPr>
                  <w:r>
                    <w:rPr>
                      <w:rFonts w:hint="eastAsia"/>
                      <w:lang w:val="en-US" w:eastAsia="zh-CN"/>
                    </w:rPr>
                    <w:t>16在燃气管网和集中供热管网覆盖的区域，不得新建、扩建、改建燃烧煤炭。重油、渣油的供热设施；原有分散的中小型燃煤供热锅炉应当限期拆</w:t>
                  </w:r>
                </w:p>
              </w:tc>
              <w:tc>
                <w:tcPr>
                  <w:tcW w:w="1432" w:type="pct"/>
                  <w:shd w:val="clear" w:color="auto" w:fill="auto"/>
                  <w:noWrap w:val="0"/>
                  <w:vAlign w:val="center"/>
                </w:tcPr>
                <w:p w14:paraId="66D442FB">
                  <w:pPr>
                    <w:pStyle w:val="32"/>
                    <w:bidi w:val="0"/>
                    <w:ind w:firstLine="0" w:firstLineChars="0"/>
                    <w:rPr>
                      <w:rFonts w:hint="eastAsia"/>
                      <w:lang w:val="en-US" w:eastAsia="zh-CN"/>
                    </w:rPr>
                  </w:pPr>
                  <w:r>
                    <w:rPr>
                      <w:rFonts w:hint="eastAsia"/>
                      <w:lang w:val="en-US" w:eastAsia="zh-CN"/>
                    </w:rPr>
                    <w:t>15本项目不涉及露天焚烧秸秆、落叶、垃圾等产生烟尘污染的物质。</w:t>
                  </w:r>
                </w:p>
                <w:p w14:paraId="0B6B2D1C">
                  <w:pPr>
                    <w:pStyle w:val="32"/>
                    <w:bidi w:val="0"/>
                    <w:ind w:firstLine="0" w:firstLineChars="0"/>
                    <w:rPr>
                      <w:rFonts w:hint="default"/>
                      <w:lang w:val="en-US" w:eastAsia="zh-CN"/>
                    </w:rPr>
                  </w:pPr>
                  <w:r>
                    <w:rPr>
                      <w:rFonts w:hint="eastAsia"/>
                      <w:lang w:val="en-US" w:eastAsia="zh-CN"/>
                    </w:rPr>
                    <w:t>16项目不设置燃烧煤炭、重油、渣油的供热设施。</w:t>
                  </w:r>
                </w:p>
              </w:tc>
              <w:tc>
                <w:tcPr>
                  <w:tcW w:w="595" w:type="pct"/>
                  <w:shd w:val="clear" w:color="auto" w:fill="auto"/>
                  <w:noWrap w:val="0"/>
                  <w:vAlign w:val="center"/>
                </w:tcPr>
                <w:p w14:paraId="173E4101">
                  <w:pPr>
                    <w:pStyle w:val="32"/>
                    <w:bidi w:val="0"/>
                    <w:ind w:firstLine="0" w:firstLineChars="0"/>
                    <w:rPr>
                      <w:rFonts w:hint="default"/>
                      <w:lang w:val="en-US" w:eastAsia="zh-CN"/>
                    </w:rPr>
                  </w:pPr>
                  <w:r>
                    <w:rPr>
                      <w:rFonts w:hint="eastAsia"/>
                      <w:lang w:val="en-US" w:eastAsia="zh-CN"/>
                    </w:rPr>
                    <w:t>符合</w:t>
                  </w:r>
                </w:p>
              </w:tc>
            </w:tr>
            <w:tr w14:paraId="05CC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vMerge w:val="continue"/>
                  <w:noWrap w:val="0"/>
                  <w:vAlign w:val="center"/>
                </w:tcPr>
                <w:p w14:paraId="3A9DD51D">
                  <w:pPr>
                    <w:pStyle w:val="32"/>
                    <w:bidi w:val="0"/>
                  </w:pPr>
                </w:p>
              </w:tc>
              <w:tc>
                <w:tcPr>
                  <w:tcW w:w="442" w:type="pct"/>
                  <w:vMerge w:val="continue"/>
                  <w:noWrap w:val="0"/>
                  <w:vAlign w:val="center"/>
                </w:tcPr>
                <w:p w14:paraId="40792442">
                  <w:pPr>
                    <w:pStyle w:val="32"/>
                    <w:bidi w:val="0"/>
                    <w:rPr>
                      <w:rFonts w:hint="eastAsia"/>
                      <w:lang w:val="en-US" w:eastAsia="zh-CN"/>
                    </w:rPr>
                  </w:pPr>
                </w:p>
              </w:tc>
              <w:tc>
                <w:tcPr>
                  <w:tcW w:w="1945" w:type="pct"/>
                  <w:shd w:val="clear" w:color="auto" w:fill="auto"/>
                  <w:noWrap w:val="0"/>
                  <w:vAlign w:val="center"/>
                </w:tcPr>
                <w:p w14:paraId="234AB1BB">
                  <w:pPr>
                    <w:pStyle w:val="32"/>
                    <w:bidi w:val="0"/>
                    <w:ind w:firstLine="0" w:firstLineChars="0"/>
                    <w:rPr>
                      <w:rFonts w:hint="eastAsia"/>
                      <w:lang w:val="en-US" w:eastAsia="zh-CN"/>
                    </w:rPr>
                  </w:pPr>
                  <w:r>
                    <w:rPr>
                      <w:rFonts w:hint="eastAsia"/>
                      <w:lang w:val="en-US" w:eastAsia="zh-CN"/>
                    </w:rPr>
                    <w:t>19在机关、学校、医院、居民住宅区等人口集中地区和其他依法需要特殊保护的区域内，禁止从事下列生产活动:(1)橡胶制品生产、经营性喷漆，制骨胶、制骨粉、屠宰、畜禽养殖、生物发酵等产生恶臭、有毒有害气体的生产经营活动；(2)露天焚烧油毡、沥青、橡胶、塑料、皮革、垃圾或者其他可能产生恶臭、有毒有害气体的活动</w:t>
                  </w:r>
                </w:p>
              </w:tc>
              <w:tc>
                <w:tcPr>
                  <w:tcW w:w="1432" w:type="pct"/>
                  <w:shd w:val="clear" w:color="auto" w:fill="auto"/>
                  <w:noWrap w:val="0"/>
                  <w:vAlign w:val="center"/>
                </w:tcPr>
                <w:p w14:paraId="70ADFC57">
                  <w:pPr>
                    <w:pStyle w:val="32"/>
                    <w:bidi w:val="0"/>
                    <w:ind w:firstLine="0" w:firstLineChars="0"/>
                    <w:rPr>
                      <w:rFonts w:hint="default"/>
                      <w:lang w:val="en-US" w:eastAsia="zh-CN"/>
                    </w:rPr>
                  </w:pPr>
                  <w:r>
                    <w:rPr>
                      <w:rFonts w:hint="eastAsia"/>
                      <w:lang w:val="en-US" w:eastAsia="zh-CN"/>
                    </w:rPr>
                    <w:t>19本项目为Q8415 专科医院，未从事左列禁止活动</w:t>
                  </w:r>
                </w:p>
              </w:tc>
              <w:tc>
                <w:tcPr>
                  <w:tcW w:w="595" w:type="pct"/>
                  <w:shd w:val="clear" w:color="auto" w:fill="auto"/>
                  <w:noWrap w:val="0"/>
                  <w:vAlign w:val="center"/>
                </w:tcPr>
                <w:p w14:paraId="685543CF">
                  <w:pPr>
                    <w:pStyle w:val="32"/>
                    <w:bidi w:val="0"/>
                    <w:ind w:firstLine="0" w:firstLineChars="0"/>
                    <w:rPr>
                      <w:rFonts w:hint="default"/>
                      <w:lang w:val="en-US" w:eastAsia="zh-CN"/>
                    </w:rPr>
                  </w:pPr>
                  <w:r>
                    <w:rPr>
                      <w:rFonts w:hint="eastAsia"/>
                      <w:lang w:val="en-US" w:eastAsia="zh-CN"/>
                    </w:rPr>
                    <w:t>符合</w:t>
                  </w:r>
                </w:p>
              </w:tc>
            </w:tr>
            <w:tr w14:paraId="022B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vMerge w:val="continue"/>
                  <w:noWrap w:val="0"/>
                  <w:vAlign w:val="center"/>
                </w:tcPr>
                <w:p w14:paraId="342AF79B">
                  <w:pPr>
                    <w:pStyle w:val="32"/>
                    <w:bidi w:val="0"/>
                  </w:pPr>
                </w:p>
              </w:tc>
              <w:tc>
                <w:tcPr>
                  <w:tcW w:w="442" w:type="pct"/>
                  <w:vMerge w:val="continue"/>
                  <w:noWrap w:val="0"/>
                  <w:vAlign w:val="center"/>
                </w:tcPr>
                <w:p w14:paraId="74FB4DA8">
                  <w:pPr>
                    <w:pStyle w:val="32"/>
                    <w:bidi w:val="0"/>
                    <w:rPr>
                      <w:rFonts w:hint="eastAsia"/>
                      <w:lang w:val="en-US" w:eastAsia="zh-CN"/>
                    </w:rPr>
                  </w:pPr>
                </w:p>
              </w:tc>
              <w:tc>
                <w:tcPr>
                  <w:tcW w:w="1945" w:type="pct"/>
                  <w:shd w:val="clear" w:color="auto" w:fill="auto"/>
                  <w:noWrap w:val="0"/>
                  <w:vAlign w:val="center"/>
                </w:tcPr>
                <w:p w14:paraId="7A798F79">
                  <w:pPr>
                    <w:pStyle w:val="32"/>
                    <w:bidi w:val="0"/>
                    <w:ind w:firstLine="0" w:firstLineChars="0"/>
                    <w:rPr>
                      <w:rFonts w:hint="default"/>
                      <w:lang w:val="en-US" w:eastAsia="zh-CN"/>
                    </w:rPr>
                  </w:pPr>
                  <w:r>
                    <w:rPr>
                      <w:rFonts w:hint="eastAsia"/>
                      <w:lang w:val="en-US" w:eastAsia="zh-CN"/>
                    </w:rPr>
                    <w:t>9 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432" w:type="pct"/>
                  <w:shd w:val="clear" w:color="auto" w:fill="auto"/>
                  <w:noWrap w:val="0"/>
                  <w:vAlign w:val="center"/>
                </w:tcPr>
                <w:p w14:paraId="03835500">
                  <w:pPr>
                    <w:pStyle w:val="32"/>
                    <w:bidi w:val="0"/>
                    <w:ind w:firstLine="0" w:firstLineChars="0"/>
                    <w:rPr>
                      <w:rFonts w:hint="default"/>
                      <w:lang w:val="en-US" w:eastAsia="zh-CN"/>
                    </w:rPr>
                  </w:pPr>
                  <w:r>
                    <w:rPr>
                      <w:rFonts w:hint="eastAsia"/>
                      <w:lang w:val="en-US" w:eastAsia="zh-CN"/>
                    </w:rPr>
                    <w:t>9本项目目前正积极履行环评手续，项目建设污水处理站对医疗废水进行处理。严格执行“三同时制度”</w:t>
                  </w:r>
                </w:p>
              </w:tc>
              <w:tc>
                <w:tcPr>
                  <w:tcW w:w="595" w:type="pct"/>
                  <w:shd w:val="clear" w:color="auto" w:fill="auto"/>
                  <w:noWrap w:val="0"/>
                  <w:vAlign w:val="center"/>
                </w:tcPr>
                <w:p w14:paraId="7C1F075E">
                  <w:pPr>
                    <w:pStyle w:val="32"/>
                    <w:bidi w:val="0"/>
                    <w:ind w:firstLine="0" w:firstLineChars="0"/>
                    <w:rPr>
                      <w:rFonts w:hint="default"/>
                      <w:lang w:val="en-US" w:eastAsia="zh-CN"/>
                    </w:rPr>
                  </w:pPr>
                  <w:r>
                    <w:rPr>
                      <w:rFonts w:hint="eastAsia"/>
                      <w:lang w:val="en-US" w:eastAsia="zh-CN"/>
                    </w:rPr>
                    <w:t>符合</w:t>
                  </w:r>
                </w:p>
              </w:tc>
            </w:tr>
            <w:tr w14:paraId="1053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vMerge w:val="continue"/>
                  <w:noWrap w:val="0"/>
                  <w:vAlign w:val="center"/>
                </w:tcPr>
                <w:p w14:paraId="69403456">
                  <w:pPr>
                    <w:pStyle w:val="32"/>
                    <w:bidi w:val="0"/>
                  </w:pPr>
                </w:p>
              </w:tc>
              <w:tc>
                <w:tcPr>
                  <w:tcW w:w="442" w:type="pct"/>
                  <w:vMerge w:val="restart"/>
                  <w:noWrap w:val="0"/>
                  <w:vAlign w:val="center"/>
                </w:tcPr>
                <w:p w14:paraId="29C3DEAF">
                  <w:pPr>
                    <w:pStyle w:val="32"/>
                    <w:bidi w:val="0"/>
                  </w:pPr>
                  <w:r>
                    <w:rPr>
                      <w:rFonts w:hint="eastAsia"/>
                    </w:rPr>
                    <w:t>污染物排放管控</w:t>
                  </w:r>
                </w:p>
              </w:tc>
              <w:tc>
                <w:tcPr>
                  <w:tcW w:w="1945" w:type="pct"/>
                  <w:noWrap w:val="0"/>
                  <w:vAlign w:val="center"/>
                </w:tcPr>
                <w:p w14:paraId="573CA953">
                  <w:pPr>
                    <w:pStyle w:val="32"/>
                    <w:bidi w:val="0"/>
                  </w:pPr>
                  <w:r>
                    <w:rPr>
                      <w:rFonts w:hint="eastAsia"/>
                      <w:lang w:val="en-US" w:eastAsia="zh-CN"/>
                    </w:rPr>
                    <w:t>49新建、改建、扩建排放重点大气污染物的项目不符合总量控制要求的，不得通过环境影响评价。</w:t>
                  </w:r>
                </w:p>
              </w:tc>
              <w:tc>
                <w:tcPr>
                  <w:tcW w:w="1432" w:type="pct"/>
                  <w:noWrap w:val="0"/>
                  <w:vAlign w:val="center"/>
                </w:tcPr>
                <w:p w14:paraId="102291A7">
                  <w:pPr>
                    <w:pStyle w:val="32"/>
                    <w:bidi w:val="0"/>
                    <w:rPr>
                      <w:rFonts w:hint="default"/>
                      <w:lang w:val="en-US" w:eastAsia="zh-CN"/>
                    </w:rPr>
                  </w:pPr>
                  <w:r>
                    <w:rPr>
                      <w:rFonts w:hint="eastAsia"/>
                      <w:lang w:val="en-US" w:eastAsia="zh-CN"/>
                    </w:rPr>
                    <w:t>49本项目目前正积极履行环评手续</w:t>
                  </w:r>
                </w:p>
              </w:tc>
              <w:tc>
                <w:tcPr>
                  <w:tcW w:w="595" w:type="pct"/>
                  <w:noWrap w:val="0"/>
                  <w:vAlign w:val="center"/>
                </w:tcPr>
                <w:p w14:paraId="7CA19687">
                  <w:pPr>
                    <w:pStyle w:val="32"/>
                    <w:bidi w:val="0"/>
                  </w:pPr>
                  <w:r>
                    <w:t>符合</w:t>
                  </w:r>
                </w:p>
              </w:tc>
            </w:tr>
            <w:tr w14:paraId="5219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vMerge w:val="continue"/>
                  <w:noWrap w:val="0"/>
                  <w:vAlign w:val="center"/>
                </w:tcPr>
                <w:p w14:paraId="4D094505">
                  <w:pPr>
                    <w:pStyle w:val="32"/>
                    <w:bidi w:val="0"/>
                  </w:pPr>
                </w:p>
              </w:tc>
              <w:tc>
                <w:tcPr>
                  <w:tcW w:w="442" w:type="pct"/>
                  <w:vMerge w:val="continue"/>
                  <w:noWrap w:val="0"/>
                  <w:vAlign w:val="center"/>
                </w:tcPr>
                <w:p w14:paraId="5CA09591">
                  <w:pPr>
                    <w:pStyle w:val="32"/>
                    <w:bidi w:val="0"/>
                    <w:rPr>
                      <w:rFonts w:hint="eastAsia"/>
                    </w:rPr>
                  </w:pPr>
                </w:p>
              </w:tc>
              <w:tc>
                <w:tcPr>
                  <w:tcW w:w="1945" w:type="pct"/>
                  <w:noWrap w:val="0"/>
                  <w:vAlign w:val="center"/>
                </w:tcPr>
                <w:p w14:paraId="135BEC24">
                  <w:pPr>
                    <w:pStyle w:val="32"/>
                    <w:bidi w:val="0"/>
                    <w:rPr>
                      <w:rFonts w:hint="eastAsia"/>
                      <w:lang w:val="en-US" w:eastAsia="zh-CN"/>
                    </w:rPr>
                  </w:pPr>
                  <w:r>
                    <w:rPr>
                      <w:rFonts w:hint="eastAsia"/>
                      <w:lang w:val="en-US" w:eastAsia="zh-CN"/>
                    </w:rPr>
                    <w:t>108推进污泥处理处置。污水处理设施产生的污泥应进行稳定化、无害化和资源化处理处置，禁止处理处置不达标的污泥进入耕地。非法污泥堆放点一律予以取缔。</w:t>
                  </w:r>
                </w:p>
              </w:tc>
              <w:tc>
                <w:tcPr>
                  <w:tcW w:w="1432" w:type="pct"/>
                  <w:noWrap w:val="0"/>
                  <w:vAlign w:val="center"/>
                </w:tcPr>
                <w:p w14:paraId="7BF8C243">
                  <w:pPr>
                    <w:pStyle w:val="32"/>
                    <w:bidi w:val="0"/>
                    <w:rPr>
                      <w:rFonts w:hint="default"/>
                      <w:lang w:val="en-US" w:eastAsia="zh-CN"/>
                    </w:rPr>
                  </w:pPr>
                  <w:r>
                    <w:rPr>
                      <w:rFonts w:hint="eastAsia"/>
                      <w:lang w:val="en-US" w:eastAsia="zh-CN"/>
                    </w:rPr>
                    <w:t>108本项目</w:t>
                  </w:r>
                  <w:r>
                    <w:rPr>
                      <w:rFonts w:hint="eastAsia"/>
                      <w:highlight w:val="none"/>
                      <w:lang w:val="en-US" w:eastAsia="zh-CN"/>
                    </w:rPr>
                    <w:t>污水处理站污泥定期清掏后消毒脱水暂存于医废暂存间后委托有资质的单位进行位置</w:t>
                  </w:r>
                </w:p>
              </w:tc>
              <w:tc>
                <w:tcPr>
                  <w:tcW w:w="595" w:type="pct"/>
                  <w:noWrap w:val="0"/>
                  <w:vAlign w:val="center"/>
                </w:tcPr>
                <w:p w14:paraId="66759A7D">
                  <w:pPr>
                    <w:pStyle w:val="32"/>
                    <w:bidi w:val="0"/>
                    <w:rPr>
                      <w:rFonts w:hint="eastAsia" w:eastAsia="宋体"/>
                      <w:lang w:val="en-US" w:eastAsia="zh-CN"/>
                    </w:rPr>
                  </w:pPr>
                  <w:r>
                    <w:rPr>
                      <w:rFonts w:hint="eastAsia"/>
                      <w:lang w:val="en-US" w:eastAsia="zh-CN"/>
                    </w:rPr>
                    <w:t>符合</w:t>
                  </w:r>
                </w:p>
              </w:tc>
            </w:tr>
          </w:tbl>
          <w:p w14:paraId="68A7C569">
            <w:pPr>
              <w:spacing w:line="460" w:lineRule="exact"/>
              <w:ind w:firstLine="480"/>
              <w:rPr>
                <w:rFonts w:hint="eastAsia"/>
                <w:b/>
                <w:bCs/>
                <w:color w:val="auto"/>
                <w:highlight w:val="none"/>
                <w:lang w:val="en-US" w:eastAsia="zh-CN"/>
              </w:rPr>
            </w:pPr>
            <w:r>
              <w:rPr>
                <w:rFonts w:hint="eastAsia"/>
                <w:b/>
                <w:bCs/>
                <w:color w:val="auto"/>
                <w:lang w:val="en-US" w:eastAsia="zh-CN"/>
              </w:rPr>
              <w:t>（3）与</w:t>
            </w:r>
            <w:r>
              <w:rPr>
                <w:rFonts w:hint="eastAsia"/>
                <w:b/>
                <w:bCs/>
                <w:color w:val="auto"/>
                <w:highlight w:val="none"/>
                <w:lang w:val="en-US" w:eastAsia="zh-CN"/>
              </w:rPr>
              <w:t>淮南市“三区三线”相符性分析</w:t>
            </w:r>
          </w:p>
          <w:p w14:paraId="5878CB62">
            <w:pPr>
              <w:bidi w:val="0"/>
              <w:rPr>
                <w:rFonts w:hint="default" w:cs="Times New Roman"/>
                <w:color w:val="auto"/>
                <w:highlight w:val="none"/>
                <w:lang w:val="en-US" w:eastAsia="zh-CN"/>
              </w:rPr>
            </w:pPr>
            <w:r>
              <w:rPr>
                <w:rFonts w:hint="eastAsia"/>
                <w:color w:val="auto"/>
                <w:lang w:val="en-US" w:eastAsia="zh-CN"/>
              </w:rPr>
              <w:t>本项目位于</w:t>
            </w:r>
            <w:r>
              <w:rPr>
                <w:rFonts w:hint="eastAsia"/>
              </w:rPr>
              <w:t>安徽省淮南市</w:t>
            </w:r>
            <w:r>
              <w:rPr>
                <w:rFonts w:hint="eastAsia"/>
                <w:lang w:val="en-US" w:eastAsia="zh-CN"/>
              </w:rPr>
              <w:t>高新技术开发区民裕大街北侧</w:t>
            </w:r>
            <w:r>
              <w:rPr>
                <w:rFonts w:hint="eastAsia"/>
                <w:color w:val="auto"/>
                <w:lang w:val="en-US" w:eastAsia="zh-CN"/>
              </w:rPr>
              <w:t>，根据《淮南市“三区三线”划定方案》，本项目位于城镇开发边界，不在永久基本农田及生态保护红线范围内。本项目与淮南市</w:t>
            </w:r>
            <w:r>
              <w:rPr>
                <w:rFonts w:hint="eastAsia" w:ascii="Times New Roman" w:hAnsi="Times New Roman" w:cs="Times New Roman"/>
                <w:color w:val="auto"/>
                <w:highlight w:val="none"/>
                <w:lang w:val="en-US" w:eastAsia="zh-CN"/>
              </w:rPr>
              <w:t>“三区三线”</w:t>
            </w:r>
            <w:r>
              <w:rPr>
                <w:rFonts w:hint="eastAsia" w:cs="Times New Roman"/>
                <w:color w:val="auto"/>
                <w:highlight w:val="none"/>
                <w:lang w:val="en-US" w:eastAsia="zh-CN"/>
              </w:rPr>
              <w:t>相对位置关系见下图。</w:t>
            </w:r>
          </w:p>
          <w:p w14:paraId="19B95517">
            <w:pPr>
              <w:bidi w:val="0"/>
              <w:ind w:left="0" w:leftChars="0" w:firstLine="0" w:firstLineChars="0"/>
              <w:jc w:val="center"/>
              <w:rPr>
                <w:rFonts w:hint="eastAsia" w:eastAsia="宋体"/>
                <w:b/>
                <w:bCs/>
                <w:color w:val="auto"/>
                <w:lang w:val="en-US" w:eastAsia="zh-CN"/>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641350</wp:posOffset>
                      </wp:positionH>
                      <wp:positionV relativeFrom="paragraph">
                        <wp:posOffset>1974215</wp:posOffset>
                      </wp:positionV>
                      <wp:extent cx="724535" cy="370840"/>
                      <wp:effectExtent l="4445" t="4445" r="1709420" b="234315"/>
                      <wp:wrapNone/>
                      <wp:docPr id="38" name="自选图形 7"/>
                      <wp:cNvGraphicFramePr/>
                      <a:graphic xmlns:a="http://schemas.openxmlformats.org/drawingml/2006/main">
                        <a:graphicData uri="http://schemas.microsoft.com/office/word/2010/wordprocessingShape">
                          <wps:wsp>
                            <wps:cNvSpPr/>
                            <wps:spPr>
                              <a:xfrm>
                                <a:off x="0" y="0"/>
                                <a:ext cx="724535" cy="370840"/>
                              </a:xfrm>
                              <a:prstGeom prst="wedgeRoundRectCallout">
                                <a:avLst>
                                  <a:gd name="adj1" fmla="val 279886"/>
                                  <a:gd name="adj2" fmla="val 107363"/>
                                  <a:gd name="adj3" fmla="val 16667"/>
                                </a:avLst>
                              </a:prstGeom>
                              <a:solidFill>
                                <a:srgbClr val="FFFFFF"/>
                              </a:solidFill>
                              <a:ln w="9525" cap="flat" cmpd="sng">
                                <a:solidFill>
                                  <a:srgbClr val="FF0000"/>
                                </a:solidFill>
                                <a:prstDash val="solid"/>
                                <a:miter/>
                                <a:headEnd type="none" w="med" len="med"/>
                                <a:tailEnd type="none" w="med" len="med"/>
                              </a:ln>
                            </wps:spPr>
                            <wps:txbx>
                              <w:txbxContent>
                                <w:p w14:paraId="664EC93D">
                                  <w:pPr>
                                    <w:ind w:left="0" w:leftChars="0" w:firstLine="0" w:firstLineChars="0"/>
                                    <w:rPr>
                                      <w:rFonts w:hint="eastAsia" w:eastAsia="宋体"/>
                                      <w:color w:val="FF0000"/>
                                      <w:lang w:val="en-US" w:eastAsia="zh-CN"/>
                                    </w:rPr>
                                  </w:pPr>
                                  <w:r>
                                    <w:rPr>
                                      <w:rFonts w:hint="eastAsia"/>
                                      <w:color w:val="FF0000"/>
                                      <w:lang w:val="en-US" w:eastAsia="zh-CN"/>
                                    </w:rPr>
                                    <w:t>项目地</w:t>
                                  </w:r>
                                </w:p>
                              </w:txbxContent>
                            </wps:txbx>
                            <wps:bodyPr upright="1"/>
                          </wps:wsp>
                        </a:graphicData>
                      </a:graphic>
                    </wp:anchor>
                  </w:drawing>
                </mc:Choice>
                <mc:Fallback>
                  <w:pict>
                    <v:shape id="自选图形 7" o:spid="_x0000_s1026" o:spt="62" type="#_x0000_t62" style="position:absolute;left:0pt;margin-left:50.5pt;margin-top:155.45pt;height:29.2pt;width:57.05pt;z-index:251661312;mso-width-relative:page;mso-height-relative:page;" fillcolor="#FFFFFF" filled="t" stroked="t" coordsize="21600,21600" o:gfxdata="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UMPFfVAAAACwEAAA8AAAAAAAAAAQAg&#10;AAAAIgAAAGRycy9kb3ducmV2LnhtbFBLAQIUABQAAAAIAIdO4kCDunpwSgIAALcEAAAOAAAAAAAA&#10;AAEAIAAAACQBAABkcnMvZTJvRG9jLnhtbFBLBQYAAAAABgAGAFkBAADgBQAAAAA=&#10;" adj="71255,33990,14400">
                      <v:fill on="t" focussize="0,0"/>
                      <v:stroke color="#FF0000" joinstyle="miter"/>
                      <v:imagedata o:title=""/>
                      <o:lock v:ext="edit" aspectratio="f"/>
                      <v:textbox>
                        <w:txbxContent>
                          <w:p w14:paraId="664EC93D">
                            <w:pPr>
                              <w:ind w:left="0" w:leftChars="0" w:firstLine="0" w:firstLineChars="0"/>
                              <w:rPr>
                                <w:rFonts w:hint="eastAsia" w:eastAsia="宋体"/>
                                <w:color w:val="FF0000"/>
                                <w:lang w:val="en-US" w:eastAsia="zh-CN"/>
                              </w:rPr>
                            </w:pPr>
                            <w:r>
                              <w:rPr>
                                <w:rFonts w:hint="eastAsia"/>
                                <w:color w:val="FF0000"/>
                                <w:lang w:val="en-US" w:eastAsia="zh-CN"/>
                              </w:rPr>
                              <w:t>项目地</w:t>
                            </w:r>
                          </w:p>
                        </w:txbxContent>
                      </v:textbox>
                    </v:shape>
                  </w:pict>
                </mc:Fallback>
              </mc:AlternateContent>
            </w:r>
            <w:r>
              <w:rPr>
                <w:color w:val="auto"/>
                <w:sz w:val="24"/>
              </w:rPr>
              <w:drawing>
                <wp:inline distT="0" distB="0" distL="114300" distR="114300">
                  <wp:extent cx="3919220" cy="5875655"/>
                  <wp:effectExtent l="0" t="0" r="5080" b="10795"/>
                  <wp:docPr id="10" name="图片 10" descr="三区三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三区三线图"/>
                          <pic:cNvPicPr>
                            <a:picLocks noChangeAspect="1"/>
                          </pic:cNvPicPr>
                        </pic:nvPicPr>
                        <pic:blipFill>
                          <a:blip r:embed="rId21"/>
                          <a:stretch>
                            <a:fillRect/>
                          </a:stretch>
                        </pic:blipFill>
                        <pic:spPr>
                          <a:xfrm>
                            <a:off x="0" y="0"/>
                            <a:ext cx="3919220" cy="5875655"/>
                          </a:xfrm>
                          <a:prstGeom prst="rect">
                            <a:avLst/>
                          </a:prstGeom>
                        </pic:spPr>
                      </pic:pic>
                    </a:graphicData>
                  </a:graphic>
                </wp:inline>
              </w:drawing>
            </w:r>
          </w:p>
          <w:p w14:paraId="34D1316D">
            <w:pPr>
              <w:pStyle w:val="27"/>
              <w:bidi w:val="0"/>
              <w:rPr>
                <w:rFonts w:hint="default"/>
                <w:lang w:val="en-US" w:eastAsia="zh-CN"/>
              </w:rPr>
            </w:pPr>
            <w:r>
              <w:rPr>
                <w:rFonts w:hint="eastAsia"/>
                <w:lang w:val="en-US" w:eastAsia="zh-CN"/>
              </w:rPr>
              <w:t>图1-2  项目与淮南市“三区三线”相对位置关系图</w:t>
            </w:r>
          </w:p>
          <w:p w14:paraId="6D8C1125">
            <w:pPr>
              <w:bidi w:val="0"/>
              <w:rPr>
                <w:rFonts w:hint="eastAsia"/>
                <w:lang w:val="en-US" w:eastAsia="zh-CN"/>
              </w:rPr>
            </w:pPr>
            <w:r>
              <w:rPr>
                <w:rFonts w:hint="eastAsia"/>
                <w:lang w:val="en-US" w:eastAsia="zh-CN"/>
              </w:rPr>
              <w:t>综上，本</w:t>
            </w:r>
            <w:r>
              <w:rPr>
                <w:rFonts w:hint="eastAsia"/>
              </w:rPr>
              <w:t>项目运营过程中会产生一定的污染物，采取相应的污染防治措施后，各类污染物的排放对周围环境造成的影响较小，不会降低当地环境质量，不会触碰区域环境质量底线，</w:t>
            </w:r>
            <w:r>
              <w:rPr>
                <w:rFonts w:hint="eastAsia"/>
                <w:lang w:val="en-US" w:eastAsia="zh-CN"/>
              </w:rPr>
              <w:t>因此本项目建设满足“三线一单”管控要求、满足</w:t>
            </w:r>
            <w:r>
              <w:rPr>
                <w:rFonts w:hint="eastAsia"/>
              </w:rPr>
              <w:t>“三区三线”、生态环境分区管控要求</w:t>
            </w:r>
            <w:r>
              <w:rPr>
                <w:rFonts w:hint="eastAsia"/>
                <w:lang w:eastAsia="zh-CN"/>
              </w:rPr>
              <w:t>。</w:t>
            </w:r>
          </w:p>
          <w:p w14:paraId="50321814">
            <w:pPr>
              <w:numPr>
                <w:ilvl w:val="0"/>
                <w:numId w:val="0"/>
              </w:numPr>
              <w:bidi w:val="0"/>
              <w:ind w:leftChars="200"/>
              <w:rPr>
                <w:rFonts w:hint="eastAsia"/>
                <w:b/>
                <w:bCs/>
                <w:color w:val="auto"/>
              </w:rPr>
            </w:pPr>
            <w:r>
              <w:rPr>
                <w:rFonts w:hint="eastAsia"/>
                <w:b/>
                <w:bCs/>
                <w:color w:val="auto"/>
                <w:lang w:val="en-US" w:eastAsia="zh-CN"/>
              </w:rPr>
              <w:t>4、</w:t>
            </w:r>
            <w:r>
              <w:rPr>
                <w:rFonts w:hint="eastAsia"/>
                <w:b/>
                <w:bCs/>
                <w:color w:val="auto"/>
              </w:rPr>
              <w:t>与《淮南市“十四五”生态环境保护规划》符合性分析</w:t>
            </w:r>
          </w:p>
          <w:p w14:paraId="31434D16">
            <w:pPr>
              <w:pStyle w:val="41"/>
              <w:bidi w:val="0"/>
              <w:rPr>
                <w:rFonts w:hint="eastAsia"/>
              </w:rPr>
            </w:pPr>
            <w:r>
              <w:rPr>
                <w:rFonts w:hint="eastAsia"/>
                <w:lang w:val="en-US" w:eastAsia="zh-CN"/>
              </w:rPr>
              <w:t xml:space="preserve">表1-5  </w:t>
            </w:r>
            <w:r>
              <w:rPr>
                <w:rFonts w:hint="eastAsia"/>
              </w:rPr>
              <w:t>与《淮南市“十四五”生态环境保护规划》符合性分析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232"/>
              <w:gridCol w:w="2266"/>
              <w:gridCol w:w="1400"/>
            </w:tblGrid>
            <w:tr w14:paraId="50A4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Align w:val="center"/>
                </w:tcPr>
                <w:p w14:paraId="4FA102B9">
                  <w:pPr>
                    <w:pStyle w:val="32"/>
                    <w:bidi w:val="0"/>
                    <w:jc w:val="center"/>
                    <w:rPr>
                      <w:rFonts w:hint="eastAsia"/>
                      <w:b/>
                      <w:bCs/>
                      <w:lang w:val="en-US" w:eastAsia="zh-CN"/>
                    </w:rPr>
                  </w:pPr>
                  <w:r>
                    <w:rPr>
                      <w:rFonts w:hint="eastAsia"/>
                      <w:b/>
                      <w:bCs/>
                      <w:lang w:val="en-US" w:eastAsia="zh-CN"/>
                    </w:rPr>
                    <w:t>序号</w:t>
                  </w:r>
                </w:p>
              </w:tc>
              <w:tc>
                <w:tcPr>
                  <w:tcW w:w="2452" w:type="dxa"/>
                  <w:vAlign w:val="center"/>
                </w:tcPr>
                <w:p w14:paraId="59E8D1E1">
                  <w:pPr>
                    <w:pStyle w:val="32"/>
                    <w:bidi w:val="0"/>
                    <w:jc w:val="center"/>
                    <w:rPr>
                      <w:rFonts w:hint="default"/>
                      <w:b/>
                      <w:bCs/>
                      <w:lang w:val="en-US" w:eastAsia="zh-CN"/>
                    </w:rPr>
                  </w:pPr>
                  <w:r>
                    <w:rPr>
                      <w:rFonts w:hint="eastAsia"/>
                      <w:b/>
                      <w:bCs/>
                      <w:lang w:val="en-US" w:eastAsia="zh-CN"/>
                    </w:rPr>
                    <w:t>文件要求</w:t>
                  </w:r>
                </w:p>
              </w:tc>
              <w:tc>
                <w:tcPr>
                  <w:tcW w:w="2490" w:type="dxa"/>
                  <w:vAlign w:val="center"/>
                </w:tcPr>
                <w:p w14:paraId="61DADA84">
                  <w:pPr>
                    <w:pStyle w:val="32"/>
                    <w:bidi w:val="0"/>
                    <w:jc w:val="center"/>
                    <w:rPr>
                      <w:rFonts w:hint="eastAsia"/>
                      <w:b/>
                      <w:bCs/>
                      <w:lang w:val="en-US" w:eastAsia="zh-CN"/>
                    </w:rPr>
                  </w:pPr>
                  <w:r>
                    <w:rPr>
                      <w:rFonts w:hint="eastAsia"/>
                      <w:b/>
                      <w:bCs/>
                      <w:lang w:val="en-US" w:eastAsia="zh-CN"/>
                    </w:rPr>
                    <w:t>本项目</w:t>
                  </w:r>
                </w:p>
              </w:tc>
              <w:tc>
                <w:tcPr>
                  <w:tcW w:w="1528" w:type="dxa"/>
                  <w:vAlign w:val="center"/>
                </w:tcPr>
                <w:p w14:paraId="7C93BB83">
                  <w:pPr>
                    <w:pStyle w:val="32"/>
                    <w:bidi w:val="0"/>
                    <w:jc w:val="center"/>
                    <w:rPr>
                      <w:rFonts w:hint="eastAsia"/>
                      <w:b/>
                      <w:bCs/>
                      <w:lang w:val="en-US" w:eastAsia="zh-CN"/>
                    </w:rPr>
                  </w:pPr>
                  <w:r>
                    <w:rPr>
                      <w:rFonts w:hint="eastAsia"/>
                      <w:b/>
                      <w:bCs/>
                      <w:lang w:val="en-US" w:eastAsia="zh-CN"/>
                    </w:rPr>
                    <w:t>符合性</w:t>
                  </w:r>
                </w:p>
              </w:tc>
            </w:tr>
            <w:tr w14:paraId="18DF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Align w:val="center"/>
                </w:tcPr>
                <w:p w14:paraId="45053320">
                  <w:pPr>
                    <w:pStyle w:val="32"/>
                    <w:bidi w:val="0"/>
                    <w:jc w:val="center"/>
                    <w:rPr>
                      <w:rFonts w:hint="eastAsia"/>
                      <w:lang w:val="en-US" w:eastAsia="zh-CN"/>
                    </w:rPr>
                  </w:pPr>
                  <w:r>
                    <w:rPr>
                      <w:rFonts w:hint="eastAsia"/>
                      <w:lang w:val="en-US" w:eastAsia="zh-CN"/>
                    </w:rPr>
                    <w:t>1</w:t>
                  </w:r>
                </w:p>
              </w:tc>
              <w:tc>
                <w:tcPr>
                  <w:tcW w:w="2452" w:type="dxa"/>
                  <w:vAlign w:val="center"/>
                </w:tcPr>
                <w:p w14:paraId="7BA045E6">
                  <w:pPr>
                    <w:pStyle w:val="32"/>
                    <w:bidi w:val="0"/>
                    <w:jc w:val="center"/>
                  </w:pPr>
                  <w:r>
                    <w:rPr>
                      <w:rFonts w:hint="eastAsia"/>
                    </w:rPr>
                    <w:t>在重点管控单元有针对性地加强污染物排放控制和环境风险防控，解决生态环境质量不达标、生态环境风险高等问题</w:t>
                  </w:r>
                </w:p>
              </w:tc>
              <w:tc>
                <w:tcPr>
                  <w:tcW w:w="2490" w:type="dxa"/>
                  <w:vAlign w:val="center"/>
                </w:tcPr>
                <w:p w14:paraId="6AD0029D">
                  <w:pPr>
                    <w:pStyle w:val="32"/>
                    <w:bidi w:val="0"/>
                    <w:jc w:val="center"/>
                  </w:pPr>
                  <w:r>
                    <w:rPr>
                      <w:rFonts w:hint="eastAsia"/>
                    </w:rPr>
                    <w:t>本项目废水经自建污水处理站处置达标后排放至污水管网</w:t>
                  </w:r>
                  <w:r>
                    <w:rPr>
                      <w:rFonts w:hint="eastAsia"/>
                      <w:lang w:eastAsia="zh-CN"/>
                    </w:rPr>
                    <w:t>；</w:t>
                  </w:r>
                  <w:r>
                    <w:rPr>
                      <w:rFonts w:hint="eastAsia"/>
                    </w:rPr>
                    <w:t>污水处理站废气设置活性炭吸附装置处置达标后经</w:t>
                  </w:r>
                  <w:r>
                    <w:rPr>
                      <w:rFonts w:hint="eastAsia"/>
                      <w:highlight w:val="none"/>
                    </w:rPr>
                    <w:t>1</w:t>
                  </w:r>
                  <w:r>
                    <w:rPr>
                      <w:rFonts w:hint="eastAsia"/>
                      <w:highlight w:val="none"/>
                      <w:lang w:val="en-US" w:eastAsia="zh-CN"/>
                    </w:rPr>
                    <w:t>8</w:t>
                  </w:r>
                  <w:r>
                    <w:rPr>
                      <w:rFonts w:hint="eastAsia"/>
                      <w:highlight w:val="none"/>
                    </w:rPr>
                    <w:t>m高</w:t>
                  </w:r>
                  <w:r>
                    <w:rPr>
                      <w:rFonts w:hint="eastAsia"/>
                    </w:rPr>
                    <w:t>排气筒排放对污染物进行有效控制，对环境影响较小。</w:t>
                  </w:r>
                </w:p>
              </w:tc>
              <w:tc>
                <w:tcPr>
                  <w:tcW w:w="1528" w:type="dxa"/>
                  <w:vAlign w:val="center"/>
                </w:tcPr>
                <w:p w14:paraId="3F3C5BB9">
                  <w:pPr>
                    <w:pStyle w:val="32"/>
                    <w:bidi w:val="0"/>
                    <w:jc w:val="center"/>
                    <w:rPr>
                      <w:rFonts w:hint="eastAsia" w:eastAsia="宋体"/>
                      <w:lang w:val="en-US" w:eastAsia="zh-CN"/>
                    </w:rPr>
                  </w:pPr>
                  <w:r>
                    <w:rPr>
                      <w:rFonts w:hint="eastAsia"/>
                      <w:lang w:val="en-US" w:eastAsia="zh-CN"/>
                    </w:rPr>
                    <w:t>符合</w:t>
                  </w:r>
                </w:p>
              </w:tc>
            </w:tr>
            <w:tr w14:paraId="038A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Align w:val="center"/>
                </w:tcPr>
                <w:p w14:paraId="7BD7EF3E">
                  <w:pPr>
                    <w:pStyle w:val="32"/>
                    <w:bidi w:val="0"/>
                    <w:jc w:val="center"/>
                    <w:rPr>
                      <w:rFonts w:hint="eastAsia"/>
                      <w:lang w:val="en-US" w:eastAsia="zh-CN"/>
                    </w:rPr>
                  </w:pPr>
                  <w:r>
                    <w:rPr>
                      <w:rFonts w:hint="eastAsia"/>
                      <w:lang w:val="en-US" w:eastAsia="zh-CN"/>
                    </w:rPr>
                    <w:t>2</w:t>
                  </w:r>
                </w:p>
              </w:tc>
              <w:tc>
                <w:tcPr>
                  <w:tcW w:w="2452" w:type="dxa"/>
                  <w:vAlign w:val="center"/>
                </w:tcPr>
                <w:p w14:paraId="6B8BC2F2">
                  <w:pPr>
                    <w:pStyle w:val="32"/>
                    <w:bidi w:val="0"/>
                    <w:jc w:val="center"/>
                  </w:pPr>
                  <w:r>
                    <w:rPr>
                      <w:rFonts w:hint="eastAsia"/>
                    </w:rPr>
                    <w:t>严格保护森林、湿地(沼泽、滩涂、水域)等基础性生态用地，结合自然保护地优化调整</w:t>
                  </w:r>
                  <w:r>
                    <w:rPr>
                      <w:rFonts w:hint="eastAsia"/>
                      <w:lang w:eastAsia="zh-CN"/>
                    </w:rPr>
                    <w:t>，</w:t>
                  </w:r>
                  <w:r>
                    <w:rPr>
                      <w:rFonts w:hint="eastAsia"/>
                    </w:rPr>
                    <w:t>加强自然保护区、森林公园、地质公园、重要湿地、湿地公园保护和建设，保障合理的生态用地规模，不断扩大蓝绿生态空间。</w:t>
                  </w:r>
                </w:p>
              </w:tc>
              <w:tc>
                <w:tcPr>
                  <w:tcW w:w="2490" w:type="dxa"/>
                  <w:vAlign w:val="center"/>
                </w:tcPr>
                <w:p w14:paraId="7F5B182A">
                  <w:pPr>
                    <w:pStyle w:val="32"/>
                    <w:bidi w:val="0"/>
                    <w:jc w:val="center"/>
                  </w:pPr>
                  <w:r>
                    <w:rPr>
                      <w:rFonts w:hint="eastAsia"/>
                    </w:rPr>
                    <w:t>本项目主要从事医疗卫生行业，位于淮南市</w:t>
                  </w:r>
                  <w:r>
                    <w:rPr>
                      <w:rFonts w:hint="eastAsia"/>
                      <w:lang w:val="en-US" w:eastAsia="zh-CN"/>
                    </w:rPr>
                    <w:t>高新技术开发区民裕大街与支四路交叉口</w:t>
                  </w:r>
                  <w:r>
                    <w:rPr>
                      <w:rFonts w:hint="eastAsia"/>
                    </w:rPr>
                    <w:t>，不在保护区内。</w:t>
                  </w:r>
                </w:p>
              </w:tc>
              <w:tc>
                <w:tcPr>
                  <w:tcW w:w="1528" w:type="dxa"/>
                  <w:vAlign w:val="center"/>
                </w:tcPr>
                <w:p w14:paraId="455A34C8">
                  <w:pPr>
                    <w:pStyle w:val="32"/>
                    <w:bidi w:val="0"/>
                    <w:jc w:val="center"/>
                    <w:rPr>
                      <w:rFonts w:hint="default" w:eastAsia="宋体"/>
                      <w:lang w:val="en-US" w:eastAsia="zh-CN"/>
                    </w:rPr>
                  </w:pPr>
                  <w:r>
                    <w:rPr>
                      <w:rFonts w:hint="eastAsia"/>
                      <w:lang w:val="en-US" w:eastAsia="zh-CN"/>
                    </w:rPr>
                    <w:t>符合</w:t>
                  </w:r>
                </w:p>
              </w:tc>
            </w:tr>
            <w:tr w14:paraId="58AD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Align w:val="center"/>
                </w:tcPr>
                <w:p w14:paraId="49D8F8D2">
                  <w:pPr>
                    <w:pStyle w:val="32"/>
                    <w:bidi w:val="0"/>
                    <w:jc w:val="center"/>
                    <w:rPr>
                      <w:rFonts w:hint="eastAsia"/>
                      <w:lang w:val="en-US" w:eastAsia="zh-CN"/>
                    </w:rPr>
                  </w:pPr>
                  <w:r>
                    <w:rPr>
                      <w:rFonts w:hint="eastAsia"/>
                      <w:lang w:val="en-US" w:eastAsia="zh-CN"/>
                    </w:rPr>
                    <w:t>3</w:t>
                  </w:r>
                </w:p>
              </w:tc>
              <w:tc>
                <w:tcPr>
                  <w:tcW w:w="2452" w:type="dxa"/>
                  <w:vAlign w:val="center"/>
                </w:tcPr>
                <w:p w14:paraId="5B175970">
                  <w:pPr>
                    <w:pStyle w:val="32"/>
                    <w:bidi w:val="0"/>
                    <w:jc w:val="center"/>
                  </w:pPr>
                  <w:r>
                    <w:rPr>
                      <w:rFonts w:hint="eastAsia"/>
                    </w:rPr>
                    <w:t>提高用水效率。抓好工业节水，严格执行国家鼓励和淘汰的用水技术、工艺、设备、产品目录及高耗水行业取用水定额标准，开展水平衡测试，严格用水定额管理。</w:t>
                  </w:r>
                </w:p>
              </w:tc>
              <w:tc>
                <w:tcPr>
                  <w:tcW w:w="2490" w:type="dxa"/>
                  <w:vAlign w:val="center"/>
                </w:tcPr>
                <w:p w14:paraId="498A79C6">
                  <w:pPr>
                    <w:pStyle w:val="32"/>
                    <w:bidi w:val="0"/>
                    <w:jc w:val="center"/>
                  </w:pPr>
                  <w:r>
                    <w:rPr>
                      <w:rFonts w:hint="eastAsia"/>
                    </w:rPr>
                    <w:t>本项目不属于高耗水行业，年用水量为</w:t>
                  </w:r>
                  <w:r>
                    <w:rPr>
                      <w:rFonts w:hint="eastAsia"/>
                      <w:highlight w:val="none"/>
                      <w:lang w:val="en-US" w:eastAsia="zh-CN"/>
                    </w:rPr>
                    <w:t>37881.525</w:t>
                  </w:r>
                  <w:r>
                    <w:rPr>
                      <w:rFonts w:hint="eastAsia"/>
                      <w:highlight w:val="none"/>
                    </w:rPr>
                    <w:t>t/a</w:t>
                  </w:r>
                  <w:r>
                    <w:rPr>
                      <w:rFonts w:hint="eastAsia"/>
                      <w:highlight w:val="none"/>
                      <w:lang w:eastAsia="zh-CN"/>
                    </w:rPr>
                    <w:t>，</w:t>
                  </w:r>
                  <w:r>
                    <w:rPr>
                      <w:rFonts w:hint="eastAsia"/>
                    </w:rPr>
                    <w:t>符合用水定额</w:t>
                  </w:r>
                </w:p>
              </w:tc>
              <w:tc>
                <w:tcPr>
                  <w:tcW w:w="1528" w:type="dxa"/>
                  <w:vAlign w:val="center"/>
                </w:tcPr>
                <w:p w14:paraId="3AAEA8B7">
                  <w:pPr>
                    <w:pStyle w:val="32"/>
                    <w:bidi w:val="0"/>
                    <w:jc w:val="center"/>
                    <w:rPr>
                      <w:rFonts w:hint="eastAsia" w:eastAsia="宋体"/>
                      <w:lang w:val="en-US" w:eastAsia="zh-CN"/>
                    </w:rPr>
                  </w:pPr>
                  <w:r>
                    <w:rPr>
                      <w:rFonts w:hint="eastAsia"/>
                      <w:lang w:val="en-US" w:eastAsia="zh-CN"/>
                    </w:rPr>
                    <w:t>符合</w:t>
                  </w:r>
                </w:p>
              </w:tc>
            </w:tr>
          </w:tbl>
          <w:p w14:paraId="4B2D64E6">
            <w:pPr>
              <w:bidi w:val="0"/>
              <w:rPr>
                <w:rFonts w:hint="eastAsia"/>
                <w:b/>
                <w:bCs/>
                <w:lang w:val="en-US" w:eastAsia="zh-CN"/>
              </w:rPr>
            </w:pPr>
            <w:r>
              <w:rPr>
                <w:rFonts w:hint="eastAsia"/>
                <w:b/>
                <w:bCs/>
                <w:lang w:val="en-US" w:eastAsia="zh-CN"/>
              </w:rPr>
              <w:t>5、与《淮南市“十四五”卫生健康规划》符合性分析</w:t>
            </w:r>
          </w:p>
          <w:p w14:paraId="7D189268">
            <w:pPr>
              <w:bidi w:val="0"/>
              <w:rPr>
                <w:rFonts w:hint="eastAsia"/>
              </w:rPr>
            </w:pPr>
            <w:r>
              <w:rPr>
                <w:rFonts w:hint="eastAsia"/>
              </w:rPr>
              <w:t>在新冠疫情的冲击下，公共卫生防控压力不断增加，多层次医疗服务需求快速增长。全市公立医疗资源总量仍居全省后位，优质资源相对不足，资源配置欠均衡，高端优质医疗能力整体不强、基层医疗能力仍旧薄弱等问题较重，医疗卫生服务模式与健康管理先进理念的矛盾逐渐显现，“重治轻防”的传统医疗需求未全面转变，影响淮南人民主要健康水平的重大疾病预防控制等方面短板依然突出。按照“老城区严控增量，调整现量，资源整合；新城区合理布局，优质配置，提质扩容”的思路，优化区域医疗中心布局，实施“1+3+2+10”区域医疗卫生服务体系工程，推进山南新区卫生服务体系建设，提高山南新区的城市形象，打造现代化城市新区，建立优质高效的整合型医疗卫生服务体系，提高全市卫生健康供给质量和服务水平。</w:t>
            </w:r>
          </w:p>
          <w:p w14:paraId="2EE3865A">
            <w:pPr>
              <w:bidi w:val="0"/>
              <w:rPr>
                <w:rFonts w:hint="default"/>
                <w:b w:val="0"/>
                <w:bCs w:val="0"/>
                <w:lang w:val="en-US" w:eastAsia="zh-CN"/>
              </w:rPr>
            </w:pPr>
            <w:r>
              <w:rPr>
                <w:rFonts w:hint="eastAsia"/>
                <w:lang w:val="en-US" w:eastAsia="zh-CN"/>
              </w:rPr>
              <w:t>本项目位于淮南市山南新区，是淮南市第四人民医院山南院区，为精神病专科医院，能够提升山南新区卫生服务体系医疗水平，提高山南新区的城市形象，为打造现代化城市新区而服务。同时项目能够解决淮南市第四人民医院床位紧张，医疗资源不足等难题，符合</w:t>
            </w:r>
            <w:r>
              <w:rPr>
                <w:rFonts w:hint="eastAsia"/>
                <w:b w:val="0"/>
                <w:bCs w:val="0"/>
                <w:lang w:val="en-US" w:eastAsia="zh-CN"/>
              </w:rPr>
              <w:t>《淮南市“十四五”卫生健康规划》要求。</w:t>
            </w:r>
          </w:p>
          <w:p w14:paraId="6419B295">
            <w:pPr>
              <w:numPr>
                <w:ilvl w:val="0"/>
                <w:numId w:val="1"/>
              </w:numPr>
              <w:bidi w:val="0"/>
              <w:rPr>
                <w:rFonts w:hint="eastAsia"/>
                <w:b/>
                <w:bCs/>
                <w:lang w:val="en-US" w:eastAsia="zh-CN"/>
              </w:rPr>
            </w:pPr>
            <w:r>
              <w:rPr>
                <w:rFonts w:hint="eastAsia"/>
                <w:b/>
                <w:bCs/>
                <w:lang w:val="en-US" w:eastAsia="zh-CN"/>
              </w:rPr>
              <w:t>与</w:t>
            </w:r>
            <w:r>
              <w:rPr>
                <w:rFonts w:hint="eastAsia"/>
                <w:b/>
                <w:bCs/>
              </w:rPr>
              <w:t>《医疗机构污水处理工程技术标准》(GB51459—2024)</w:t>
            </w:r>
            <w:r>
              <w:rPr>
                <w:rFonts w:hint="eastAsia"/>
                <w:b/>
                <w:bCs/>
                <w:lang w:val="en-US" w:eastAsia="zh-CN"/>
              </w:rPr>
              <w:t>符合性分析</w:t>
            </w:r>
          </w:p>
          <w:p w14:paraId="1CBD06B9">
            <w:pPr>
              <w:bidi w:val="0"/>
              <w:rPr>
                <w:rFonts w:hint="default"/>
                <w:lang w:val="en-US" w:eastAsia="zh-CN"/>
              </w:rPr>
            </w:pPr>
            <w:r>
              <w:t>医院是重要的医疗场所，但由此产生的污水却具有一定的危害性。为了保护患者和工作人员的健康，以及维护环境的整洁与安全，医院污水处理管理成为至关重要的任务。</w:t>
            </w:r>
            <w:r>
              <w:rPr>
                <w:rFonts w:hint="eastAsia"/>
                <w:lang w:val="en-US" w:eastAsia="zh-CN"/>
              </w:rPr>
              <w:t>本项目与</w:t>
            </w:r>
            <w:r>
              <w:rPr>
                <w:rFonts w:hint="eastAsia"/>
              </w:rPr>
              <w:t>《医疗机构污水处理工程技术标准》(GB51459—2024)</w:t>
            </w:r>
            <w:r>
              <w:rPr>
                <w:rFonts w:hint="eastAsia"/>
                <w:lang w:val="en-US" w:eastAsia="zh-CN"/>
              </w:rPr>
              <w:t>符合性分析见下表。</w:t>
            </w:r>
          </w:p>
          <w:p w14:paraId="126430A2">
            <w:pPr>
              <w:pStyle w:val="41"/>
              <w:bidi w:val="0"/>
              <w:rPr>
                <w:rFonts w:hint="eastAsia"/>
              </w:rPr>
            </w:pPr>
            <w:r>
              <w:rPr>
                <w:rFonts w:hint="eastAsia"/>
                <w:lang w:val="en-US" w:eastAsia="zh-CN"/>
              </w:rPr>
              <w:t xml:space="preserve">表1-6  </w:t>
            </w:r>
            <w:r>
              <w:rPr>
                <w:rFonts w:hint="eastAsia"/>
              </w:rPr>
              <w:t>与《医疗机构污水处理工程技术标准》(GB51459—2024)符合性分析</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2"/>
              <w:gridCol w:w="2790"/>
              <w:gridCol w:w="911"/>
            </w:tblGrid>
            <w:tr w14:paraId="3A95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534EBE25">
                  <w:pPr>
                    <w:pStyle w:val="32"/>
                    <w:bidi w:val="0"/>
                    <w:jc w:val="center"/>
                    <w:rPr>
                      <w:rFonts w:hint="default"/>
                      <w:b/>
                      <w:bCs/>
                      <w:lang w:val="en-US" w:eastAsia="zh-CN"/>
                    </w:rPr>
                  </w:pPr>
                  <w:r>
                    <w:rPr>
                      <w:rFonts w:hint="eastAsia"/>
                      <w:b/>
                      <w:bCs/>
                      <w:lang w:val="en-US" w:eastAsia="zh-CN"/>
                    </w:rPr>
                    <w:t>标准要求</w:t>
                  </w:r>
                </w:p>
              </w:tc>
              <w:tc>
                <w:tcPr>
                  <w:tcW w:w="1969" w:type="pct"/>
                  <w:vAlign w:val="center"/>
                </w:tcPr>
                <w:p w14:paraId="60C2B962">
                  <w:pPr>
                    <w:pStyle w:val="32"/>
                    <w:bidi w:val="0"/>
                    <w:jc w:val="center"/>
                    <w:rPr>
                      <w:rFonts w:hint="eastAsia"/>
                      <w:b/>
                      <w:bCs/>
                      <w:lang w:val="en-US" w:eastAsia="zh-CN"/>
                    </w:rPr>
                  </w:pPr>
                  <w:r>
                    <w:rPr>
                      <w:rFonts w:hint="eastAsia"/>
                      <w:b/>
                      <w:bCs/>
                      <w:lang w:val="en-US" w:eastAsia="zh-CN"/>
                    </w:rPr>
                    <w:t>本项目</w:t>
                  </w:r>
                </w:p>
              </w:tc>
              <w:tc>
                <w:tcPr>
                  <w:tcW w:w="643" w:type="pct"/>
                  <w:vAlign w:val="center"/>
                </w:tcPr>
                <w:p w14:paraId="05476F7E">
                  <w:pPr>
                    <w:pStyle w:val="32"/>
                    <w:bidi w:val="0"/>
                    <w:jc w:val="center"/>
                    <w:rPr>
                      <w:rFonts w:hint="eastAsia"/>
                      <w:b/>
                      <w:bCs/>
                      <w:lang w:val="en-US" w:eastAsia="zh-CN"/>
                    </w:rPr>
                  </w:pPr>
                  <w:r>
                    <w:rPr>
                      <w:rFonts w:hint="eastAsia"/>
                      <w:b/>
                      <w:bCs/>
                      <w:lang w:val="en-US" w:eastAsia="zh-CN"/>
                    </w:rPr>
                    <w:t>符合性</w:t>
                  </w:r>
                </w:p>
              </w:tc>
            </w:tr>
            <w:tr w14:paraId="298F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3EF6D10A">
                  <w:pPr>
                    <w:pStyle w:val="32"/>
                    <w:bidi w:val="0"/>
                    <w:jc w:val="center"/>
                  </w:pPr>
                  <w:r>
                    <w:rPr>
                      <w:rFonts w:hint="eastAsia"/>
                      <w:lang w:val="en-US" w:eastAsia="zh-CN"/>
                    </w:rPr>
                    <w:t>1.0.4</w:t>
                  </w:r>
                  <w:r>
                    <w:rPr>
                      <w:rFonts w:hint="eastAsia"/>
                    </w:rPr>
                    <w:t>医疗机构区域内排水应采取雨污分流</w:t>
                  </w:r>
                  <w:r>
                    <w:rPr>
                      <w:rFonts w:hint="eastAsia"/>
                      <w:lang w:eastAsia="zh-CN"/>
                    </w:rPr>
                    <w:t>；</w:t>
                  </w:r>
                  <w:r>
                    <w:rPr>
                      <w:rFonts w:hint="eastAsia"/>
                    </w:rPr>
                    <w:t>传染病医疗机构屋面及地面雨水严禁回用。</w:t>
                  </w:r>
                </w:p>
              </w:tc>
              <w:tc>
                <w:tcPr>
                  <w:tcW w:w="1969" w:type="pct"/>
                  <w:vAlign w:val="center"/>
                </w:tcPr>
                <w:p w14:paraId="1F417912">
                  <w:pPr>
                    <w:pStyle w:val="32"/>
                    <w:bidi w:val="0"/>
                    <w:jc w:val="center"/>
                    <w:rPr>
                      <w:rFonts w:hint="default" w:eastAsia="宋体"/>
                      <w:lang w:val="en-US" w:eastAsia="zh-CN"/>
                    </w:rPr>
                  </w:pPr>
                  <w:r>
                    <w:rPr>
                      <w:rFonts w:hint="eastAsia"/>
                      <w:lang w:val="en-US" w:eastAsia="zh-CN"/>
                    </w:rPr>
                    <w:t>1.0.4本项目采取雨污分流；项目为精神病专科医院，为非传染病医院。</w:t>
                  </w:r>
                </w:p>
              </w:tc>
              <w:tc>
                <w:tcPr>
                  <w:tcW w:w="643" w:type="pct"/>
                  <w:vAlign w:val="center"/>
                </w:tcPr>
                <w:p w14:paraId="407B2BAC">
                  <w:pPr>
                    <w:pStyle w:val="32"/>
                    <w:bidi w:val="0"/>
                    <w:jc w:val="center"/>
                    <w:rPr>
                      <w:rFonts w:hint="eastAsia" w:eastAsia="宋体"/>
                      <w:lang w:val="en-US" w:eastAsia="zh-CN"/>
                    </w:rPr>
                  </w:pPr>
                  <w:r>
                    <w:rPr>
                      <w:rFonts w:hint="eastAsia"/>
                      <w:lang w:val="en-US" w:eastAsia="zh-CN"/>
                    </w:rPr>
                    <w:t>符合</w:t>
                  </w:r>
                </w:p>
              </w:tc>
            </w:tr>
            <w:tr w14:paraId="74CE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7AA605BA">
                  <w:pPr>
                    <w:pStyle w:val="32"/>
                    <w:bidi w:val="0"/>
                    <w:jc w:val="center"/>
                    <w:rPr>
                      <w:rFonts w:hint="eastAsia"/>
                    </w:rPr>
                  </w:pPr>
                  <w:r>
                    <w:rPr>
                      <w:rFonts w:hint="eastAsia"/>
                      <w:lang w:val="en-US" w:eastAsia="zh-CN"/>
                    </w:rPr>
                    <w:t>1.0.5医疗机构污水处理工程建设应统筹考虑医疗机构发展规划，遵循近远期结合的原则。处理站选址及布局应进行技术经济分析和环境风险分析，并经综合比选后确定。</w:t>
                  </w:r>
                </w:p>
              </w:tc>
              <w:tc>
                <w:tcPr>
                  <w:tcW w:w="1969" w:type="pct"/>
                  <w:vAlign w:val="center"/>
                </w:tcPr>
                <w:p w14:paraId="65962244">
                  <w:pPr>
                    <w:pStyle w:val="32"/>
                    <w:bidi w:val="0"/>
                    <w:jc w:val="center"/>
                    <w:rPr>
                      <w:rFonts w:hint="eastAsia"/>
                      <w:lang w:val="en-US" w:eastAsia="zh-CN"/>
                    </w:rPr>
                  </w:pPr>
                  <w:r>
                    <w:rPr>
                      <w:rFonts w:hint="eastAsia"/>
                      <w:lang w:val="en-US" w:eastAsia="zh-CN"/>
                    </w:rPr>
                    <w:t>1.0.5本项目实施后进入污水处理站污水总量约</w:t>
                  </w:r>
                  <w:r>
                    <w:rPr>
                      <w:rFonts w:hint="eastAsia"/>
                      <w:highlight w:val="none"/>
                      <w:lang w:val="en-US" w:eastAsia="zh-CN"/>
                    </w:rPr>
                    <w:t>87.9762t/d</w:t>
                  </w:r>
                  <w:r>
                    <w:rPr>
                      <w:rFonts w:hint="eastAsia"/>
                      <w:lang w:val="en-US" w:eastAsia="zh-CN"/>
                    </w:rPr>
                    <w:t>，污水处理设施设计处理能力100t/d，设计规模考虑到了医院的后期规划。</w:t>
                  </w:r>
                </w:p>
                <w:p w14:paraId="3B592BB7">
                  <w:pPr>
                    <w:pStyle w:val="32"/>
                    <w:bidi w:val="0"/>
                    <w:jc w:val="center"/>
                    <w:rPr>
                      <w:rFonts w:hint="default"/>
                      <w:lang w:val="en-US" w:eastAsia="zh-CN"/>
                    </w:rPr>
                  </w:pPr>
                  <w:r>
                    <w:rPr>
                      <w:rFonts w:hint="eastAsia"/>
                      <w:lang w:val="en-US" w:eastAsia="zh-CN"/>
                    </w:rPr>
                    <w:t>污水处理站位于院区南侧，经综合比选后确定。</w:t>
                  </w:r>
                </w:p>
              </w:tc>
              <w:tc>
                <w:tcPr>
                  <w:tcW w:w="643" w:type="pct"/>
                  <w:vAlign w:val="center"/>
                </w:tcPr>
                <w:p w14:paraId="51E12D18">
                  <w:pPr>
                    <w:pStyle w:val="32"/>
                    <w:bidi w:val="0"/>
                    <w:jc w:val="center"/>
                    <w:rPr>
                      <w:rFonts w:hint="default"/>
                      <w:lang w:val="en-US" w:eastAsia="zh-CN"/>
                    </w:rPr>
                  </w:pPr>
                  <w:r>
                    <w:rPr>
                      <w:rFonts w:hint="eastAsia"/>
                      <w:lang w:val="en-US" w:eastAsia="zh-CN"/>
                    </w:rPr>
                    <w:t>符合</w:t>
                  </w:r>
                </w:p>
              </w:tc>
            </w:tr>
            <w:tr w14:paraId="25AD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43F052C3">
                  <w:pPr>
                    <w:pStyle w:val="32"/>
                    <w:bidi w:val="0"/>
                    <w:jc w:val="center"/>
                    <w:rPr>
                      <w:rFonts w:hint="eastAsia"/>
                      <w:lang w:val="en-US" w:eastAsia="zh-CN"/>
                    </w:rPr>
                  </w:pPr>
                  <w:r>
                    <w:rPr>
                      <w:rFonts w:hint="eastAsia"/>
                      <w:lang w:val="en-US" w:eastAsia="zh-CN"/>
                    </w:rPr>
                    <w:t>3.0.1 医疗机构污水处理工程应采用成熟可靠的技术、工艺和设备，做到运行稳定、安全卫生、管理方便、经济合理。</w:t>
                  </w:r>
                </w:p>
                <w:p w14:paraId="72BF5AFA">
                  <w:pPr>
                    <w:pStyle w:val="32"/>
                    <w:bidi w:val="0"/>
                    <w:jc w:val="center"/>
                    <w:rPr>
                      <w:rFonts w:hint="eastAsia"/>
                      <w:lang w:val="en-US" w:eastAsia="zh-CN"/>
                    </w:rPr>
                  </w:pPr>
                  <w:r>
                    <w:rPr>
                      <w:rFonts w:hint="eastAsia"/>
                      <w:lang w:val="en-US" w:eastAsia="zh-CN"/>
                    </w:rPr>
                    <w:t>3.0.2 医疗机构污水的产生、处理、排放应进行全过程控制，并在医疗机构区域内完成处理。</w:t>
                  </w:r>
                </w:p>
                <w:p w14:paraId="304DFAFC">
                  <w:pPr>
                    <w:pStyle w:val="32"/>
                    <w:bidi w:val="0"/>
                    <w:jc w:val="center"/>
                    <w:rPr>
                      <w:rFonts w:hint="eastAsia"/>
                      <w:lang w:val="en-US" w:eastAsia="zh-CN"/>
                    </w:rPr>
                  </w:pPr>
                  <w:r>
                    <w:rPr>
                      <w:rFonts w:hint="eastAsia"/>
                      <w:lang w:val="en-US" w:eastAsia="zh-CN"/>
                    </w:rPr>
                    <w:t>3.0.4 医疗机构污水必须进行消毒处理</w:t>
                  </w:r>
                </w:p>
              </w:tc>
              <w:tc>
                <w:tcPr>
                  <w:tcW w:w="1969" w:type="pct"/>
                  <w:vAlign w:val="center"/>
                </w:tcPr>
                <w:p w14:paraId="050EEED4">
                  <w:pPr>
                    <w:pStyle w:val="32"/>
                    <w:bidi w:val="0"/>
                    <w:jc w:val="center"/>
                    <w:rPr>
                      <w:rFonts w:hint="eastAsia"/>
                      <w:lang w:val="en-US" w:eastAsia="zh-CN"/>
                    </w:rPr>
                  </w:pPr>
                  <w:r>
                    <w:rPr>
                      <w:rFonts w:hint="eastAsia"/>
                      <w:lang w:val="en-US" w:eastAsia="zh-CN"/>
                    </w:rPr>
                    <w:t>3.0.1本项目采用“格栅十调节+水解酸化+缺氧+生物接触氧化十沉淀十消毒”工艺，此工艺发展已成熟。</w:t>
                  </w:r>
                </w:p>
                <w:p w14:paraId="57A27505">
                  <w:pPr>
                    <w:pStyle w:val="32"/>
                    <w:bidi w:val="0"/>
                    <w:jc w:val="center"/>
                    <w:rPr>
                      <w:rFonts w:hint="eastAsia"/>
                      <w:lang w:val="en-US" w:eastAsia="zh-CN"/>
                    </w:rPr>
                  </w:pPr>
                  <w:r>
                    <w:rPr>
                      <w:rFonts w:hint="eastAsia"/>
                      <w:lang w:val="en-US" w:eastAsia="zh-CN"/>
                    </w:rPr>
                    <w:t>3.0.2项目设置污水在线监测系统，可实现在医疗机构区域内全过程控制污水的产生、处理、排放。</w:t>
                  </w:r>
                </w:p>
                <w:p w14:paraId="724C80B4">
                  <w:pPr>
                    <w:pStyle w:val="32"/>
                    <w:bidi w:val="0"/>
                    <w:jc w:val="center"/>
                    <w:rPr>
                      <w:rFonts w:hint="default"/>
                      <w:lang w:val="en-US" w:eastAsia="zh-CN"/>
                    </w:rPr>
                  </w:pPr>
                  <w:r>
                    <w:rPr>
                      <w:rFonts w:hint="eastAsia"/>
                      <w:lang w:val="en-US" w:eastAsia="zh-CN"/>
                    </w:rPr>
                    <w:t>3.0.4项目设消毒处理工艺。</w:t>
                  </w:r>
                </w:p>
              </w:tc>
              <w:tc>
                <w:tcPr>
                  <w:tcW w:w="643" w:type="pct"/>
                  <w:vAlign w:val="center"/>
                </w:tcPr>
                <w:p w14:paraId="5ABA7357">
                  <w:pPr>
                    <w:pStyle w:val="32"/>
                    <w:bidi w:val="0"/>
                    <w:jc w:val="center"/>
                    <w:rPr>
                      <w:rFonts w:hint="default"/>
                      <w:lang w:val="en-US" w:eastAsia="zh-CN"/>
                    </w:rPr>
                  </w:pPr>
                  <w:r>
                    <w:rPr>
                      <w:rFonts w:hint="eastAsia"/>
                      <w:lang w:val="en-US" w:eastAsia="zh-CN"/>
                    </w:rPr>
                    <w:t>符合</w:t>
                  </w:r>
                </w:p>
              </w:tc>
            </w:tr>
            <w:tr w14:paraId="0658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4B9DA33D">
                  <w:pPr>
                    <w:pStyle w:val="32"/>
                    <w:bidi w:val="0"/>
                    <w:jc w:val="center"/>
                    <w:rPr>
                      <w:rFonts w:hint="eastAsia"/>
                      <w:lang w:val="en-US" w:eastAsia="zh-CN"/>
                    </w:rPr>
                  </w:pPr>
                  <w:r>
                    <w:rPr>
                      <w:rFonts w:hint="eastAsia"/>
                      <w:lang w:val="en-US" w:eastAsia="zh-CN"/>
                    </w:rPr>
                    <w:t>3.0.8医疗机构污水处理工程应设置污泥及栅渣堆放设施，堆放设施应采取密闭措施。</w:t>
                  </w:r>
                </w:p>
                <w:p w14:paraId="1FAD2D0A">
                  <w:pPr>
                    <w:pStyle w:val="32"/>
                    <w:bidi w:val="0"/>
                    <w:jc w:val="center"/>
                    <w:rPr>
                      <w:rFonts w:hint="eastAsia"/>
                      <w:lang w:val="en-US" w:eastAsia="zh-CN"/>
                    </w:rPr>
                  </w:pPr>
                  <w:r>
                    <w:rPr>
                      <w:rFonts w:hint="eastAsia"/>
                      <w:lang w:val="en-US" w:eastAsia="zh-CN"/>
                    </w:rPr>
                    <w:t>3.0.9医疗机构污水处理工程应按照环境影响评价报告批复的相关要求进行建设。</w:t>
                  </w:r>
                </w:p>
              </w:tc>
              <w:tc>
                <w:tcPr>
                  <w:tcW w:w="1969" w:type="pct"/>
                  <w:vAlign w:val="center"/>
                </w:tcPr>
                <w:p w14:paraId="11819D43">
                  <w:pPr>
                    <w:pStyle w:val="32"/>
                    <w:bidi w:val="0"/>
                    <w:jc w:val="center"/>
                    <w:rPr>
                      <w:rFonts w:hint="eastAsia"/>
                      <w:lang w:val="en-US" w:eastAsia="zh-CN"/>
                    </w:rPr>
                  </w:pPr>
                  <w:r>
                    <w:rPr>
                      <w:rFonts w:hint="eastAsia"/>
                      <w:lang w:val="en-US" w:eastAsia="zh-CN"/>
                    </w:rPr>
                    <w:t>3.0.8项目设置污水站消毒间，用于暂存污泥及栅渣，污水站消毒间密闭。</w:t>
                  </w:r>
                </w:p>
                <w:p w14:paraId="4F97444A">
                  <w:pPr>
                    <w:pStyle w:val="32"/>
                    <w:bidi w:val="0"/>
                    <w:jc w:val="center"/>
                    <w:rPr>
                      <w:rFonts w:hint="default"/>
                      <w:lang w:val="en-US" w:eastAsia="zh-CN"/>
                    </w:rPr>
                  </w:pPr>
                  <w:r>
                    <w:rPr>
                      <w:rFonts w:hint="eastAsia"/>
                      <w:lang w:val="en-US" w:eastAsia="zh-CN"/>
                    </w:rPr>
                    <w:t>3.0.9 项目污水处理站按照环评批复相关要求进行建设。</w:t>
                  </w:r>
                </w:p>
              </w:tc>
              <w:tc>
                <w:tcPr>
                  <w:tcW w:w="643" w:type="pct"/>
                  <w:vAlign w:val="center"/>
                </w:tcPr>
                <w:p w14:paraId="7F43B3B2">
                  <w:pPr>
                    <w:pStyle w:val="32"/>
                    <w:bidi w:val="0"/>
                    <w:jc w:val="center"/>
                    <w:rPr>
                      <w:rFonts w:hint="default"/>
                      <w:lang w:val="en-US" w:eastAsia="zh-CN"/>
                    </w:rPr>
                  </w:pPr>
                  <w:r>
                    <w:rPr>
                      <w:rFonts w:hint="eastAsia"/>
                      <w:lang w:val="en-US" w:eastAsia="zh-CN"/>
                    </w:rPr>
                    <w:t>符合</w:t>
                  </w:r>
                </w:p>
              </w:tc>
            </w:tr>
            <w:tr w14:paraId="2CA0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74258C45">
                  <w:pPr>
                    <w:pStyle w:val="32"/>
                    <w:bidi w:val="0"/>
                    <w:jc w:val="center"/>
                    <w:rPr>
                      <w:rFonts w:hint="eastAsia"/>
                      <w:lang w:val="en-US" w:eastAsia="zh-CN"/>
                    </w:rPr>
                  </w:pPr>
                  <w:r>
                    <w:rPr>
                      <w:rFonts w:hint="eastAsia"/>
                      <w:lang w:val="en-US" w:eastAsia="zh-CN"/>
                    </w:rPr>
                    <w:t>3.0.10医疗机构水污染物排放应符合现行国家标准《医疗机构水污染物排放标准》GB18466的有关规定，排污许可管理应符合现行行业标准《排污许可证申请与核发技术规范医疗机构》HJ1105的有关规定</w:t>
                  </w:r>
                </w:p>
              </w:tc>
              <w:tc>
                <w:tcPr>
                  <w:tcW w:w="1969" w:type="pct"/>
                  <w:vAlign w:val="center"/>
                </w:tcPr>
                <w:p w14:paraId="7C11B656">
                  <w:pPr>
                    <w:pStyle w:val="32"/>
                    <w:bidi w:val="0"/>
                    <w:jc w:val="center"/>
                    <w:rPr>
                      <w:rFonts w:hint="default"/>
                      <w:lang w:val="en-US" w:eastAsia="zh-CN"/>
                    </w:rPr>
                  </w:pPr>
                  <w:r>
                    <w:rPr>
                      <w:rFonts w:hint="eastAsia"/>
                      <w:lang w:val="en-US" w:eastAsia="zh-CN"/>
                    </w:rPr>
                    <w:t>3.0.10水污染物排放达到《医疗机构水污染物排放标准》(GB 18466-2005)中综合医疗机构和其他医疗机构污水预处理标准限值。</w:t>
                  </w:r>
                  <w:r>
                    <w:rPr>
                      <w:rFonts w:hint="eastAsia"/>
                      <w:highlight w:val="none"/>
                      <w:lang w:val="en-US" w:eastAsia="zh-CN"/>
                    </w:rPr>
                    <w:t>按照《排污许可证申请与核发技术规范医疗机构》HJ1105进行办理排污许可。</w:t>
                  </w:r>
                </w:p>
              </w:tc>
              <w:tc>
                <w:tcPr>
                  <w:tcW w:w="643" w:type="pct"/>
                  <w:vAlign w:val="center"/>
                </w:tcPr>
                <w:p w14:paraId="7E21C268">
                  <w:pPr>
                    <w:pStyle w:val="32"/>
                    <w:bidi w:val="0"/>
                    <w:jc w:val="center"/>
                    <w:rPr>
                      <w:rFonts w:hint="default"/>
                      <w:lang w:val="en-US" w:eastAsia="zh-CN"/>
                    </w:rPr>
                  </w:pPr>
                  <w:r>
                    <w:rPr>
                      <w:rFonts w:hint="eastAsia"/>
                      <w:lang w:val="en-US" w:eastAsia="zh-CN"/>
                    </w:rPr>
                    <w:t>符合</w:t>
                  </w:r>
                </w:p>
              </w:tc>
            </w:tr>
            <w:tr w14:paraId="164B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64E9A705">
                  <w:pPr>
                    <w:pStyle w:val="32"/>
                    <w:bidi w:val="0"/>
                    <w:jc w:val="center"/>
                    <w:rPr>
                      <w:rFonts w:hint="eastAsia"/>
                      <w:lang w:val="en-US" w:eastAsia="zh-CN"/>
                    </w:rPr>
                  </w:pPr>
                  <w:r>
                    <w:rPr>
                      <w:rFonts w:hint="eastAsia"/>
                      <w:lang w:val="en-US" w:eastAsia="zh-CN"/>
                    </w:rPr>
                    <w:t>4.1.3 新建医疗机构污水处理工程设计处理水量可在实测或测算的基础上留有设计裕量，设计裕量宜取实测值或测算值的10%~20%</w:t>
                  </w:r>
                </w:p>
              </w:tc>
              <w:tc>
                <w:tcPr>
                  <w:tcW w:w="1969" w:type="pct"/>
                  <w:vAlign w:val="center"/>
                </w:tcPr>
                <w:p w14:paraId="7D583B9D">
                  <w:pPr>
                    <w:pStyle w:val="32"/>
                    <w:bidi w:val="0"/>
                    <w:jc w:val="center"/>
                    <w:rPr>
                      <w:rFonts w:hint="default"/>
                      <w:lang w:val="en-US" w:eastAsia="zh-CN"/>
                    </w:rPr>
                  </w:pPr>
                  <w:r>
                    <w:rPr>
                      <w:rFonts w:hint="eastAsia"/>
                      <w:lang w:val="en-US" w:eastAsia="zh-CN"/>
                    </w:rPr>
                    <w:t>4.1.3项目污水处理站设计水量为100m³/d，测算值为</w:t>
                  </w:r>
                  <w:r>
                    <w:rPr>
                      <w:rFonts w:hint="eastAsia"/>
                      <w:highlight w:val="none"/>
                      <w:lang w:val="en-US" w:eastAsia="zh-CN"/>
                    </w:rPr>
                    <w:t>87.9762m³/d，设计裕量为为测算值的13.7%。</w:t>
                  </w:r>
                </w:p>
              </w:tc>
              <w:tc>
                <w:tcPr>
                  <w:tcW w:w="643" w:type="pct"/>
                  <w:vAlign w:val="center"/>
                </w:tcPr>
                <w:p w14:paraId="342F7226">
                  <w:pPr>
                    <w:pStyle w:val="32"/>
                    <w:bidi w:val="0"/>
                    <w:jc w:val="center"/>
                    <w:rPr>
                      <w:rFonts w:hint="default"/>
                      <w:lang w:val="en-US" w:eastAsia="zh-CN"/>
                    </w:rPr>
                  </w:pPr>
                  <w:r>
                    <w:rPr>
                      <w:rFonts w:hint="eastAsia"/>
                      <w:lang w:val="en-US" w:eastAsia="zh-CN"/>
                    </w:rPr>
                    <w:t>符合</w:t>
                  </w:r>
                </w:p>
              </w:tc>
            </w:tr>
            <w:tr w14:paraId="7E6B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27321EEC">
                  <w:pPr>
                    <w:pStyle w:val="32"/>
                    <w:bidi w:val="0"/>
                    <w:jc w:val="center"/>
                    <w:rPr>
                      <w:rFonts w:hint="eastAsia"/>
                      <w:lang w:val="en-US" w:eastAsia="zh-CN"/>
                    </w:rPr>
                  </w:pPr>
                  <w:r>
                    <w:rPr>
                      <w:rFonts w:hint="eastAsia"/>
                      <w:lang w:val="en-US" w:eastAsia="zh-CN"/>
                    </w:rPr>
                    <w:t>7.2.2 除符合国家有关规定中豁免条款要求的，医疗机构污水处理过程中产生的污泥栅渣应按危险废物处理处置。7.2.3 医疗机构污水应设化粪池进行预处理，再接入污水处理站</w:t>
                  </w:r>
                </w:p>
              </w:tc>
              <w:tc>
                <w:tcPr>
                  <w:tcW w:w="1969" w:type="pct"/>
                  <w:vAlign w:val="center"/>
                </w:tcPr>
                <w:p w14:paraId="2593FCC4">
                  <w:pPr>
                    <w:pStyle w:val="32"/>
                    <w:bidi w:val="0"/>
                    <w:jc w:val="center"/>
                    <w:rPr>
                      <w:rFonts w:hint="eastAsia"/>
                      <w:lang w:val="en-US" w:eastAsia="zh-CN"/>
                    </w:rPr>
                  </w:pPr>
                  <w:r>
                    <w:rPr>
                      <w:rFonts w:hint="eastAsia"/>
                      <w:lang w:val="en-US" w:eastAsia="zh-CN"/>
                    </w:rPr>
                    <w:t>7.2.2本项目污水处理过程中污泥、栅渣作为医疗废物暂存后委托有资质单位进行处置。</w:t>
                  </w:r>
                </w:p>
                <w:p w14:paraId="24B4E1C1">
                  <w:pPr>
                    <w:pStyle w:val="32"/>
                    <w:bidi w:val="0"/>
                    <w:jc w:val="center"/>
                    <w:rPr>
                      <w:rFonts w:hint="default"/>
                      <w:lang w:val="en-US" w:eastAsia="zh-CN"/>
                    </w:rPr>
                  </w:pPr>
                  <w:r>
                    <w:rPr>
                      <w:rFonts w:hint="eastAsia"/>
                      <w:lang w:val="en-US" w:eastAsia="zh-CN"/>
                    </w:rPr>
                    <w:t>7.2.3项目医疗废水经化粪池预处理后进入污水处理站。</w:t>
                  </w:r>
                </w:p>
              </w:tc>
              <w:tc>
                <w:tcPr>
                  <w:tcW w:w="643" w:type="pct"/>
                  <w:vAlign w:val="center"/>
                </w:tcPr>
                <w:p w14:paraId="5D4249AE">
                  <w:pPr>
                    <w:pStyle w:val="32"/>
                    <w:bidi w:val="0"/>
                    <w:jc w:val="center"/>
                    <w:rPr>
                      <w:rFonts w:hint="default"/>
                      <w:lang w:val="en-US" w:eastAsia="zh-CN"/>
                    </w:rPr>
                  </w:pPr>
                  <w:r>
                    <w:rPr>
                      <w:rFonts w:hint="eastAsia"/>
                      <w:lang w:val="en-US" w:eastAsia="zh-CN"/>
                    </w:rPr>
                    <w:t>符合</w:t>
                  </w:r>
                </w:p>
              </w:tc>
            </w:tr>
            <w:tr w14:paraId="1B8C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3F9747CC">
                  <w:pPr>
                    <w:pStyle w:val="32"/>
                    <w:bidi w:val="0"/>
                    <w:jc w:val="center"/>
                    <w:rPr>
                      <w:rFonts w:hint="eastAsia"/>
                      <w:lang w:val="en-US" w:eastAsia="zh-CN"/>
                    </w:rPr>
                  </w:pPr>
                  <w:r>
                    <w:rPr>
                      <w:rFonts w:hint="eastAsia"/>
                      <w:lang w:val="en-US" w:eastAsia="zh-CN"/>
                    </w:rPr>
                    <w:t>9.1.2医疗机构污水处理工程应设应急事故池，并应符合下列</w:t>
                  </w:r>
                </w:p>
                <w:p w14:paraId="5400F2D9">
                  <w:pPr>
                    <w:pStyle w:val="32"/>
                    <w:bidi w:val="0"/>
                    <w:jc w:val="center"/>
                    <w:rPr>
                      <w:rFonts w:hint="eastAsia"/>
                      <w:lang w:val="en-US" w:eastAsia="zh-CN"/>
                    </w:rPr>
                  </w:pPr>
                  <w:r>
                    <w:rPr>
                      <w:rFonts w:hint="eastAsia"/>
                      <w:lang w:val="en-US" w:eastAsia="zh-CN"/>
                    </w:rPr>
                    <w:t>规定:</w:t>
                  </w:r>
                </w:p>
                <w:p w14:paraId="3E86BD54">
                  <w:pPr>
                    <w:pStyle w:val="32"/>
                    <w:bidi w:val="0"/>
                    <w:jc w:val="center"/>
                    <w:rPr>
                      <w:rFonts w:hint="eastAsia"/>
                      <w:lang w:val="en-US" w:eastAsia="zh-CN"/>
                    </w:rPr>
                  </w:pPr>
                  <w:r>
                    <w:rPr>
                      <w:rFonts w:hint="eastAsia"/>
                      <w:lang w:val="en-US" w:eastAsia="zh-CN"/>
                    </w:rPr>
                    <w:t>2 非传染病医疗机构污水处理工程应急事故池容积不应小于日排放量的 30%。</w:t>
                  </w:r>
                </w:p>
              </w:tc>
              <w:tc>
                <w:tcPr>
                  <w:tcW w:w="1969" w:type="pct"/>
                  <w:vAlign w:val="center"/>
                </w:tcPr>
                <w:p w14:paraId="690A1079">
                  <w:pPr>
                    <w:pStyle w:val="32"/>
                    <w:bidi w:val="0"/>
                    <w:jc w:val="center"/>
                    <w:rPr>
                      <w:rFonts w:hint="default"/>
                      <w:lang w:val="en-US" w:eastAsia="zh-CN"/>
                    </w:rPr>
                  </w:pPr>
                  <w:r>
                    <w:rPr>
                      <w:rFonts w:hint="eastAsia"/>
                      <w:lang w:val="en-US" w:eastAsia="zh-CN"/>
                    </w:rPr>
                    <w:t>9.1.2项目设置应急事故池容积为</w:t>
                  </w:r>
                  <w:r>
                    <w:rPr>
                      <w:rFonts w:hint="eastAsia"/>
                      <w:highlight w:val="none"/>
                      <w:lang w:val="en-US" w:eastAsia="zh-CN"/>
                    </w:rPr>
                    <w:t>：30m³，</w:t>
                  </w:r>
                  <w:r>
                    <w:rPr>
                      <w:rFonts w:hint="eastAsia"/>
                      <w:lang w:val="en-US" w:eastAsia="zh-CN"/>
                    </w:rPr>
                    <w:t>为日排放量的</w:t>
                  </w:r>
                  <w:r>
                    <w:rPr>
                      <w:rFonts w:hint="eastAsia"/>
                      <w:highlight w:val="none"/>
                      <w:lang w:val="en-US" w:eastAsia="zh-CN"/>
                    </w:rPr>
                    <w:t>34%</w:t>
                  </w:r>
                </w:p>
              </w:tc>
              <w:tc>
                <w:tcPr>
                  <w:tcW w:w="643" w:type="pct"/>
                  <w:vAlign w:val="center"/>
                </w:tcPr>
                <w:p w14:paraId="455E2596">
                  <w:pPr>
                    <w:pStyle w:val="32"/>
                    <w:bidi w:val="0"/>
                    <w:jc w:val="center"/>
                    <w:rPr>
                      <w:rFonts w:hint="default"/>
                      <w:lang w:val="en-US" w:eastAsia="zh-CN"/>
                    </w:rPr>
                  </w:pPr>
                  <w:r>
                    <w:rPr>
                      <w:rFonts w:hint="eastAsia"/>
                      <w:lang w:val="en-US" w:eastAsia="zh-CN"/>
                    </w:rPr>
                    <w:t>符合</w:t>
                  </w:r>
                </w:p>
              </w:tc>
            </w:tr>
            <w:tr w14:paraId="4759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7F1D077E">
                  <w:pPr>
                    <w:pStyle w:val="32"/>
                    <w:bidi w:val="0"/>
                    <w:jc w:val="center"/>
                    <w:rPr>
                      <w:rFonts w:hint="eastAsia"/>
                      <w:lang w:val="en-US" w:eastAsia="zh-CN"/>
                    </w:rPr>
                  </w:pPr>
                  <w:r>
                    <w:rPr>
                      <w:rFonts w:hint="eastAsia"/>
                      <w:lang w:val="en-US" w:eastAsia="zh-CN"/>
                    </w:rPr>
                    <w:t>9.1.6对污水处理站中机电设备所产生的噪声和振动应采取有效的降噪和减振措施，污水处理站产生的噪声值应符合现行国家标准《声环境质量标准》GB3096、工业企业厂界环境噪声排放标准》GB12348的有关规定。</w:t>
                  </w:r>
                </w:p>
              </w:tc>
              <w:tc>
                <w:tcPr>
                  <w:tcW w:w="1969" w:type="pct"/>
                  <w:vAlign w:val="center"/>
                </w:tcPr>
                <w:p w14:paraId="77E86C8C">
                  <w:pPr>
                    <w:pStyle w:val="32"/>
                    <w:bidi w:val="0"/>
                    <w:jc w:val="center"/>
                    <w:rPr>
                      <w:rFonts w:hint="eastAsia"/>
                      <w:lang w:val="en-US" w:eastAsia="zh-CN"/>
                    </w:rPr>
                  </w:pPr>
                  <w:r>
                    <w:rPr>
                      <w:rFonts w:hint="eastAsia"/>
                      <w:lang w:val="en-US" w:eastAsia="zh-CN"/>
                    </w:rPr>
                    <w:t>9.1.6本项目采用低噪设备，污水处理站水泵可通过建筑隔声降低污水处理站噪音值。</w:t>
                  </w:r>
                </w:p>
              </w:tc>
              <w:tc>
                <w:tcPr>
                  <w:tcW w:w="643" w:type="pct"/>
                  <w:vAlign w:val="center"/>
                </w:tcPr>
                <w:p w14:paraId="75E461B7">
                  <w:pPr>
                    <w:pStyle w:val="32"/>
                    <w:bidi w:val="0"/>
                    <w:jc w:val="center"/>
                    <w:rPr>
                      <w:rFonts w:hint="default"/>
                      <w:lang w:val="en-US" w:eastAsia="zh-CN"/>
                    </w:rPr>
                  </w:pPr>
                  <w:r>
                    <w:rPr>
                      <w:rFonts w:hint="eastAsia"/>
                      <w:lang w:val="en-US" w:eastAsia="zh-CN"/>
                    </w:rPr>
                    <w:t>符合</w:t>
                  </w:r>
                </w:p>
              </w:tc>
            </w:tr>
            <w:tr w14:paraId="1614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3945C8B4">
                  <w:pPr>
                    <w:pStyle w:val="32"/>
                    <w:bidi w:val="0"/>
                    <w:jc w:val="center"/>
                    <w:rPr>
                      <w:rFonts w:hint="eastAsia"/>
                      <w:lang w:val="en-US" w:eastAsia="zh-CN"/>
                    </w:rPr>
                  </w:pPr>
                  <w:r>
                    <w:rPr>
                      <w:rFonts w:hint="eastAsia"/>
                      <w:lang w:val="en-US" w:eastAsia="zh-CN"/>
                    </w:rPr>
                    <w:t>9.2.3 新建医疗机构污水处理站应独立设置，并应符合下列规定：</w:t>
                  </w:r>
                </w:p>
                <w:p w14:paraId="242AC4BE">
                  <w:pPr>
                    <w:pStyle w:val="32"/>
                    <w:bidi w:val="0"/>
                    <w:jc w:val="center"/>
                    <w:rPr>
                      <w:rFonts w:hint="eastAsia"/>
                      <w:lang w:val="en-US" w:eastAsia="zh-CN"/>
                    </w:rPr>
                  </w:pPr>
                  <w:r>
                    <w:rPr>
                      <w:rFonts w:hint="eastAsia"/>
                      <w:lang w:val="en-US" w:eastAsia="zh-CN"/>
                    </w:rPr>
                    <w:t>1 非传染病医疗机构污水处理站与病房、居民区建筑物的距离不宜小于10m；</w:t>
                  </w:r>
                </w:p>
                <w:p w14:paraId="1301163A">
                  <w:pPr>
                    <w:pStyle w:val="32"/>
                    <w:bidi w:val="0"/>
                    <w:jc w:val="center"/>
                    <w:rPr>
                      <w:rFonts w:hint="eastAsia"/>
                      <w:lang w:val="en-US" w:eastAsia="zh-CN"/>
                    </w:rPr>
                  </w:pPr>
                  <w:r>
                    <w:rPr>
                      <w:rFonts w:hint="eastAsia"/>
                      <w:lang w:val="en-US" w:eastAsia="zh-CN"/>
                    </w:rPr>
                    <w:t>3污水处理站区域宜设置围栏，高度不宜小于2m。</w:t>
                  </w:r>
                </w:p>
              </w:tc>
              <w:tc>
                <w:tcPr>
                  <w:tcW w:w="1969" w:type="pct"/>
                  <w:vAlign w:val="center"/>
                </w:tcPr>
                <w:p w14:paraId="1FCED728">
                  <w:pPr>
                    <w:pStyle w:val="32"/>
                    <w:bidi w:val="0"/>
                    <w:jc w:val="center"/>
                    <w:rPr>
                      <w:rFonts w:hint="eastAsia"/>
                      <w:lang w:val="en-US" w:eastAsia="zh-CN"/>
                    </w:rPr>
                  </w:pPr>
                  <w:r>
                    <w:rPr>
                      <w:rFonts w:hint="eastAsia"/>
                      <w:lang w:val="en-US" w:eastAsia="zh-CN"/>
                    </w:rPr>
                    <w:t>9.2.3项目新建污水处理站</w:t>
                  </w:r>
                </w:p>
                <w:p w14:paraId="3BB68158">
                  <w:pPr>
                    <w:pStyle w:val="32"/>
                    <w:bidi w:val="0"/>
                    <w:jc w:val="center"/>
                    <w:rPr>
                      <w:rFonts w:hint="eastAsia"/>
                      <w:highlight w:val="yellow"/>
                      <w:lang w:val="en-US" w:eastAsia="zh-CN"/>
                    </w:rPr>
                  </w:pPr>
                  <w:r>
                    <w:rPr>
                      <w:rFonts w:hint="eastAsia"/>
                      <w:lang w:val="en-US" w:eastAsia="zh-CN"/>
                    </w:rPr>
                    <w:t>1与病房距离为</w:t>
                  </w:r>
                  <w:r>
                    <w:rPr>
                      <w:rFonts w:hint="eastAsia"/>
                      <w:highlight w:val="none"/>
                      <w:lang w:val="en-US" w:eastAsia="zh-CN"/>
                    </w:rPr>
                    <w:t>70m</w:t>
                  </w:r>
                  <w:r>
                    <w:rPr>
                      <w:rFonts w:hint="eastAsia"/>
                      <w:lang w:val="en-US" w:eastAsia="zh-CN"/>
                    </w:rPr>
                    <w:t>，与最近居民区距离为</w:t>
                  </w:r>
                  <w:r>
                    <w:rPr>
                      <w:rFonts w:hint="eastAsia"/>
                      <w:highlight w:val="none"/>
                      <w:lang w:val="en-US" w:eastAsia="zh-CN"/>
                    </w:rPr>
                    <w:t>286m；</w:t>
                  </w:r>
                </w:p>
                <w:p w14:paraId="1F4A0A5B">
                  <w:pPr>
                    <w:pStyle w:val="32"/>
                    <w:bidi w:val="0"/>
                    <w:jc w:val="center"/>
                    <w:rPr>
                      <w:rFonts w:hint="default"/>
                      <w:highlight w:val="yellow"/>
                      <w:lang w:val="en-US" w:eastAsia="zh-CN"/>
                    </w:rPr>
                  </w:pPr>
                  <w:r>
                    <w:rPr>
                      <w:rFonts w:hint="eastAsia"/>
                      <w:highlight w:val="none"/>
                      <w:lang w:val="en-US" w:eastAsia="zh-CN"/>
                    </w:rPr>
                    <w:t>3污水处理站设置地埋式污水处理站</w:t>
                  </w:r>
                </w:p>
              </w:tc>
              <w:tc>
                <w:tcPr>
                  <w:tcW w:w="643" w:type="pct"/>
                  <w:vAlign w:val="center"/>
                </w:tcPr>
                <w:p w14:paraId="3285C44E">
                  <w:pPr>
                    <w:pStyle w:val="32"/>
                    <w:bidi w:val="0"/>
                    <w:jc w:val="center"/>
                    <w:rPr>
                      <w:rFonts w:hint="default"/>
                      <w:lang w:val="en-US" w:eastAsia="zh-CN"/>
                    </w:rPr>
                  </w:pPr>
                  <w:r>
                    <w:rPr>
                      <w:rFonts w:hint="eastAsia"/>
                      <w:lang w:val="en-US" w:eastAsia="zh-CN"/>
                    </w:rPr>
                    <w:t>符合</w:t>
                  </w:r>
                </w:p>
              </w:tc>
            </w:tr>
            <w:tr w14:paraId="5533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0BBF8C6B">
                  <w:pPr>
                    <w:pStyle w:val="32"/>
                    <w:bidi w:val="0"/>
                    <w:jc w:val="center"/>
                    <w:rPr>
                      <w:rFonts w:hint="eastAsia"/>
                      <w:lang w:val="en-US" w:eastAsia="zh-CN"/>
                    </w:rPr>
                  </w:pPr>
                  <w:r>
                    <w:rPr>
                      <w:rFonts w:hint="eastAsia"/>
                      <w:lang w:val="en-US" w:eastAsia="zh-CN"/>
                    </w:rPr>
                    <w:t>10.1.5医疗机构污泥应进行机械脱水处理，机械脱水宜采用密闭式离心脱水机或叠螺脱水机，脱水后的污泥含水率不应大于85%。</w:t>
                  </w:r>
                </w:p>
              </w:tc>
              <w:tc>
                <w:tcPr>
                  <w:tcW w:w="1969" w:type="pct"/>
                  <w:vAlign w:val="center"/>
                </w:tcPr>
                <w:p w14:paraId="738B0C42">
                  <w:pPr>
                    <w:pStyle w:val="32"/>
                    <w:bidi w:val="0"/>
                    <w:jc w:val="center"/>
                    <w:rPr>
                      <w:rFonts w:hint="default"/>
                      <w:highlight w:val="yellow"/>
                      <w:lang w:val="en-US" w:eastAsia="zh-CN"/>
                    </w:rPr>
                  </w:pPr>
                  <w:r>
                    <w:rPr>
                      <w:rFonts w:hint="eastAsia"/>
                      <w:highlight w:val="none"/>
                      <w:lang w:val="en-US" w:eastAsia="zh-CN"/>
                    </w:rPr>
                    <w:t>10.1.5项目设置污水站消毒间，采用</w:t>
                  </w:r>
                  <w:r>
                    <w:rPr>
                      <w:rFonts w:hint="eastAsia"/>
                      <w:lang w:val="en-US" w:eastAsia="zh-CN"/>
                    </w:rPr>
                    <w:t>叠螺脱水机对污泥进行脱水，脱水后含水率为</w:t>
                  </w:r>
                  <w:r>
                    <w:rPr>
                      <w:rFonts w:hint="eastAsia"/>
                      <w:highlight w:val="none"/>
                      <w:lang w:val="en-US" w:eastAsia="zh-CN"/>
                    </w:rPr>
                    <w:t>65%。</w:t>
                  </w:r>
                </w:p>
              </w:tc>
              <w:tc>
                <w:tcPr>
                  <w:tcW w:w="643" w:type="pct"/>
                  <w:vAlign w:val="center"/>
                </w:tcPr>
                <w:p w14:paraId="4055663A">
                  <w:pPr>
                    <w:pStyle w:val="32"/>
                    <w:bidi w:val="0"/>
                    <w:jc w:val="center"/>
                    <w:rPr>
                      <w:rFonts w:hint="default"/>
                      <w:lang w:val="en-US" w:eastAsia="zh-CN"/>
                    </w:rPr>
                  </w:pPr>
                  <w:r>
                    <w:rPr>
                      <w:rFonts w:hint="eastAsia"/>
                      <w:lang w:val="en-US" w:eastAsia="zh-CN"/>
                    </w:rPr>
                    <w:t>符合</w:t>
                  </w:r>
                </w:p>
              </w:tc>
            </w:tr>
            <w:tr w14:paraId="087B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22C8D772">
                  <w:pPr>
                    <w:pStyle w:val="32"/>
                    <w:bidi w:val="0"/>
                    <w:jc w:val="center"/>
                    <w:rPr>
                      <w:rFonts w:hint="eastAsia"/>
                      <w:lang w:val="en-US" w:eastAsia="zh-CN"/>
                    </w:rPr>
                  </w:pPr>
                  <w:r>
                    <w:rPr>
                      <w:rFonts w:hint="eastAsia"/>
                      <w:lang w:val="en-US" w:eastAsia="zh-CN"/>
                    </w:rPr>
                    <w:t>10.2.1 医疗机构污水处理过程中产生的伴生废气应进行处理并应符合现行国家标准《恶臭污染物排放标准》GB14554和《医疗机构水污染物排放标准》GB18466的有关规定。</w:t>
                  </w:r>
                </w:p>
                <w:p w14:paraId="5E480BF5">
                  <w:pPr>
                    <w:pStyle w:val="32"/>
                    <w:bidi w:val="0"/>
                    <w:jc w:val="center"/>
                    <w:rPr>
                      <w:rFonts w:hint="eastAsia"/>
                      <w:lang w:val="en-US" w:eastAsia="zh-CN"/>
                    </w:rPr>
                  </w:pPr>
                  <w:r>
                    <w:rPr>
                      <w:rFonts w:hint="eastAsia"/>
                      <w:lang w:val="en-US" w:eastAsia="zh-CN"/>
                    </w:rPr>
                    <w:t>10.2.2对产生废气的处理设施宜加盖密闭，加盖形式应满足处理设施操作和运行要求。</w:t>
                  </w:r>
                </w:p>
                <w:p w14:paraId="57E44A71">
                  <w:pPr>
                    <w:pStyle w:val="32"/>
                    <w:bidi w:val="0"/>
                    <w:jc w:val="center"/>
                    <w:rPr>
                      <w:rFonts w:hint="eastAsia"/>
                      <w:lang w:val="en-US" w:eastAsia="zh-CN"/>
                    </w:rPr>
                  </w:pPr>
                  <w:r>
                    <w:rPr>
                      <w:rFonts w:hint="eastAsia"/>
                      <w:lang w:val="en-US" w:eastAsia="zh-CN"/>
                    </w:rPr>
                    <w:t>10.2.4废气除臭可采用活性炭吸附、化学、生物、离子和植物液除臭等处理方法。</w:t>
                  </w:r>
                </w:p>
              </w:tc>
              <w:tc>
                <w:tcPr>
                  <w:tcW w:w="1969" w:type="pct"/>
                  <w:vAlign w:val="center"/>
                </w:tcPr>
                <w:p w14:paraId="62349116">
                  <w:pPr>
                    <w:pStyle w:val="32"/>
                    <w:bidi w:val="0"/>
                    <w:jc w:val="center"/>
                    <w:rPr>
                      <w:rFonts w:hint="eastAsia"/>
                      <w:lang w:val="en-US" w:eastAsia="zh-CN"/>
                    </w:rPr>
                  </w:pPr>
                  <w:r>
                    <w:rPr>
                      <w:rFonts w:hint="eastAsia"/>
                      <w:highlight w:val="none"/>
                      <w:lang w:val="en-US" w:eastAsia="zh-CN"/>
                    </w:rPr>
                    <w:t>10.2.1项目污水处理站废气满足</w:t>
                  </w:r>
                  <w:r>
                    <w:rPr>
                      <w:rFonts w:hint="eastAsia"/>
                      <w:lang w:val="en-US" w:eastAsia="zh-CN"/>
                    </w:rPr>
                    <w:t>《恶臭污染物排放标准》GB14554和《医疗机构水污染物排放标准》GB18466的有关规定。</w:t>
                  </w:r>
                </w:p>
                <w:p w14:paraId="222873FC">
                  <w:pPr>
                    <w:pStyle w:val="32"/>
                    <w:bidi w:val="0"/>
                    <w:jc w:val="center"/>
                    <w:rPr>
                      <w:rFonts w:hint="eastAsia"/>
                      <w:highlight w:val="none"/>
                      <w:lang w:val="en-US" w:eastAsia="zh-CN"/>
                    </w:rPr>
                  </w:pPr>
                  <w:r>
                    <w:rPr>
                      <w:rFonts w:hint="eastAsia"/>
                      <w:lang w:val="en-US" w:eastAsia="zh-CN"/>
                    </w:rPr>
                    <w:t>10.2.2项目污水处理站</w:t>
                  </w:r>
                  <w:r>
                    <w:rPr>
                      <w:rFonts w:hint="eastAsia"/>
                      <w:highlight w:val="none"/>
                      <w:lang w:val="en-US" w:eastAsia="zh-CN"/>
                    </w:rPr>
                    <w:t>为地埋式。</w:t>
                  </w:r>
                </w:p>
                <w:p w14:paraId="04E1795F">
                  <w:pPr>
                    <w:pStyle w:val="32"/>
                    <w:bidi w:val="0"/>
                    <w:jc w:val="center"/>
                    <w:rPr>
                      <w:rFonts w:hint="default"/>
                      <w:highlight w:val="yellow"/>
                      <w:lang w:val="en-US" w:eastAsia="zh-CN"/>
                    </w:rPr>
                  </w:pPr>
                  <w:r>
                    <w:rPr>
                      <w:rFonts w:hint="eastAsia"/>
                      <w:highlight w:val="none"/>
                      <w:lang w:val="en-US" w:eastAsia="zh-CN"/>
                    </w:rPr>
                    <w:t>10.2.4项目设置二级活性炭吸附处理臭气。</w:t>
                  </w:r>
                </w:p>
              </w:tc>
              <w:tc>
                <w:tcPr>
                  <w:tcW w:w="643" w:type="pct"/>
                  <w:vAlign w:val="center"/>
                </w:tcPr>
                <w:p w14:paraId="038F0E38">
                  <w:pPr>
                    <w:pStyle w:val="32"/>
                    <w:bidi w:val="0"/>
                    <w:jc w:val="center"/>
                    <w:rPr>
                      <w:rFonts w:hint="eastAsia"/>
                      <w:lang w:val="en-US" w:eastAsia="zh-CN"/>
                    </w:rPr>
                  </w:pPr>
                </w:p>
              </w:tc>
            </w:tr>
            <w:tr w14:paraId="6919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vAlign w:val="center"/>
                </w:tcPr>
                <w:p w14:paraId="2D300E41">
                  <w:pPr>
                    <w:pStyle w:val="32"/>
                    <w:bidi w:val="0"/>
                    <w:jc w:val="center"/>
                    <w:rPr>
                      <w:rFonts w:hint="eastAsia"/>
                      <w:lang w:val="en-US" w:eastAsia="zh-CN"/>
                    </w:rPr>
                  </w:pPr>
                  <w:r>
                    <w:rPr>
                      <w:rFonts w:hint="eastAsia"/>
                      <w:lang w:val="en-US" w:eastAsia="zh-CN"/>
                    </w:rPr>
                    <w:t>13.2.1 医疗机构污水处理工程应定期监(检)测进(出)水水质、水量和污泥浓度等指标。非传染病医疗机构宜实现在线监测，传染病医疗机构应实现在线监测。</w:t>
                  </w:r>
                </w:p>
              </w:tc>
              <w:tc>
                <w:tcPr>
                  <w:tcW w:w="1969" w:type="pct"/>
                  <w:vAlign w:val="center"/>
                </w:tcPr>
                <w:p w14:paraId="1454471D">
                  <w:pPr>
                    <w:pStyle w:val="32"/>
                    <w:bidi w:val="0"/>
                    <w:jc w:val="center"/>
                    <w:rPr>
                      <w:rFonts w:hint="default"/>
                      <w:highlight w:val="yellow"/>
                      <w:lang w:val="en-US" w:eastAsia="zh-CN"/>
                    </w:rPr>
                  </w:pPr>
                  <w:r>
                    <w:rPr>
                      <w:rFonts w:hint="eastAsia"/>
                      <w:highlight w:val="none"/>
                      <w:lang w:val="en-US" w:eastAsia="zh-CN"/>
                    </w:rPr>
                    <w:t>13.2.1项目设置自动在线监测设备对污水处理工程定期进行监测。</w:t>
                  </w:r>
                </w:p>
              </w:tc>
              <w:tc>
                <w:tcPr>
                  <w:tcW w:w="643" w:type="pct"/>
                  <w:vAlign w:val="center"/>
                </w:tcPr>
                <w:p w14:paraId="124FA5F3">
                  <w:pPr>
                    <w:pStyle w:val="32"/>
                    <w:bidi w:val="0"/>
                    <w:jc w:val="center"/>
                    <w:rPr>
                      <w:rFonts w:hint="default"/>
                      <w:lang w:val="en-US" w:eastAsia="zh-CN"/>
                    </w:rPr>
                  </w:pPr>
                  <w:r>
                    <w:rPr>
                      <w:rFonts w:hint="eastAsia"/>
                      <w:lang w:val="en-US" w:eastAsia="zh-CN"/>
                    </w:rPr>
                    <w:t>符合</w:t>
                  </w:r>
                </w:p>
              </w:tc>
            </w:tr>
          </w:tbl>
          <w:p w14:paraId="2AA844B5">
            <w:pPr>
              <w:bidi w:val="0"/>
              <w:rPr>
                <w:rFonts w:hint="default" w:eastAsia="宋体"/>
                <w:b/>
                <w:bCs/>
                <w:lang w:val="en-US" w:eastAsia="zh-CN"/>
              </w:rPr>
            </w:pPr>
            <w:r>
              <w:rPr>
                <w:rFonts w:hint="eastAsia"/>
                <w:b/>
                <w:bCs/>
                <w:lang w:val="en-US" w:eastAsia="zh-CN"/>
              </w:rPr>
              <w:t>7、与《医疗机构水污染物排放标准》(GB18466-2005)符合性分析</w:t>
            </w:r>
          </w:p>
          <w:p w14:paraId="5992EBDF">
            <w:pPr>
              <w:pStyle w:val="41"/>
              <w:bidi w:val="0"/>
              <w:rPr>
                <w:rFonts w:hint="eastAsia"/>
                <w:lang w:val="en-US" w:eastAsia="zh-CN"/>
              </w:rPr>
            </w:pPr>
            <w:r>
              <w:rPr>
                <w:rFonts w:hint="eastAsia"/>
                <w:lang w:val="en-US" w:eastAsia="zh-CN"/>
              </w:rPr>
              <w:t>表1-7  与《医疗机构水污染物排放标准》(GB18466-2005)符合性分析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3"/>
              <w:gridCol w:w="3533"/>
              <w:gridCol w:w="990"/>
            </w:tblGrid>
            <w:tr w14:paraId="4FC4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3" w:type="dxa"/>
                  <w:shd w:val="clear" w:color="auto" w:fill="auto"/>
                  <w:vAlign w:val="center"/>
                </w:tcPr>
                <w:p w14:paraId="42547FAA">
                  <w:pPr>
                    <w:pStyle w:val="32"/>
                    <w:bidi w:val="0"/>
                    <w:ind w:firstLine="0" w:firstLineChars="0"/>
                    <w:jc w:val="center"/>
                    <w:rPr>
                      <w:rFonts w:hint="default" w:ascii="Times New Roman" w:hAnsi="Times New Roman" w:eastAsia="宋体" w:cs="Times New Roman"/>
                      <w:b/>
                      <w:bCs/>
                      <w:kern w:val="2"/>
                      <w:sz w:val="21"/>
                      <w:szCs w:val="24"/>
                      <w:lang w:val="en-US" w:eastAsia="zh-CN" w:bidi="ar-SA"/>
                    </w:rPr>
                  </w:pPr>
                  <w:r>
                    <w:rPr>
                      <w:rFonts w:hint="eastAsia"/>
                      <w:b/>
                      <w:bCs/>
                      <w:lang w:val="en-US" w:eastAsia="zh-CN"/>
                    </w:rPr>
                    <w:t>标准要求</w:t>
                  </w:r>
                </w:p>
              </w:tc>
              <w:tc>
                <w:tcPr>
                  <w:tcW w:w="3533" w:type="dxa"/>
                  <w:shd w:val="clear" w:color="auto" w:fill="auto"/>
                  <w:vAlign w:val="center"/>
                </w:tcPr>
                <w:p w14:paraId="3C2A5D2B">
                  <w:pPr>
                    <w:pStyle w:val="32"/>
                    <w:bidi w:val="0"/>
                    <w:ind w:firstLine="0" w:firstLineChars="0"/>
                    <w:jc w:val="center"/>
                    <w:rPr>
                      <w:rFonts w:hint="default" w:ascii="Times New Roman" w:hAnsi="Times New Roman" w:eastAsia="宋体" w:cs="Times New Roman"/>
                      <w:b/>
                      <w:bCs/>
                      <w:kern w:val="2"/>
                      <w:sz w:val="21"/>
                      <w:szCs w:val="24"/>
                      <w:lang w:val="en-US" w:eastAsia="zh-CN" w:bidi="ar-SA"/>
                    </w:rPr>
                  </w:pPr>
                  <w:r>
                    <w:rPr>
                      <w:rFonts w:hint="eastAsia"/>
                      <w:b/>
                      <w:bCs/>
                      <w:lang w:val="en-US" w:eastAsia="zh-CN"/>
                    </w:rPr>
                    <w:t>本项目</w:t>
                  </w:r>
                </w:p>
              </w:tc>
              <w:tc>
                <w:tcPr>
                  <w:tcW w:w="990" w:type="dxa"/>
                  <w:shd w:val="clear" w:color="auto" w:fill="auto"/>
                  <w:vAlign w:val="center"/>
                </w:tcPr>
                <w:p w14:paraId="7C8F9E10">
                  <w:pPr>
                    <w:pStyle w:val="32"/>
                    <w:bidi w:val="0"/>
                    <w:ind w:firstLine="0" w:firstLineChars="0"/>
                    <w:jc w:val="center"/>
                    <w:rPr>
                      <w:rFonts w:hint="default" w:ascii="Times New Roman" w:hAnsi="Times New Roman" w:eastAsia="宋体" w:cs="Times New Roman"/>
                      <w:b/>
                      <w:bCs/>
                      <w:kern w:val="2"/>
                      <w:sz w:val="21"/>
                      <w:szCs w:val="24"/>
                      <w:lang w:val="en-US" w:eastAsia="zh-CN" w:bidi="ar-SA"/>
                    </w:rPr>
                  </w:pPr>
                  <w:r>
                    <w:rPr>
                      <w:rFonts w:hint="eastAsia"/>
                      <w:b/>
                      <w:bCs/>
                      <w:lang w:val="en-US" w:eastAsia="zh-CN"/>
                    </w:rPr>
                    <w:t>符合性</w:t>
                  </w:r>
                </w:p>
              </w:tc>
            </w:tr>
            <w:tr w14:paraId="6C94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3" w:type="dxa"/>
                  <w:shd w:val="clear" w:color="auto" w:fill="auto"/>
                  <w:vAlign w:val="center"/>
                </w:tcPr>
                <w:p w14:paraId="56F7D6BC">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第4.2.1条:污水站排出的度气应进行除臭味处理，保证污水处理设施周边空气中污染物达到表3要求。</w:t>
                  </w:r>
                </w:p>
              </w:tc>
              <w:tc>
                <w:tcPr>
                  <w:tcW w:w="3533" w:type="dxa"/>
                  <w:shd w:val="clear" w:color="auto" w:fill="auto"/>
                  <w:vAlign w:val="center"/>
                </w:tcPr>
                <w:p w14:paraId="7D9A2101">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本项目污水处理站排出的</w:t>
                  </w:r>
                  <w:r>
                    <w:rPr>
                      <w:rFonts w:hint="eastAsia" w:cs="Times New Roman"/>
                      <w:kern w:val="2"/>
                      <w:sz w:val="21"/>
                      <w:szCs w:val="24"/>
                      <w:lang w:val="en-US" w:eastAsia="zh-CN" w:bidi="ar-SA"/>
                    </w:rPr>
                    <w:t>废气</w:t>
                  </w:r>
                  <w:r>
                    <w:rPr>
                      <w:rFonts w:hint="default" w:ascii="Times New Roman" w:hAnsi="Times New Roman" w:eastAsia="宋体" w:cs="Times New Roman"/>
                      <w:kern w:val="2"/>
                      <w:sz w:val="21"/>
                      <w:szCs w:val="24"/>
                      <w:lang w:val="en-US" w:eastAsia="zh-CN" w:bidi="ar-SA"/>
                    </w:rPr>
                    <w:t>采用活性炭吸附装置进行除臭，废气能够达到周边空气中污染物达到《医疗机构水污染物排放标准》(GB 18466-2005)表3</w:t>
                  </w:r>
                  <w:r>
                    <w:rPr>
                      <w:rFonts w:hint="eastAsia" w:cs="Times New Roman"/>
                      <w:kern w:val="2"/>
                      <w:sz w:val="21"/>
                      <w:szCs w:val="24"/>
                      <w:lang w:val="en-US" w:eastAsia="zh-CN" w:bidi="ar-SA"/>
                    </w:rPr>
                    <w:t xml:space="preserve"> “</w:t>
                  </w:r>
                  <w:r>
                    <w:rPr>
                      <w:rFonts w:hint="default" w:ascii="Times New Roman" w:hAnsi="Times New Roman" w:eastAsia="宋体" w:cs="Times New Roman"/>
                      <w:kern w:val="2"/>
                      <w:sz w:val="21"/>
                      <w:szCs w:val="24"/>
                      <w:lang w:val="en-US" w:eastAsia="zh-CN" w:bidi="ar-SA"/>
                    </w:rPr>
                    <w:t>污水处理站周边大气污染物最高允许浓度</w:t>
                  </w:r>
                  <w:r>
                    <w:rPr>
                      <w:rFonts w:hint="eastAsia"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中的相关限值要求。</w:t>
                  </w:r>
                </w:p>
              </w:tc>
              <w:tc>
                <w:tcPr>
                  <w:tcW w:w="990" w:type="dxa"/>
                  <w:shd w:val="clear" w:color="auto" w:fill="auto"/>
                  <w:vAlign w:val="center"/>
                </w:tcPr>
                <w:p w14:paraId="530A1DC3">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符合</w:t>
                  </w:r>
                </w:p>
              </w:tc>
            </w:tr>
            <w:tr w14:paraId="3D07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3" w:type="dxa"/>
                  <w:shd w:val="clear" w:color="auto" w:fill="auto"/>
                  <w:vAlign w:val="center"/>
                </w:tcPr>
                <w:p w14:paraId="6E150E91">
                  <w:pPr>
                    <w:pStyle w:val="32"/>
                    <w:bidi w:val="0"/>
                    <w:ind w:firstLine="0" w:firstLineChars="0"/>
                    <w:jc w:val="center"/>
                    <w:rPr>
                      <w:rFonts w:hint="eastAsia"/>
                      <w:lang w:val="en-US" w:eastAsia="zh-CN"/>
                    </w:rPr>
                  </w:pPr>
                  <w:r>
                    <w:rPr>
                      <w:rFonts w:hint="eastAsia"/>
                      <w:lang w:val="en-US" w:eastAsia="zh-CN"/>
                    </w:rPr>
                    <w:t>第4.3.1条:栅渣、化粪池和污水处理设施污泥属危险废物，应按危险废物进行处理和处置。</w:t>
                  </w:r>
                </w:p>
              </w:tc>
              <w:tc>
                <w:tcPr>
                  <w:tcW w:w="3533" w:type="dxa"/>
                  <w:shd w:val="clear" w:color="auto" w:fill="auto"/>
                  <w:vAlign w:val="center"/>
                </w:tcPr>
                <w:p w14:paraId="5A8428DA">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栅渣、化粪池和污水处理站污泥委托有资质单位处理。</w:t>
                  </w:r>
                </w:p>
              </w:tc>
              <w:tc>
                <w:tcPr>
                  <w:tcW w:w="990" w:type="dxa"/>
                  <w:shd w:val="clear" w:color="auto" w:fill="auto"/>
                  <w:vAlign w:val="center"/>
                </w:tcPr>
                <w:p w14:paraId="23CEBD94">
                  <w:pPr>
                    <w:pStyle w:val="32"/>
                    <w:bidi w:val="0"/>
                    <w:ind w:firstLine="0" w:firstLineChars="0"/>
                    <w:jc w:val="center"/>
                    <w:rPr>
                      <w:rFonts w:hint="default"/>
                      <w:lang w:val="en-US" w:eastAsia="zh-CN"/>
                    </w:rPr>
                  </w:pPr>
                  <w:r>
                    <w:rPr>
                      <w:rFonts w:hint="eastAsia"/>
                      <w:lang w:val="en-US" w:eastAsia="zh-CN"/>
                    </w:rPr>
                    <w:t>符合</w:t>
                  </w:r>
                </w:p>
              </w:tc>
            </w:tr>
            <w:tr w14:paraId="32F6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3" w:type="dxa"/>
                  <w:shd w:val="clear" w:color="auto" w:fill="auto"/>
                  <w:vAlign w:val="center"/>
                </w:tcPr>
                <w:p w14:paraId="5C81F5FB">
                  <w:pPr>
                    <w:pStyle w:val="32"/>
                    <w:bidi w:val="0"/>
                    <w:ind w:firstLine="0" w:firstLineChars="0"/>
                    <w:jc w:val="center"/>
                    <w:rPr>
                      <w:rFonts w:hint="eastAsia"/>
                      <w:lang w:val="en-US" w:eastAsia="zh-CN"/>
                    </w:rPr>
                  </w:pPr>
                  <w:r>
                    <w:rPr>
                      <w:rFonts w:hint="eastAsia"/>
                      <w:lang w:val="en-US" w:eastAsia="zh-CN"/>
                    </w:rPr>
                    <w:t>第5.6条:综合医疗机构污水排放执行排放标准时宜采用二级处理+消毒工艺或深度处理+消毒工艺；执行预处理标准时宜采用一级处理或一级强化处理+消毒工艺。</w:t>
                  </w:r>
                </w:p>
              </w:tc>
              <w:tc>
                <w:tcPr>
                  <w:tcW w:w="3533" w:type="dxa"/>
                  <w:shd w:val="clear" w:color="auto" w:fill="auto"/>
                  <w:vAlign w:val="center"/>
                </w:tcPr>
                <w:p w14:paraId="2A00A471">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本项目采用“格栅十调节+水解酸化+缺氧+生物接触氧化十沉淀十消毒”二级处理+消毒工艺，医疗废水经处理后达到《医疗机构水污染物排放标准》(GB 18466-2005)中综合医疗机构和其他医疗机构污水预处理标准限值</w:t>
                  </w:r>
                  <w:r>
                    <w:rPr>
                      <w:rFonts w:hint="default"/>
                    </w:rPr>
                    <w:t>排入山南新区污水处理厂集中处理</w:t>
                  </w:r>
                </w:p>
              </w:tc>
              <w:tc>
                <w:tcPr>
                  <w:tcW w:w="990" w:type="dxa"/>
                  <w:shd w:val="clear" w:color="auto" w:fill="auto"/>
                  <w:vAlign w:val="center"/>
                </w:tcPr>
                <w:p w14:paraId="657BBF9A">
                  <w:pPr>
                    <w:pStyle w:val="32"/>
                    <w:bidi w:val="0"/>
                    <w:ind w:firstLine="0" w:firstLineChars="0"/>
                    <w:jc w:val="center"/>
                    <w:rPr>
                      <w:rFonts w:hint="default"/>
                      <w:lang w:val="en-US" w:eastAsia="zh-CN"/>
                    </w:rPr>
                  </w:pPr>
                  <w:r>
                    <w:rPr>
                      <w:rFonts w:hint="eastAsia"/>
                      <w:lang w:val="en-US" w:eastAsia="zh-CN"/>
                    </w:rPr>
                    <w:t>符合</w:t>
                  </w:r>
                </w:p>
              </w:tc>
            </w:tr>
          </w:tbl>
          <w:p w14:paraId="46366E9E">
            <w:pPr>
              <w:bidi w:val="0"/>
              <w:rPr>
                <w:rFonts w:hint="default"/>
                <w:lang w:val="en-US" w:eastAsia="zh-CN"/>
              </w:rPr>
            </w:pPr>
            <w:r>
              <w:rPr>
                <w:rFonts w:hint="default"/>
                <w:lang w:val="en-US" w:eastAsia="zh-CN"/>
              </w:rPr>
              <w:t>由上分析可知，项目实施后，污水处理方案与</w:t>
            </w:r>
            <w:r>
              <w:rPr>
                <w:rFonts w:hint="eastAsia"/>
              </w:rPr>
              <w:t>《医疗机构污水处理工程技术标准》(GB51459—2024)</w:t>
            </w:r>
            <w:r>
              <w:rPr>
                <w:rFonts w:hint="default"/>
                <w:lang w:val="en-US" w:eastAsia="zh-CN"/>
              </w:rPr>
              <w:t>和《医疗机构水污染物排放标准》(GB 18466-2005)要求相符。</w:t>
            </w:r>
          </w:p>
          <w:p w14:paraId="2EC7882E">
            <w:pPr>
              <w:pStyle w:val="9"/>
              <w:numPr>
                <w:ilvl w:val="0"/>
                <w:numId w:val="1"/>
              </w:numPr>
              <w:ind w:left="0" w:leftChars="0" w:firstLine="482" w:firstLineChars="200"/>
              <w:rPr>
                <w:rFonts w:hint="eastAsia"/>
                <w:b/>
                <w:bCs/>
                <w:lang w:val="en-US" w:eastAsia="zh-CN"/>
              </w:rPr>
            </w:pPr>
            <w:r>
              <w:rPr>
                <w:rFonts w:hint="eastAsia"/>
                <w:b/>
                <w:bCs/>
                <w:lang w:val="en-US" w:eastAsia="zh-CN"/>
              </w:rPr>
              <w:t>与《医疗废物管理条例》符合性分析</w:t>
            </w:r>
          </w:p>
          <w:p w14:paraId="1BDFF339">
            <w:pPr>
              <w:pStyle w:val="41"/>
              <w:bidi w:val="0"/>
              <w:rPr>
                <w:rFonts w:hint="eastAsia"/>
                <w:lang w:val="en-US" w:eastAsia="zh-CN"/>
              </w:rPr>
            </w:pPr>
            <w:r>
              <w:rPr>
                <w:rFonts w:hint="eastAsia"/>
                <w:lang w:val="en-US" w:eastAsia="zh-CN"/>
              </w:rPr>
              <w:t>表1-8  与《医疗废物管理条例》符合性分析</w:t>
            </w:r>
          </w:p>
          <w:tbl>
            <w:tblPr>
              <w:tblStyle w:val="19"/>
              <w:tblW w:w="7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2130"/>
              <w:gridCol w:w="1284"/>
            </w:tblGrid>
            <w:tr w14:paraId="4546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2" w:type="dxa"/>
                  <w:vAlign w:val="center"/>
                </w:tcPr>
                <w:p w14:paraId="57B03979">
                  <w:pPr>
                    <w:pStyle w:val="42"/>
                    <w:bidi w:val="0"/>
                    <w:jc w:val="center"/>
                    <w:rPr>
                      <w:rFonts w:hint="default"/>
                      <w:b/>
                      <w:bCs/>
                      <w:lang w:val="en-US" w:eastAsia="zh-CN"/>
                    </w:rPr>
                  </w:pPr>
                  <w:r>
                    <w:rPr>
                      <w:rFonts w:hint="eastAsia"/>
                      <w:b/>
                      <w:bCs/>
                      <w:lang w:val="en-US" w:eastAsia="zh-CN"/>
                    </w:rPr>
                    <w:t>条例要求</w:t>
                  </w:r>
                </w:p>
              </w:tc>
              <w:tc>
                <w:tcPr>
                  <w:tcW w:w="2130" w:type="dxa"/>
                  <w:vAlign w:val="center"/>
                </w:tcPr>
                <w:p w14:paraId="787C07CC">
                  <w:pPr>
                    <w:pStyle w:val="42"/>
                    <w:bidi w:val="0"/>
                    <w:jc w:val="center"/>
                    <w:rPr>
                      <w:rFonts w:hint="default"/>
                      <w:b/>
                      <w:bCs/>
                      <w:lang w:val="en-US" w:eastAsia="zh-CN"/>
                    </w:rPr>
                  </w:pPr>
                  <w:r>
                    <w:rPr>
                      <w:rFonts w:hint="eastAsia"/>
                      <w:b/>
                      <w:bCs/>
                      <w:lang w:val="en-US" w:eastAsia="zh-CN"/>
                    </w:rPr>
                    <w:t>本项目</w:t>
                  </w:r>
                </w:p>
              </w:tc>
              <w:tc>
                <w:tcPr>
                  <w:tcW w:w="1284" w:type="dxa"/>
                  <w:vAlign w:val="center"/>
                </w:tcPr>
                <w:p w14:paraId="6EDA2228">
                  <w:pPr>
                    <w:pStyle w:val="42"/>
                    <w:bidi w:val="0"/>
                    <w:jc w:val="center"/>
                    <w:rPr>
                      <w:rFonts w:hint="default"/>
                      <w:b/>
                      <w:bCs/>
                      <w:lang w:val="en-US" w:eastAsia="zh-CN"/>
                    </w:rPr>
                  </w:pPr>
                  <w:r>
                    <w:rPr>
                      <w:rFonts w:hint="eastAsia"/>
                      <w:b/>
                      <w:bCs/>
                      <w:lang w:val="en-US" w:eastAsia="zh-CN"/>
                    </w:rPr>
                    <w:t>符合性分析</w:t>
                  </w:r>
                </w:p>
              </w:tc>
            </w:tr>
            <w:tr w14:paraId="6B3C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3682" w:type="dxa"/>
                  <w:vAlign w:val="center"/>
                </w:tcPr>
                <w:p w14:paraId="67639026">
                  <w:pPr>
                    <w:pStyle w:val="42"/>
                    <w:bidi w:val="0"/>
                    <w:jc w:val="center"/>
                    <w:rPr>
                      <w:rFonts w:hint="default"/>
                      <w:lang w:val="en-US" w:eastAsia="zh-CN"/>
                    </w:rPr>
                  </w:pPr>
                  <w:r>
                    <w:rPr>
                      <w:rFonts w:hint="default"/>
                      <w:lang w:val="en-US" w:eastAsia="zh-CN"/>
                    </w:rPr>
                    <w:t>第七条、医疗卫生机构和医疗废物集中处置单位，应当建立、健全医疗废物管理责任制</w:t>
                  </w:r>
                  <w:r>
                    <w:rPr>
                      <w:rFonts w:hint="eastAsia"/>
                      <w:lang w:val="en-US" w:eastAsia="zh-CN"/>
                    </w:rPr>
                    <w:t>，</w:t>
                  </w:r>
                  <w:r>
                    <w:rPr>
                      <w:rFonts w:hint="default"/>
                      <w:lang w:val="en-US" w:eastAsia="zh-CN"/>
                    </w:rPr>
                    <w:t>其法定代表人为第一责任人，切实履行职责防止因</w:t>
                  </w:r>
                  <w:r>
                    <w:rPr>
                      <w:rFonts w:hint="eastAsia"/>
                      <w:lang w:val="en-US" w:eastAsia="zh-CN"/>
                    </w:rPr>
                    <w:t>医疗废物</w:t>
                  </w:r>
                  <w:r>
                    <w:rPr>
                      <w:rFonts w:hint="default"/>
                      <w:lang w:val="en-US" w:eastAsia="zh-CN"/>
                    </w:rPr>
                    <w:t>导致传染病传播和环境污染事故。</w:t>
                  </w:r>
                </w:p>
              </w:tc>
              <w:tc>
                <w:tcPr>
                  <w:tcW w:w="2130" w:type="dxa"/>
                  <w:vAlign w:val="center"/>
                </w:tcPr>
                <w:p w14:paraId="647844DC">
                  <w:pPr>
                    <w:pStyle w:val="42"/>
                    <w:bidi w:val="0"/>
                    <w:jc w:val="center"/>
                    <w:rPr>
                      <w:rFonts w:hint="default"/>
                      <w:lang w:val="en-US" w:eastAsia="zh-CN"/>
                    </w:rPr>
                  </w:pPr>
                  <w:r>
                    <w:rPr>
                      <w:rFonts w:hint="default"/>
                      <w:lang w:val="en-US" w:eastAsia="zh-CN"/>
                    </w:rPr>
                    <w:t>项目运营</w:t>
                  </w:r>
                  <w:r>
                    <w:rPr>
                      <w:rFonts w:hint="eastAsia"/>
                      <w:lang w:val="en-US" w:eastAsia="zh-CN"/>
                    </w:rPr>
                    <w:t>期</w:t>
                  </w:r>
                  <w:r>
                    <w:rPr>
                      <w:rFonts w:hint="default"/>
                      <w:lang w:val="en-US" w:eastAsia="zh-CN"/>
                    </w:rPr>
                    <w:t>建立医疗废物管理责任制，确定法定代表人为第一责任人。</w:t>
                  </w:r>
                </w:p>
              </w:tc>
              <w:tc>
                <w:tcPr>
                  <w:tcW w:w="1284" w:type="dxa"/>
                  <w:vAlign w:val="center"/>
                </w:tcPr>
                <w:p w14:paraId="0A0ADB37">
                  <w:pPr>
                    <w:pStyle w:val="42"/>
                    <w:bidi w:val="0"/>
                    <w:jc w:val="center"/>
                    <w:rPr>
                      <w:rFonts w:hint="default"/>
                      <w:lang w:val="en-US" w:eastAsia="zh-CN"/>
                    </w:rPr>
                  </w:pPr>
                  <w:r>
                    <w:rPr>
                      <w:rFonts w:hint="eastAsia"/>
                      <w:lang w:val="en-US" w:eastAsia="zh-CN"/>
                    </w:rPr>
                    <w:t>符合</w:t>
                  </w:r>
                </w:p>
              </w:tc>
            </w:tr>
            <w:tr w14:paraId="17B7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14:paraId="42F84144">
                  <w:pPr>
                    <w:pStyle w:val="42"/>
                    <w:bidi w:val="0"/>
                    <w:jc w:val="center"/>
                    <w:rPr>
                      <w:rFonts w:hint="default"/>
                      <w:lang w:val="en-US" w:eastAsia="zh-CN"/>
                    </w:rPr>
                  </w:pPr>
                  <w:r>
                    <w:rPr>
                      <w:rFonts w:hint="default"/>
                      <w:lang w:val="en-US" w:eastAsia="zh-CN"/>
                    </w:rPr>
                    <w:t>第八条、医疗卫生机构和医疗废物集中处置单位，应当制定与医疗废物安全处置有关的规章制度和在发生意外事故时的应急方案</w:t>
                  </w:r>
                  <w:r>
                    <w:rPr>
                      <w:rFonts w:hint="eastAsia"/>
                      <w:lang w:val="en-US" w:eastAsia="zh-CN"/>
                    </w:rPr>
                    <w:t>；</w:t>
                  </w:r>
                  <w:r>
                    <w:rPr>
                      <w:rFonts w:hint="default"/>
                      <w:lang w:val="en-US" w:eastAsia="zh-CN"/>
                    </w:rPr>
                    <w:t>设置监控部门或者专(兼)职人员，负责检查督促、落实本单位</w:t>
                  </w:r>
                  <w:r>
                    <w:rPr>
                      <w:rFonts w:hint="eastAsia"/>
                      <w:lang w:val="en-US" w:eastAsia="zh-CN"/>
                    </w:rPr>
                    <w:t>医疗废物</w:t>
                  </w:r>
                  <w:r>
                    <w:rPr>
                      <w:rFonts w:hint="default"/>
                      <w:lang w:val="en-US" w:eastAsia="zh-CN"/>
                    </w:rPr>
                    <w:t>的管理工作，防止违反本条例的行为发生。</w:t>
                  </w:r>
                </w:p>
              </w:tc>
              <w:tc>
                <w:tcPr>
                  <w:tcW w:w="2130" w:type="dxa"/>
                  <w:vAlign w:val="center"/>
                </w:tcPr>
                <w:p w14:paraId="33784E38">
                  <w:pPr>
                    <w:pStyle w:val="42"/>
                    <w:bidi w:val="0"/>
                    <w:jc w:val="center"/>
                    <w:rPr>
                      <w:rFonts w:hint="default"/>
                      <w:lang w:val="en-US" w:eastAsia="zh-CN"/>
                    </w:rPr>
                  </w:pPr>
                  <w:r>
                    <w:rPr>
                      <w:rFonts w:hint="default"/>
                      <w:lang w:val="en-US" w:eastAsia="zh-CN"/>
                    </w:rPr>
                    <w:t>项目制定医疗废物全过程管理规章制度</w:t>
                  </w:r>
                  <w:r>
                    <w:rPr>
                      <w:rFonts w:hint="eastAsia"/>
                      <w:lang w:val="en-US" w:eastAsia="zh-CN"/>
                    </w:rPr>
                    <w:t>，</w:t>
                  </w:r>
                  <w:r>
                    <w:rPr>
                      <w:rFonts w:hint="default"/>
                      <w:lang w:val="en-US" w:eastAsia="zh-CN"/>
                    </w:rPr>
                    <w:t>制订医疗废物泄漏应急方案，设置医疗废物管理专(兼)职人员。</w:t>
                  </w:r>
                </w:p>
              </w:tc>
              <w:tc>
                <w:tcPr>
                  <w:tcW w:w="1284" w:type="dxa"/>
                  <w:vAlign w:val="center"/>
                </w:tcPr>
                <w:p w14:paraId="6541BC5C">
                  <w:pPr>
                    <w:pStyle w:val="42"/>
                    <w:bidi w:val="0"/>
                    <w:jc w:val="center"/>
                    <w:rPr>
                      <w:rFonts w:hint="default"/>
                      <w:lang w:val="en-US" w:eastAsia="zh-CN"/>
                    </w:rPr>
                  </w:pPr>
                  <w:r>
                    <w:rPr>
                      <w:rFonts w:hint="eastAsia"/>
                      <w:lang w:val="en-US" w:eastAsia="zh-CN"/>
                    </w:rPr>
                    <w:t>符合</w:t>
                  </w:r>
                </w:p>
              </w:tc>
            </w:tr>
            <w:tr w14:paraId="35AD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14:paraId="276281D1">
                  <w:pPr>
                    <w:pStyle w:val="42"/>
                    <w:bidi w:val="0"/>
                    <w:jc w:val="center"/>
                    <w:rPr>
                      <w:rFonts w:hint="default"/>
                      <w:lang w:val="en-US" w:eastAsia="zh-CN"/>
                    </w:rPr>
                  </w:pPr>
                  <w:r>
                    <w:rPr>
                      <w:rFonts w:hint="default"/>
                      <w:lang w:val="en-US" w:eastAsia="zh-CN"/>
                    </w:rPr>
                    <w:t>第九条、医疗卫生机构和医疗废物集中处置单位，应当对本单位从事医疗废物收集、运送、贮存、处置等工作的人员和管理人员</w:t>
                  </w:r>
                  <w:r>
                    <w:rPr>
                      <w:rFonts w:hint="eastAsia"/>
                      <w:lang w:val="en-US" w:eastAsia="zh-CN"/>
                    </w:rPr>
                    <w:t>，</w:t>
                  </w:r>
                  <w:r>
                    <w:rPr>
                      <w:rFonts w:hint="default"/>
                      <w:lang w:val="en-US" w:eastAsia="zh-CN"/>
                    </w:rPr>
                    <w:t>进行相关法律和专业技术、安全防护以及紧急处理等知识的培训。</w:t>
                  </w:r>
                </w:p>
              </w:tc>
              <w:tc>
                <w:tcPr>
                  <w:tcW w:w="2130" w:type="dxa"/>
                  <w:vAlign w:val="center"/>
                </w:tcPr>
                <w:p w14:paraId="2260FDCB">
                  <w:pPr>
                    <w:pStyle w:val="42"/>
                    <w:bidi w:val="0"/>
                    <w:jc w:val="center"/>
                    <w:rPr>
                      <w:rFonts w:hint="default"/>
                      <w:lang w:val="en-US" w:eastAsia="zh-CN"/>
                    </w:rPr>
                  </w:pPr>
                  <w:r>
                    <w:rPr>
                      <w:rFonts w:hint="default"/>
                      <w:lang w:val="en-US" w:eastAsia="zh-CN"/>
                    </w:rPr>
                    <w:t>项目定期进行相关法律和专业技术、安全防护以及紧急处理等知识的培训。</w:t>
                  </w:r>
                </w:p>
              </w:tc>
              <w:tc>
                <w:tcPr>
                  <w:tcW w:w="1284" w:type="dxa"/>
                  <w:vAlign w:val="center"/>
                </w:tcPr>
                <w:p w14:paraId="573EDDB2">
                  <w:pPr>
                    <w:pStyle w:val="42"/>
                    <w:bidi w:val="0"/>
                    <w:jc w:val="center"/>
                    <w:rPr>
                      <w:rFonts w:hint="default"/>
                      <w:lang w:val="en-US" w:eastAsia="zh-CN"/>
                    </w:rPr>
                  </w:pPr>
                  <w:r>
                    <w:rPr>
                      <w:rFonts w:hint="eastAsia"/>
                      <w:lang w:val="en-US" w:eastAsia="zh-CN"/>
                    </w:rPr>
                    <w:t>符合</w:t>
                  </w:r>
                </w:p>
              </w:tc>
            </w:tr>
            <w:tr w14:paraId="16DA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14:paraId="17999317">
                  <w:pPr>
                    <w:pStyle w:val="42"/>
                    <w:bidi w:val="0"/>
                    <w:jc w:val="center"/>
                    <w:rPr>
                      <w:rFonts w:hint="default"/>
                      <w:lang w:val="en-US" w:eastAsia="zh-CN"/>
                    </w:rPr>
                  </w:pPr>
                  <w:r>
                    <w:rPr>
                      <w:rFonts w:hint="default"/>
                      <w:lang w:val="en-US" w:eastAsia="zh-CN"/>
                    </w:rPr>
                    <w:t>第十条、医疗卫生机构和医疗废物集中</w:t>
                  </w:r>
                  <w:r>
                    <w:rPr>
                      <w:rFonts w:hint="eastAsia"/>
                      <w:lang w:val="en-US" w:eastAsia="zh-CN"/>
                    </w:rPr>
                    <w:t>处置</w:t>
                  </w:r>
                  <w:r>
                    <w:rPr>
                      <w:rFonts w:hint="default"/>
                      <w:lang w:val="en-US" w:eastAsia="zh-CN"/>
                    </w:rPr>
                    <w:t>单位，应当采取有效的职业卫生防护措施，为从事医疗</w:t>
                  </w:r>
                  <w:r>
                    <w:rPr>
                      <w:rFonts w:hint="eastAsia"/>
                      <w:lang w:val="en-US" w:eastAsia="zh-CN"/>
                    </w:rPr>
                    <w:t>废物</w:t>
                  </w:r>
                  <w:r>
                    <w:rPr>
                      <w:rFonts w:hint="default"/>
                      <w:lang w:val="en-US" w:eastAsia="zh-CN"/>
                    </w:rPr>
                    <w:t>收集、送、贮存、处置等工作的人员和管理人员，配备必要的防护用品定期进行健康检查:必要时，对有关人员进行免疫接种，防止其受到健康损害。</w:t>
                  </w:r>
                </w:p>
              </w:tc>
              <w:tc>
                <w:tcPr>
                  <w:tcW w:w="2130" w:type="dxa"/>
                  <w:vAlign w:val="center"/>
                </w:tcPr>
                <w:p w14:paraId="05664087">
                  <w:pPr>
                    <w:pStyle w:val="42"/>
                    <w:bidi w:val="0"/>
                    <w:jc w:val="center"/>
                    <w:rPr>
                      <w:rFonts w:hint="default"/>
                      <w:lang w:val="en-US" w:eastAsia="zh-CN"/>
                    </w:rPr>
                  </w:pPr>
                  <w:r>
                    <w:rPr>
                      <w:rFonts w:hint="eastAsia"/>
                      <w:lang w:val="en-US" w:eastAsia="zh-CN"/>
                    </w:rPr>
                    <w:t>本项目为相关工作人员配备必要的防护用品并定期进行健康检查</w:t>
                  </w:r>
                </w:p>
              </w:tc>
              <w:tc>
                <w:tcPr>
                  <w:tcW w:w="1284" w:type="dxa"/>
                  <w:vAlign w:val="center"/>
                </w:tcPr>
                <w:p w14:paraId="037F99F4">
                  <w:pPr>
                    <w:pStyle w:val="42"/>
                    <w:bidi w:val="0"/>
                    <w:jc w:val="center"/>
                    <w:rPr>
                      <w:rFonts w:hint="default"/>
                      <w:lang w:val="en-US" w:eastAsia="zh-CN"/>
                    </w:rPr>
                  </w:pPr>
                  <w:r>
                    <w:rPr>
                      <w:rFonts w:hint="eastAsia"/>
                      <w:lang w:val="en-US" w:eastAsia="zh-CN"/>
                    </w:rPr>
                    <w:t>符合</w:t>
                  </w:r>
                </w:p>
              </w:tc>
            </w:tr>
            <w:tr w14:paraId="3562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3682" w:type="dxa"/>
                  <w:vAlign w:val="center"/>
                </w:tcPr>
                <w:p w14:paraId="0F038839">
                  <w:pPr>
                    <w:pStyle w:val="42"/>
                    <w:bidi w:val="0"/>
                    <w:jc w:val="center"/>
                    <w:rPr>
                      <w:rFonts w:hint="default"/>
                      <w:lang w:val="en-US" w:eastAsia="zh-CN"/>
                    </w:rPr>
                  </w:pPr>
                  <w:r>
                    <w:rPr>
                      <w:rFonts w:hint="default"/>
                      <w:lang w:val="en-US" w:eastAsia="zh-CN"/>
                    </w:rPr>
                    <w:t>第十一条、医疗卫生机构和</w:t>
                  </w:r>
                  <w:r>
                    <w:rPr>
                      <w:rFonts w:hint="eastAsia"/>
                      <w:lang w:val="en-US" w:eastAsia="zh-CN"/>
                    </w:rPr>
                    <w:t>医疗废物</w:t>
                  </w:r>
                  <w:r>
                    <w:rPr>
                      <w:rFonts w:hint="default"/>
                      <w:lang w:val="en-US" w:eastAsia="zh-CN"/>
                    </w:rPr>
                    <w:t>集中处置单位，应当依照《中华人民共和国固体废物污染环境防治法》的规定，执行危险度物转移联单管理制度。</w:t>
                  </w:r>
                </w:p>
              </w:tc>
              <w:tc>
                <w:tcPr>
                  <w:tcW w:w="2130" w:type="dxa"/>
                  <w:vAlign w:val="center"/>
                </w:tcPr>
                <w:p w14:paraId="3365FFA8">
                  <w:pPr>
                    <w:pStyle w:val="42"/>
                    <w:bidi w:val="0"/>
                    <w:jc w:val="center"/>
                    <w:rPr>
                      <w:rFonts w:hint="default"/>
                      <w:lang w:val="en-US" w:eastAsia="zh-CN"/>
                    </w:rPr>
                  </w:pPr>
                  <w:r>
                    <w:rPr>
                      <w:rFonts w:hint="eastAsia"/>
                      <w:lang w:val="en-US" w:eastAsia="zh-CN"/>
                    </w:rPr>
                    <w:t>项目执行危险废物转移</w:t>
                  </w:r>
                  <w:r>
                    <w:rPr>
                      <w:rFonts w:hint="default"/>
                      <w:lang w:val="en-US" w:eastAsia="zh-CN"/>
                    </w:rPr>
                    <w:t>联单管理制度</w:t>
                  </w:r>
                </w:p>
              </w:tc>
              <w:tc>
                <w:tcPr>
                  <w:tcW w:w="1284" w:type="dxa"/>
                  <w:vAlign w:val="center"/>
                </w:tcPr>
                <w:p w14:paraId="0FC05FD4">
                  <w:pPr>
                    <w:pStyle w:val="42"/>
                    <w:bidi w:val="0"/>
                    <w:jc w:val="center"/>
                    <w:rPr>
                      <w:rFonts w:hint="default"/>
                      <w:lang w:val="en-US" w:eastAsia="zh-CN"/>
                    </w:rPr>
                  </w:pPr>
                  <w:r>
                    <w:rPr>
                      <w:rFonts w:hint="eastAsia"/>
                      <w:lang w:val="en-US" w:eastAsia="zh-CN"/>
                    </w:rPr>
                    <w:t>符合</w:t>
                  </w:r>
                </w:p>
              </w:tc>
            </w:tr>
            <w:tr w14:paraId="11B6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14:paraId="2A4409D4">
                  <w:pPr>
                    <w:pStyle w:val="42"/>
                    <w:bidi w:val="0"/>
                    <w:jc w:val="center"/>
                    <w:rPr>
                      <w:rFonts w:hint="default"/>
                      <w:lang w:val="en-US" w:eastAsia="zh-CN"/>
                    </w:rPr>
                  </w:pPr>
                  <w:r>
                    <w:rPr>
                      <w:rFonts w:hint="default"/>
                      <w:lang w:val="en-US" w:eastAsia="zh-CN"/>
                    </w:rPr>
                    <w:t>第十二条、医疗卫生机构和医疗废物集中处置单位，应当对医疗</w:t>
                  </w:r>
                  <w:r>
                    <w:rPr>
                      <w:rFonts w:hint="eastAsia"/>
                      <w:lang w:val="en-US" w:eastAsia="zh-CN"/>
                    </w:rPr>
                    <w:t>废物</w:t>
                  </w:r>
                  <w:r>
                    <w:rPr>
                      <w:rFonts w:hint="default"/>
                      <w:lang w:val="en-US" w:eastAsia="zh-CN"/>
                    </w:rPr>
                    <w:t>进行登记，登记内容应当包括医疗废物的来源、种类、重量或者数量、交接时间、处道方法、最终去向以及经办人签名等项目。登记资料至少保存3年</w:t>
                  </w:r>
                  <w:r>
                    <w:rPr>
                      <w:rFonts w:hint="eastAsia"/>
                      <w:lang w:val="en-US" w:eastAsia="zh-CN"/>
                    </w:rPr>
                    <w:t>。</w:t>
                  </w:r>
                </w:p>
              </w:tc>
              <w:tc>
                <w:tcPr>
                  <w:tcW w:w="2130" w:type="dxa"/>
                  <w:vAlign w:val="center"/>
                </w:tcPr>
                <w:p w14:paraId="343732FA">
                  <w:pPr>
                    <w:pStyle w:val="42"/>
                    <w:bidi w:val="0"/>
                    <w:jc w:val="center"/>
                    <w:rPr>
                      <w:rFonts w:hint="default"/>
                      <w:lang w:val="en-US" w:eastAsia="zh-CN"/>
                    </w:rPr>
                  </w:pPr>
                  <w:r>
                    <w:rPr>
                      <w:rFonts w:hint="default"/>
                      <w:lang w:val="en-US" w:eastAsia="zh-CN"/>
                    </w:rPr>
                    <w:t>医院实施医疗废物全过程管理登记制度，并系统存档</w:t>
                  </w:r>
                </w:p>
              </w:tc>
              <w:tc>
                <w:tcPr>
                  <w:tcW w:w="1284" w:type="dxa"/>
                  <w:vAlign w:val="center"/>
                </w:tcPr>
                <w:p w14:paraId="0FA00FB3">
                  <w:pPr>
                    <w:pStyle w:val="42"/>
                    <w:bidi w:val="0"/>
                    <w:jc w:val="center"/>
                    <w:rPr>
                      <w:rFonts w:hint="default"/>
                      <w:lang w:val="en-US" w:eastAsia="zh-CN"/>
                    </w:rPr>
                  </w:pPr>
                  <w:r>
                    <w:rPr>
                      <w:rFonts w:hint="eastAsia"/>
                      <w:lang w:val="en-US" w:eastAsia="zh-CN"/>
                    </w:rPr>
                    <w:t>符合</w:t>
                  </w:r>
                </w:p>
              </w:tc>
            </w:tr>
            <w:tr w14:paraId="4E2E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14:paraId="32C45CCE">
                  <w:pPr>
                    <w:pStyle w:val="42"/>
                    <w:bidi w:val="0"/>
                    <w:jc w:val="center"/>
                    <w:rPr>
                      <w:rFonts w:hint="default"/>
                      <w:lang w:val="en-US" w:eastAsia="zh-CN"/>
                    </w:rPr>
                  </w:pPr>
                  <w:r>
                    <w:rPr>
                      <w:rFonts w:hint="default"/>
                      <w:lang w:val="en-US" w:eastAsia="zh-CN"/>
                    </w:rPr>
                    <w:t>第十三条、医疗卫生机构和医疗废物集中处置单位，应当采取有效措施，防止医疗废物流失、泄漏、扩散。</w:t>
                  </w:r>
                </w:p>
              </w:tc>
              <w:tc>
                <w:tcPr>
                  <w:tcW w:w="2130" w:type="dxa"/>
                  <w:vAlign w:val="center"/>
                </w:tcPr>
                <w:p w14:paraId="76151EDD">
                  <w:pPr>
                    <w:pStyle w:val="42"/>
                    <w:bidi w:val="0"/>
                    <w:jc w:val="center"/>
                    <w:rPr>
                      <w:rFonts w:hint="default"/>
                      <w:lang w:val="en-US" w:eastAsia="zh-CN"/>
                    </w:rPr>
                  </w:pPr>
                  <w:r>
                    <w:rPr>
                      <w:rFonts w:hint="eastAsia"/>
                      <w:lang w:val="en-US" w:eastAsia="zh-CN"/>
                    </w:rPr>
                    <w:t>医院采用专用的医疗废物包装袋和容器对医废进行包装后收集暂存于医废暂存间，医废暂存间防腐、防渗、防漏、防盗。</w:t>
                  </w:r>
                </w:p>
              </w:tc>
              <w:tc>
                <w:tcPr>
                  <w:tcW w:w="1284" w:type="dxa"/>
                  <w:vAlign w:val="center"/>
                </w:tcPr>
                <w:p w14:paraId="220C829E">
                  <w:pPr>
                    <w:pStyle w:val="42"/>
                    <w:bidi w:val="0"/>
                    <w:jc w:val="center"/>
                    <w:rPr>
                      <w:rFonts w:hint="default"/>
                      <w:lang w:val="en-US" w:eastAsia="zh-CN"/>
                    </w:rPr>
                  </w:pPr>
                  <w:r>
                    <w:rPr>
                      <w:rFonts w:hint="eastAsia"/>
                      <w:lang w:val="en-US" w:eastAsia="zh-CN"/>
                    </w:rPr>
                    <w:t>符合</w:t>
                  </w:r>
                </w:p>
              </w:tc>
            </w:tr>
            <w:tr w14:paraId="2CB7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14:paraId="22A2DECD">
                  <w:pPr>
                    <w:pStyle w:val="42"/>
                    <w:bidi w:val="0"/>
                    <w:jc w:val="center"/>
                    <w:rPr>
                      <w:rFonts w:hint="default"/>
                      <w:lang w:val="en-US" w:eastAsia="zh-CN"/>
                    </w:rPr>
                  </w:pPr>
                  <w:r>
                    <w:rPr>
                      <w:rFonts w:hint="default"/>
                      <w:lang w:val="en-US" w:eastAsia="zh-CN"/>
                    </w:rPr>
                    <w:t>第十六条、医疗卫生机构应当及时收集本单位产生的</w:t>
                  </w:r>
                  <w:r>
                    <w:rPr>
                      <w:rFonts w:hint="eastAsia"/>
                      <w:lang w:val="en-US" w:eastAsia="zh-CN"/>
                    </w:rPr>
                    <w:t>医疗废物</w:t>
                  </w:r>
                  <w:r>
                    <w:rPr>
                      <w:rFonts w:hint="default"/>
                      <w:lang w:val="en-US" w:eastAsia="zh-CN"/>
                    </w:rPr>
                    <w:t>，并按照类别分置于防渗漏、防锐器穿透的专用包装物或者密闭的容器内。</w:t>
                  </w:r>
                  <w:r>
                    <w:rPr>
                      <w:rFonts w:hint="eastAsia"/>
                      <w:lang w:val="en-US" w:eastAsia="zh-CN"/>
                    </w:rPr>
                    <w:t>医疗废物</w:t>
                  </w:r>
                  <w:r>
                    <w:rPr>
                      <w:rFonts w:hint="default"/>
                      <w:lang w:val="en-US" w:eastAsia="zh-CN"/>
                    </w:rPr>
                    <w:t>专用包装物、容器，应当有明显的警示标识和警示说明。医疗废物专用包装物、容器的标准和警示标识的规定，由国务院卫生行政主管部门和环境保护行政主管部门共同制定。</w:t>
                  </w:r>
                </w:p>
              </w:tc>
              <w:tc>
                <w:tcPr>
                  <w:tcW w:w="2130" w:type="dxa"/>
                  <w:vAlign w:val="center"/>
                </w:tcPr>
                <w:p w14:paraId="7D236064">
                  <w:pPr>
                    <w:pStyle w:val="42"/>
                    <w:bidi w:val="0"/>
                    <w:jc w:val="center"/>
                    <w:rPr>
                      <w:rFonts w:hint="default"/>
                      <w:lang w:val="en-US" w:eastAsia="zh-CN"/>
                    </w:rPr>
                  </w:pPr>
                  <w:r>
                    <w:rPr>
                      <w:rFonts w:hint="default"/>
                      <w:lang w:val="en-US" w:eastAsia="zh-CN"/>
                    </w:rPr>
                    <w:t>项目医疗废物包装袋和容器严格执行《医疗废物专用包装物、容器标准和警示标识规定</w:t>
                  </w:r>
                  <w:r>
                    <w:rPr>
                      <w:rFonts w:hint="eastAsia"/>
                      <w:lang w:val="en-US" w:eastAsia="zh-CN"/>
                    </w:rPr>
                    <w:t>》</w:t>
                  </w:r>
                </w:p>
              </w:tc>
              <w:tc>
                <w:tcPr>
                  <w:tcW w:w="1284" w:type="dxa"/>
                  <w:vAlign w:val="center"/>
                </w:tcPr>
                <w:p w14:paraId="2ED6799E">
                  <w:pPr>
                    <w:pStyle w:val="42"/>
                    <w:bidi w:val="0"/>
                    <w:jc w:val="center"/>
                    <w:rPr>
                      <w:rFonts w:hint="default"/>
                      <w:lang w:val="en-US" w:eastAsia="zh-CN"/>
                    </w:rPr>
                  </w:pPr>
                  <w:r>
                    <w:rPr>
                      <w:rFonts w:hint="eastAsia"/>
                      <w:lang w:val="en-US" w:eastAsia="zh-CN"/>
                    </w:rPr>
                    <w:t>符合</w:t>
                  </w:r>
                </w:p>
              </w:tc>
            </w:tr>
            <w:tr w14:paraId="3ED4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14:paraId="40C70211">
                  <w:pPr>
                    <w:pStyle w:val="42"/>
                    <w:bidi w:val="0"/>
                    <w:jc w:val="center"/>
                    <w:rPr>
                      <w:rFonts w:hint="default"/>
                      <w:lang w:val="en-US" w:eastAsia="zh-CN"/>
                    </w:rPr>
                  </w:pPr>
                  <w:r>
                    <w:rPr>
                      <w:rFonts w:hint="default"/>
                      <w:lang w:val="en-US" w:eastAsia="zh-CN"/>
                    </w:rPr>
                    <w:t>第十七条、医疗卫生机构应当建立医疗废物的暂时贮存设施、设备，不得露天存放医疗废物</w:t>
                  </w:r>
                  <w:r>
                    <w:rPr>
                      <w:rFonts w:hint="eastAsia"/>
                      <w:lang w:val="en-US" w:eastAsia="zh-CN"/>
                    </w:rPr>
                    <w:t>；医疗废物</w:t>
                  </w:r>
                  <w:r>
                    <w:rPr>
                      <w:rFonts w:hint="default"/>
                      <w:lang w:val="en-US" w:eastAsia="zh-CN"/>
                    </w:rPr>
                    <w:t>暂时贮存的时间不得超过2天。医疗废物的暂时贮存设施、设备，应当远离医疗区、食品加工区和人员活动区以及生活垃圾存放场所，并设置明显的警示标识和防渗漏、防、防蚊蝇、防蟑螂、防盗以及预防儿童接触等安全措施。医疗废物的暂时贮存设施、设备应当定期消毒和清洁。</w:t>
                  </w:r>
                </w:p>
              </w:tc>
              <w:tc>
                <w:tcPr>
                  <w:tcW w:w="2130" w:type="dxa"/>
                  <w:vAlign w:val="center"/>
                </w:tcPr>
                <w:p w14:paraId="0E691298">
                  <w:pPr>
                    <w:pStyle w:val="42"/>
                    <w:bidi w:val="0"/>
                    <w:jc w:val="center"/>
                    <w:rPr>
                      <w:rFonts w:hint="default"/>
                      <w:lang w:val="en-US" w:eastAsia="zh-CN"/>
                    </w:rPr>
                  </w:pPr>
                  <w:r>
                    <w:rPr>
                      <w:rFonts w:hint="default"/>
                      <w:lang w:val="en-US" w:eastAsia="zh-CN"/>
                    </w:rPr>
                    <w:t>项目医疗废物暂存间与医疗区、居住区和附近居民居住区等区域有一定距离。医疗废物日产日清，每天清运后对处置房进行消毒</w:t>
                  </w:r>
                  <w:r>
                    <w:rPr>
                      <w:rFonts w:hint="eastAsia"/>
                      <w:lang w:val="en-US" w:eastAsia="zh-CN"/>
                    </w:rPr>
                    <w:t>；</w:t>
                  </w:r>
                  <w:r>
                    <w:rPr>
                      <w:rFonts w:hint="default"/>
                      <w:lang w:val="en-US" w:eastAsia="zh-CN"/>
                    </w:rPr>
                    <w:t>医疗废物的暂时贮存设置明显的警示标识和防渗漏防、防蚊蝇、防螳螂防盗以及预防儿童接触等安全措施。</w:t>
                  </w:r>
                </w:p>
              </w:tc>
              <w:tc>
                <w:tcPr>
                  <w:tcW w:w="1284" w:type="dxa"/>
                  <w:vAlign w:val="center"/>
                </w:tcPr>
                <w:p w14:paraId="051D1A9A">
                  <w:pPr>
                    <w:pStyle w:val="42"/>
                    <w:bidi w:val="0"/>
                    <w:jc w:val="center"/>
                    <w:rPr>
                      <w:rFonts w:hint="default"/>
                      <w:lang w:val="en-US" w:eastAsia="zh-CN"/>
                    </w:rPr>
                  </w:pPr>
                  <w:r>
                    <w:rPr>
                      <w:rFonts w:hint="eastAsia"/>
                      <w:lang w:val="en-US" w:eastAsia="zh-CN"/>
                    </w:rPr>
                    <w:t>符合</w:t>
                  </w:r>
                </w:p>
              </w:tc>
            </w:tr>
          </w:tbl>
          <w:p w14:paraId="1A7559C2">
            <w:pPr>
              <w:bidi w:val="0"/>
              <w:rPr>
                <w:rFonts w:hint="default"/>
                <w:lang w:val="en-US" w:eastAsia="zh-CN"/>
              </w:rPr>
            </w:pPr>
            <w:r>
              <w:rPr>
                <w:rFonts w:hint="default"/>
                <w:lang w:val="en-US" w:eastAsia="zh-CN"/>
              </w:rPr>
              <w:t>由上表分析可知，本项目医疗废物全过程管理与《医疗废物管理条例》要求相符。</w:t>
            </w:r>
          </w:p>
          <w:p w14:paraId="651BEE23">
            <w:pPr>
              <w:ind w:left="0" w:leftChars="0" w:firstLine="0" w:firstLineChars="0"/>
              <w:rPr>
                <w:rFonts w:hint="default"/>
                <w:color w:val="auto"/>
                <w:lang w:val="zh-CN"/>
              </w:rPr>
            </w:pPr>
          </w:p>
          <w:p w14:paraId="69AEA776">
            <w:pPr>
              <w:pStyle w:val="9"/>
              <w:rPr>
                <w:rFonts w:hint="default"/>
                <w:color w:val="auto"/>
                <w:lang w:val="zh-CN"/>
              </w:rPr>
            </w:pPr>
          </w:p>
          <w:p w14:paraId="7D9EF799">
            <w:pPr>
              <w:rPr>
                <w:rFonts w:hint="default"/>
                <w:color w:val="auto"/>
                <w:lang w:val="zh-CN"/>
              </w:rPr>
            </w:pPr>
          </w:p>
          <w:p w14:paraId="7C3DCB5D">
            <w:pPr>
              <w:pStyle w:val="9"/>
              <w:rPr>
                <w:rFonts w:hint="default"/>
                <w:color w:val="auto"/>
                <w:lang w:val="zh-CN"/>
              </w:rPr>
            </w:pPr>
          </w:p>
          <w:p w14:paraId="2CDBC332">
            <w:pPr>
              <w:rPr>
                <w:rFonts w:hint="default"/>
                <w:color w:val="auto"/>
                <w:lang w:val="zh-CN"/>
              </w:rPr>
            </w:pPr>
          </w:p>
          <w:p w14:paraId="3B67A5C0">
            <w:pPr>
              <w:pStyle w:val="9"/>
              <w:rPr>
                <w:rFonts w:hint="default"/>
                <w:color w:val="auto"/>
                <w:lang w:val="zh-CN"/>
              </w:rPr>
            </w:pPr>
          </w:p>
          <w:p w14:paraId="53655DFE">
            <w:pPr>
              <w:rPr>
                <w:rFonts w:hint="default"/>
                <w:color w:val="auto"/>
                <w:lang w:val="zh-CN"/>
              </w:rPr>
            </w:pPr>
          </w:p>
          <w:p w14:paraId="0F8F4F17">
            <w:pPr>
              <w:pStyle w:val="9"/>
              <w:rPr>
                <w:rFonts w:hint="default"/>
                <w:color w:val="auto"/>
                <w:lang w:val="zh-CN"/>
              </w:rPr>
            </w:pPr>
          </w:p>
          <w:p w14:paraId="3BD072EF">
            <w:pPr>
              <w:rPr>
                <w:rFonts w:hint="default"/>
                <w:color w:val="auto"/>
                <w:lang w:val="zh-CN"/>
              </w:rPr>
            </w:pPr>
          </w:p>
          <w:p w14:paraId="0F7FC1F7">
            <w:pPr>
              <w:pStyle w:val="9"/>
              <w:rPr>
                <w:rFonts w:hint="default"/>
                <w:color w:val="auto"/>
                <w:lang w:val="zh-CN"/>
              </w:rPr>
            </w:pPr>
          </w:p>
          <w:p w14:paraId="3755BD05">
            <w:pPr>
              <w:rPr>
                <w:rFonts w:hint="default"/>
                <w:color w:val="auto"/>
                <w:lang w:val="zh-CN"/>
              </w:rPr>
            </w:pPr>
          </w:p>
          <w:p w14:paraId="1FBE7BE8">
            <w:pPr>
              <w:pStyle w:val="9"/>
              <w:rPr>
                <w:rFonts w:hint="default"/>
                <w:color w:val="auto"/>
                <w:lang w:val="zh-CN"/>
              </w:rPr>
            </w:pPr>
          </w:p>
          <w:p w14:paraId="6E849278">
            <w:pPr>
              <w:rPr>
                <w:rFonts w:hint="default"/>
                <w:color w:val="auto"/>
                <w:lang w:val="zh-CN"/>
              </w:rPr>
            </w:pPr>
          </w:p>
          <w:p w14:paraId="172B226D">
            <w:pPr>
              <w:pStyle w:val="9"/>
              <w:rPr>
                <w:rFonts w:hint="default"/>
                <w:color w:val="auto"/>
                <w:lang w:val="zh-CN"/>
              </w:rPr>
            </w:pPr>
          </w:p>
          <w:p w14:paraId="5A4EC03B">
            <w:pPr>
              <w:rPr>
                <w:rFonts w:hint="default"/>
                <w:color w:val="auto"/>
                <w:lang w:val="zh-CN"/>
              </w:rPr>
            </w:pPr>
          </w:p>
          <w:p w14:paraId="019BA147">
            <w:pPr>
              <w:pStyle w:val="9"/>
              <w:rPr>
                <w:rFonts w:hint="default"/>
                <w:color w:val="auto"/>
                <w:lang w:val="zh-CN"/>
              </w:rPr>
            </w:pPr>
          </w:p>
          <w:p w14:paraId="1A5545FB">
            <w:pPr>
              <w:rPr>
                <w:rFonts w:hint="default"/>
                <w:color w:val="auto"/>
                <w:lang w:val="zh-CN"/>
              </w:rPr>
            </w:pPr>
          </w:p>
          <w:p w14:paraId="0B06B999">
            <w:pPr>
              <w:pStyle w:val="9"/>
              <w:rPr>
                <w:rFonts w:hint="default"/>
                <w:color w:val="auto"/>
                <w:lang w:val="zh-CN"/>
              </w:rPr>
            </w:pPr>
          </w:p>
          <w:p w14:paraId="284129B6">
            <w:pPr>
              <w:rPr>
                <w:rFonts w:hint="default"/>
                <w:color w:val="auto"/>
                <w:lang w:val="zh-CN"/>
              </w:rPr>
            </w:pPr>
          </w:p>
          <w:p w14:paraId="0003577E">
            <w:pPr>
              <w:pStyle w:val="9"/>
              <w:rPr>
                <w:rFonts w:hint="default"/>
                <w:color w:val="auto"/>
                <w:lang w:val="zh-CN"/>
              </w:rPr>
            </w:pPr>
          </w:p>
          <w:p w14:paraId="4115D55F">
            <w:pPr>
              <w:rPr>
                <w:rFonts w:hint="default"/>
                <w:color w:val="auto"/>
                <w:lang w:val="zh-CN"/>
              </w:rPr>
            </w:pPr>
          </w:p>
          <w:p w14:paraId="1B69E297">
            <w:pPr>
              <w:pStyle w:val="9"/>
              <w:rPr>
                <w:rFonts w:hint="default"/>
                <w:color w:val="auto"/>
                <w:lang w:val="zh-CN"/>
              </w:rPr>
            </w:pPr>
          </w:p>
          <w:p w14:paraId="7EE69FB3">
            <w:pPr>
              <w:rPr>
                <w:rFonts w:hint="default"/>
                <w:lang w:val="zh-CN"/>
              </w:rPr>
            </w:pPr>
          </w:p>
        </w:tc>
      </w:tr>
    </w:tbl>
    <w:p w14:paraId="0F73A142">
      <w:pPr>
        <w:pStyle w:val="4"/>
        <w:jc w:val="center"/>
      </w:pPr>
      <w:r>
        <w:rPr>
          <w:rFonts w:hint="eastAsia"/>
        </w:rPr>
        <w:br w:type="page"/>
      </w:r>
      <w:bookmarkStart w:id="2" w:name="_Toc26646"/>
      <w:r>
        <w:rPr>
          <w:rFonts w:hint="eastAsia"/>
        </w:rPr>
        <w:t>二</w:t>
      </w:r>
      <w:r>
        <w:t>、</w:t>
      </w:r>
      <w:r>
        <w:rPr>
          <w:rFonts w:hint="eastAsia"/>
        </w:rPr>
        <w:t>建设项目工程分析</w:t>
      </w:r>
      <w:bookmarkEnd w:id="2"/>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8788"/>
      </w:tblGrid>
      <w:tr w14:paraId="520C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500" w:type="dxa"/>
            <w:tcBorders>
              <w:tl2br w:val="nil"/>
              <w:tr2bl w:val="nil"/>
            </w:tcBorders>
            <w:vAlign w:val="center"/>
          </w:tcPr>
          <w:p w14:paraId="15119F04">
            <w:pPr>
              <w:ind w:firstLine="0" w:firstLineChars="0"/>
              <w:jc w:val="center"/>
              <w:rPr>
                <w:color w:val="auto"/>
              </w:rPr>
            </w:pPr>
            <w:r>
              <w:rPr>
                <w:rFonts w:hint="eastAsia" w:ascii="宋体"/>
                <w:color w:val="auto"/>
              </w:rPr>
              <w:t>建设内容</w:t>
            </w:r>
          </w:p>
        </w:tc>
        <w:tc>
          <w:tcPr>
            <w:tcW w:w="8788" w:type="dxa"/>
            <w:tcBorders>
              <w:tl2br w:val="nil"/>
              <w:tr2bl w:val="nil"/>
            </w:tcBorders>
            <w:shd w:val="clear" w:color="auto" w:fill="auto"/>
          </w:tcPr>
          <w:p w14:paraId="2AB56321">
            <w:pPr>
              <w:bidi w:val="0"/>
              <w:rPr>
                <w:rFonts w:hint="eastAsia"/>
                <w:lang w:eastAsia="zh-CN"/>
              </w:rPr>
            </w:pPr>
            <w:bookmarkStart w:id="3" w:name="OLE_LINK14"/>
            <w:r>
              <w:t>淮南市第四人民医院（淮南市精神病医院）成立于1983年，占地5万平方米，</w:t>
            </w:r>
            <w:r>
              <w:rPr>
                <w:rFonts w:hint="eastAsia"/>
                <w:lang w:val="en-US" w:eastAsia="zh-CN"/>
              </w:rPr>
              <w:t>位于</w:t>
            </w:r>
            <w:r>
              <w:t>安徽省淮南市谢家集</w:t>
            </w:r>
            <w:r>
              <w:rPr>
                <w:rFonts w:hint="eastAsia"/>
                <w:lang w:val="en-US" w:eastAsia="zh-CN"/>
              </w:rPr>
              <w:t>区</w:t>
            </w:r>
            <w:r>
              <w:t>卧龙山路</w:t>
            </w:r>
            <w:r>
              <w:rPr>
                <w:rFonts w:hint="eastAsia"/>
                <w:lang w:eastAsia="zh-CN"/>
              </w:rPr>
              <w:t>。</w:t>
            </w:r>
            <w:r>
              <w:t>是淮南市唯一一所精神病专科医院</w:t>
            </w:r>
            <w:r>
              <w:rPr>
                <w:rFonts w:hint="eastAsia"/>
                <w:lang w:eastAsia="zh-CN"/>
              </w:rPr>
              <w:t>，</w:t>
            </w:r>
            <w:r>
              <w:t>安徽省人民政府指定的精神疾病司法鉴定机构。编制床位280张，担负着淮南市及周边地区精神疾病和心理障碍的预防、治疗及康复工作</w:t>
            </w:r>
            <w:r>
              <w:rPr>
                <w:rFonts w:hint="eastAsia"/>
                <w:lang w:eastAsia="zh-CN"/>
              </w:rPr>
              <w:t>。</w:t>
            </w:r>
          </w:p>
          <w:p w14:paraId="0902DB72">
            <w:pPr>
              <w:ind w:firstLine="482"/>
              <w:rPr>
                <w:rFonts w:hint="default"/>
                <w:lang w:val="en-US" w:eastAsia="zh-CN"/>
              </w:rPr>
            </w:pPr>
            <w:r>
              <w:rPr>
                <w:rFonts w:hint="eastAsia"/>
                <w:lang w:val="en-US" w:eastAsia="zh-CN"/>
              </w:rPr>
              <w:t>“</w:t>
            </w:r>
            <w:r>
              <w:rPr>
                <w:lang w:val="en-US" w:eastAsia="zh-CN"/>
              </w:rPr>
              <w:t>据世界卫生组织公布的数据</w:t>
            </w:r>
            <w:r>
              <w:rPr>
                <w:rFonts w:hint="eastAsia"/>
                <w:lang w:val="en-US" w:eastAsia="zh-CN"/>
              </w:rPr>
              <w:t>，</w:t>
            </w:r>
            <w:r>
              <w:rPr>
                <w:lang w:val="en-US" w:eastAsia="zh-CN"/>
              </w:rPr>
              <w:t>目前全球有近10亿人患有精神障碍。这意味着几乎每8个人中</w:t>
            </w:r>
            <w:r>
              <w:rPr>
                <w:rFonts w:hint="eastAsia"/>
                <w:lang w:val="en-US" w:eastAsia="zh-CN"/>
              </w:rPr>
              <w:t>，</w:t>
            </w:r>
            <w:r>
              <w:rPr>
                <w:lang w:val="en-US" w:eastAsia="zh-CN"/>
              </w:rPr>
              <w:t>就有一位精神障碍患者。全球抑郁症患者超3.5亿</w:t>
            </w:r>
            <w:r>
              <w:rPr>
                <w:rFonts w:hint="eastAsia"/>
                <w:lang w:val="en-US" w:eastAsia="zh-CN"/>
              </w:rPr>
              <w:t>，</w:t>
            </w:r>
            <w:r>
              <w:rPr>
                <w:lang w:val="en-US" w:eastAsia="zh-CN"/>
              </w:rPr>
              <w:t>焦虑障碍患者也约2.64亿。预测到2030年</w:t>
            </w:r>
            <w:r>
              <w:rPr>
                <w:rFonts w:hint="eastAsia"/>
                <w:lang w:val="en-US" w:eastAsia="zh-CN"/>
              </w:rPr>
              <w:t>，</w:t>
            </w:r>
            <w:r>
              <w:rPr>
                <w:lang w:val="en-US" w:eastAsia="zh-CN"/>
              </w:rPr>
              <w:t>抑郁症将会成为全球疾病负担最大的疾病。在中国</w:t>
            </w:r>
            <w:r>
              <w:rPr>
                <w:rFonts w:hint="eastAsia"/>
                <w:lang w:val="en-US" w:eastAsia="zh-CN"/>
              </w:rPr>
              <w:t>，</w:t>
            </w:r>
            <w:r>
              <w:rPr>
                <w:lang w:val="en-US" w:eastAsia="zh-CN"/>
              </w:rPr>
              <w:t>精神疾病的负担同样沉重。其中焦虑和抑郁患病率最高</w:t>
            </w:r>
            <w:r>
              <w:rPr>
                <w:rFonts w:hint="eastAsia"/>
                <w:lang w:val="en-US" w:eastAsia="zh-CN"/>
              </w:rPr>
              <w:t>，</w:t>
            </w:r>
            <w:r>
              <w:rPr>
                <w:lang w:val="en-US" w:eastAsia="zh-CN"/>
              </w:rPr>
              <w:t>焦虑障碍加权终身患病率为7.6%</w:t>
            </w:r>
            <w:r>
              <w:rPr>
                <w:rFonts w:hint="eastAsia"/>
                <w:lang w:val="en-US" w:eastAsia="zh-CN"/>
              </w:rPr>
              <w:t>，</w:t>
            </w:r>
            <w:r>
              <w:rPr>
                <w:lang w:val="en-US" w:eastAsia="zh-CN"/>
              </w:rPr>
              <w:t>抑郁障碍终身患病率为6.8%。</w:t>
            </w:r>
            <w:r>
              <w:rPr>
                <w:rFonts w:hint="eastAsia"/>
                <w:lang w:val="en-US" w:eastAsia="zh-CN"/>
              </w:rPr>
              <w:t>”随着现今社会精神患者人数的增加，淮南市第四人民医院现有床位数已不能满足大众的就医需求。且谢家集区距离淮南市东部城区及主城区较远，使就医过程增加了许多不便。在此背景下，淮南市精神病医院（淮南市第四人民医院）拟在淮南市高新技术开发区民裕大街与支四路交叉口建设“</w:t>
            </w:r>
            <w:r>
              <w:rPr>
                <w:rFonts w:hint="eastAsia"/>
                <w:color w:val="auto"/>
                <w:lang w:eastAsia="zh-CN"/>
              </w:rPr>
              <w:t>淮南市精神病医院山南院区及污水处理站项目</w:t>
            </w:r>
            <w:r>
              <w:rPr>
                <w:rFonts w:hint="eastAsia"/>
                <w:lang w:val="en-US" w:eastAsia="zh-CN"/>
              </w:rPr>
              <w:t>”。</w:t>
            </w:r>
          </w:p>
          <w:p w14:paraId="481D0A8F">
            <w:pPr>
              <w:ind w:firstLine="482"/>
              <w:rPr>
                <w:b/>
                <w:bCs/>
                <w:color w:val="auto"/>
              </w:rPr>
            </w:pPr>
            <w:r>
              <w:rPr>
                <w:rFonts w:hint="eastAsia"/>
                <w:b/>
                <w:bCs/>
                <w:color w:val="auto"/>
              </w:rPr>
              <w:t>1、项目概况</w:t>
            </w:r>
          </w:p>
          <w:p w14:paraId="55665CDE">
            <w:pPr>
              <w:ind w:firstLine="482"/>
              <w:rPr>
                <w:rFonts w:hint="default"/>
                <w:color w:val="auto"/>
                <w:lang w:val="en-US"/>
              </w:rPr>
            </w:pPr>
            <w:r>
              <w:rPr>
                <w:rFonts w:hint="eastAsia"/>
                <w:b/>
                <w:bCs/>
                <w:color w:val="auto"/>
              </w:rPr>
              <w:t>项目名称：</w:t>
            </w:r>
            <w:r>
              <w:rPr>
                <w:rFonts w:hint="eastAsia"/>
                <w:color w:val="auto"/>
                <w:lang w:eastAsia="zh-CN"/>
              </w:rPr>
              <w:t>淮南市精神病医院山南院区及污水处理站项目</w:t>
            </w:r>
          </w:p>
          <w:p w14:paraId="565B7FB2">
            <w:pPr>
              <w:ind w:firstLine="482"/>
              <w:rPr>
                <w:rFonts w:hint="eastAsia" w:eastAsia="宋体"/>
                <w:color w:val="auto"/>
                <w:lang w:eastAsia="zh-CN"/>
              </w:rPr>
            </w:pPr>
            <w:r>
              <w:rPr>
                <w:rFonts w:hint="eastAsia"/>
                <w:b/>
                <w:bCs/>
                <w:color w:val="auto"/>
              </w:rPr>
              <w:t>建设单位：</w:t>
            </w:r>
            <w:r>
              <w:rPr>
                <w:rFonts w:hint="eastAsia"/>
                <w:lang w:val="en-US" w:eastAsia="zh-CN"/>
              </w:rPr>
              <w:t>淮南市精神病医院（淮南市第四人民医院）</w:t>
            </w:r>
          </w:p>
          <w:p w14:paraId="45B5BE76">
            <w:pPr>
              <w:ind w:firstLine="482"/>
              <w:rPr>
                <w:color w:val="auto"/>
              </w:rPr>
            </w:pPr>
            <w:r>
              <w:rPr>
                <w:rFonts w:hint="eastAsia"/>
                <w:b/>
                <w:bCs/>
                <w:color w:val="auto"/>
              </w:rPr>
              <w:t>建设地址：</w:t>
            </w:r>
            <w:r>
              <w:rPr>
                <w:rFonts w:hint="eastAsia"/>
                <w:color w:val="auto"/>
                <w:lang w:val="zh-CN"/>
              </w:rPr>
              <w:t>本项目</w:t>
            </w:r>
            <w:r>
              <w:rPr>
                <w:rFonts w:hint="eastAsia"/>
                <w:color w:val="auto"/>
              </w:rPr>
              <w:t>位于</w:t>
            </w:r>
            <w:r>
              <w:rPr>
                <w:rFonts w:eastAsiaTheme="minorEastAsia"/>
                <w:color w:val="auto"/>
                <w:szCs w:val="21"/>
              </w:rPr>
              <w:t>淮南市</w:t>
            </w:r>
            <w:r>
              <w:rPr>
                <w:rFonts w:hint="eastAsia" w:eastAsiaTheme="minorEastAsia"/>
                <w:color w:val="auto"/>
                <w:szCs w:val="21"/>
                <w:lang w:val="en-US" w:eastAsia="zh-CN"/>
              </w:rPr>
              <w:t>高新技术产业区</w:t>
            </w:r>
            <w:r>
              <w:rPr>
                <w:rFonts w:hint="eastAsia"/>
                <w:lang w:val="en-US" w:eastAsia="zh-CN"/>
              </w:rPr>
              <w:t>民裕大街与支四路交叉口</w:t>
            </w:r>
            <w:r>
              <w:rPr>
                <w:rFonts w:hint="eastAsia"/>
                <w:color w:val="auto"/>
              </w:rPr>
              <w:t>（详</w:t>
            </w:r>
            <w:r>
              <w:rPr>
                <w:color w:val="auto"/>
              </w:rPr>
              <w:t>见附图</w:t>
            </w:r>
            <w:r>
              <w:rPr>
                <w:rFonts w:hint="eastAsia"/>
                <w:color w:val="auto"/>
              </w:rPr>
              <w:t>1项目地理位置图）。</w:t>
            </w:r>
          </w:p>
          <w:p w14:paraId="38B852D3">
            <w:pPr>
              <w:ind w:firstLine="482"/>
              <w:rPr>
                <w:rFonts w:hint="eastAsia" w:eastAsia="宋体"/>
                <w:color w:val="auto"/>
                <w:lang w:val="en-US" w:eastAsia="zh-CN"/>
              </w:rPr>
            </w:pPr>
            <w:r>
              <w:rPr>
                <w:rFonts w:hint="eastAsia"/>
                <w:b/>
                <w:bCs/>
                <w:color w:val="auto"/>
              </w:rPr>
              <w:t>建设性质：</w:t>
            </w:r>
            <w:r>
              <w:rPr>
                <w:rFonts w:hint="eastAsia"/>
                <w:b w:val="0"/>
                <w:bCs w:val="0"/>
                <w:color w:val="auto"/>
                <w:lang w:val="en-US" w:eastAsia="zh-CN"/>
              </w:rPr>
              <w:t>新建</w:t>
            </w:r>
          </w:p>
          <w:p w14:paraId="4727AFFD">
            <w:pPr>
              <w:ind w:firstLine="482"/>
              <w:rPr>
                <w:color w:val="auto"/>
              </w:rPr>
            </w:pPr>
            <w:r>
              <w:rPr>
                <w:rFonts w:hint="eastAsia"/>
                <w:b/>
                <w:bCs/>
                <w:color w:val="auto"/>
              </w:rPr>
              <w:t>项目环评管理类别判定：</w:t>
            </w:r>
            <w:r>
              <w:rPr>
                <w:rFonts w:hint="eastAsia"/>
                <w:color w:val="auto"/>
                <w:highlight w:val="none"/>
              </w:rPr>
              <w:t>2024年</w:t>
            </w:r>
            <w:r>
              <w:rPr>
                <w:rFonts w:hint="eastAsia"/>
                <w:color w:val="auto"/>
                <w:highlight w:val="none"/>
                <w:lang w:val="en-US" w:eastAsia="zh-CN"/>
              </w:rPr>
              <w:t>11</w:t>
            </w:r>
            <w:r>
              <w:rPr>
                <w:rFonts w:hint="eastAsia"/>
                <w:color w:val="auto"/>
                <w:highlight w:val="none"/>
              </w:rPr>
              <w:t>月</w:t>
            </w:r>
            <w:r>
              <w:rPr>
                <w:color w:val="auto"/>
                <w:highlight w:val="none"/>
              </w:rPr>
              <w:t>，</w:t>
            </w:r>
            <w:r>
              <w:rPr>
                <w:rFonts w:hint="eastAsia"/>
                <w:color w:val="auto"/>
                <w:highlight w:val="none"/>
                <w:lang w:eastAsia="zh-CN"/>
              </w:rPr>
              <w:t>淮南高新技术产业开发区管理委员会经济发展局</w:t>
            </w:r>
            <w:r>
              <w:rPr>
                <w:color w:val="auto"/>
                <w:highlight w:val="none"/>
              </w:rPr>
              <w:t>同意</w:t>
            </w:r>
            <w:r>
              <w:rPr>
                <w:rFonts w:hint="eastAsia"/>
                <w:color w:val="auto"/>
                <w:highlight w:val="none"/>
              </w:rPr>
              <w:t>关于</w:t>
            </w:r>
            <w:r>
              <w:rPr>
                <w:rFonts w:hint="eastAsia"/>
                <w:color w:val="auto"/>
                <w:highlight w:val="none"/>
                <w:lang w:eastAsia="zh-CN"/>
              </w:rPr>
              <w:t>“淮南市精神病医院山南院区及污水处理站项目”</w:t>
            </w:r>
            <w:r>
              <w:rPr>
                <w:rFonts w:hint="eastAsia"/>
                <w:color w:val="auto"/>
                <w:highlight w:val="none"/>
              </w:rPr>
              <w:t>的</w:t>
            </w:r>
            <w:r>
              <w:rPr>
                <w:color w:val="auto"/>
                <w:highlight w:val="none"/>
              </w:rPr>
              <w:t>备案</w:t>
            </w:r>
            <w:r>
              <w:rPr>
                <w:rFonts w:hint="eastAsia"/>
                <w:color w:val="auto"/>
                <w:highlight w:val="none"/>
              </w:rPr>
              <w:t>，项目代码为</w:t>
            </w:r>
            <w:r>
              <w:rPr>
                <w:rFonts w:hint="eastAsia"/>
                <w:color w:val="auto"/>
                <w:highlight w:val="none"/>
                <w:lang w:val="en-US" w:eastAsia="zh-CN"/>
              </w:rPr>
              <w:t>2411-340463-04-01-918290</w:t>
            </w:r>
            <w:r>
              <w:rPr>
                <w:rFonts w:hint="eastAsia"/>
                <w:color w:val="auto"/>
                <w:highlight w:val="none"/>
              </w:rPr>
              <w:t>。根</w:t>
            </w:r>
            <w:r>
              <w:rPr>
                <w:rFonts w:hint="eastAsia"/>
                <w:color w:val="auto"/>
              </w:rPr>
              <w:t>据项目备案文件可知项目属于《国民经济行业分类》（2</w:t>
            </w:r>
            <w:r>
              <w:rPr>
                <w:color w:val="auto"/>
              </w:rPr>
              <w:t>017</w:t>
            </w:r>
            <w:r>
              <w:rPr>
                <w:rFonts w:hint="eastAsia"/>
                <w:color w:val="auto"/>
              </w:rPr>
              <w:t>年版）的</w:t>
            </w:r>
            <w:r>
              <w:rPr>
                <w:rFonts w:hint="eastAsia" w:cs="Times New Roman"/>
                <w:color w:val="auto"/>
                <w:sz w:val="24"/>
                <w:lang w:eastAsia="zh-CN"/>
              </w:rPr>
              <w:t>Q8415 专科医院</w:t>
            </w:r>
            <w:r>
              <w:rPr>
                <w:rFonts w:hint="eastAsia" w:ascii="宋体" w:hAnsi="宋体" w:eastAsia="宋体" w:cs="宋体"/>
                <w:color w:val="auto"/>
                <w:kern w:val="0"/>
                <w:lang w:val="en-US" w:eastAsia="zh-CN"/>
              </w:rPr>
              <w:t>。</w:t>
            </w:r>
          </w:p>
          <w:p w14:paraId="18DD7584">
            <w:pPr>
              <w:ind w:firstLine="480"/>
              <w:rPr>
                <w:rFonts w:hint="eastAsia"/>
                <w:color w:val="auto"/>
                <w:lang w:val="en-US" w:eastAsia="zh-CN"/>
              </w:rPr>
            </w:pPr>
            <w:r>
              <w:rPr>
                <w:rFonts w:hint="eastAsia"/>
                <w:color w:val="auto"/>
              </w:rPr>
              <w:t>根据《建设项目环境影响评价分类管理名录（2021年版）》可知，本项目</w:t>
            </w:r>
            <w:r>
              <w:rPr>
                <w:rFonts w:hint="eastAsia"/>
                <w:color w:val="auto"/>
                <w:lang w:val="en-US" w:eastAsia="zh-CN"/>
              </w:rPr>
              <w:t>环评类别判定如下</w:t>
            </w:r>
            <w:r>
              <w:rPr>
                <w:rFonts w:hint="eastAsia"/>
                <w:color w:val="auto"/>
                <w:lang w:eastAsia="zh-CN"/>
              </w:rPr>
              <w:t>，</w:t>
            </w:r>
            <w:r>
              <w:rPr>
                <w:rFonts w:hint="eastAsia"/>
                <w:color w:val="auto"/>
              </w:rPr>
              <w:t>故项目需编制报告表</w:t>
            </w:r>
            <w:r>
              <w:rPr>
                <w:rFonts w:hint="eastAsia"/>
                <w:color w:val="auto"/>
                <w:lang w:eastAsia="zh-CN"/>
              </w:rPr>
              <w:t>。</w:t>
            </w:r>
            <w:r>
              <w:rPr>
                <w:rFonts w:hint="eastAsia"/>
                <w:color w:val="auto"/>
                <w:lang w:val="en-US" w:eastAsia="zh-CN"/>
              </w:rPr>
              <w:t>本院区目前无核磁共振、CT等辐射设备，因此本环评不涉及辐射类环评内容，如后期新增辐射相关设备，需按照《建设项目环境影响评价分类管理目录》另行环评。</w:t>
            </w:r>
          </w:p>
          <w:p w14:paraId="3FEB4A4E">
            <w:pPr>
              <w:ind w:firstLine="480"/>
              <w:rPr>
                <w:rFonts w:hint="default"/>
                <w:color w:val="auto"/>
                <w:lang w:val="en-US" w:eastAsia="zh-CN"/>
              </w:rPr>
            </w:pPr>
          </w:p>
          <w:p w14:paraId="16BB9D58">
            <w:pPr>
              <w:pStyle w:val="27"/>
              <w:bidi w:val="0"/>
            </w:pPr>
            <w:r>
              <w:rPr>
                <w:rFonts w:hint="eastAsia"/>
              </w:rPr>
              <w:t xml:space="preserve">表2-1 </w:t>
            </w:r>
            <w:r>
              <w:rPr>
                <w:rFonts w:hint="eastAsia"/>
                <w:lang w:val="en-US" w:eastAsia="zh-CN"/>
              </w:rPr>
              <w:t xml:space="preserve"> </w:t>
            </w:r>
            <w:r>
              <w:rPr>
                <w:rFonts w:hint="eastAsia"/>
              </w:rPr>
              <w:t>项目环评分类管理类别判定</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2218"/>
              <w:gridCol w:w="1740"/>
              <w:gridCol w:w="1410"/>
              <w:gridCol w:w="1312"/>
              <w:gridCol w:w="1273"/>
            </w:tblGrid>
            <w:tr w14:paraId="627D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8" w:type="pct"/>
                  <w:gridSpan w:val="2"/>
                  <w:tcBorders>
                    <w:tl2br w:val="single" w:color="auto" w:sz="4" w:space="0"/>
                  </w:tcBorders>
                  <w:noWrap w:val="0"/>
                  <w:vAlign w:val="center"/>
                </w:tcPr>
                <w:p w14:paraId="4CC3F357">
                  <w:pPr>
                    <w:pStyle w:val="32"/>
                    <w:bidi w:val="0"/>
                    <w:jc w:val="right"/>
                    <w:rPr>
                      <w:b/>
                      <w:bCs/>
                    </w:rPr>
                  </w:pPr>
                  <w:r>
                    <w:rPr>
                      <w:rFonts w:hint="eastAsia"/>
                      <w:b/>
                      <w:bCs/>
                    </w:rPr>
                    <w:t>环评类别</w:t>
                  </w:r>
                </w:p>
                <w:p w14:paraId="71FB6495">
                  <w:pPr>
                    <w:pStyle w:val="32"/>
                    <w:bidi w:val="0"/>
                    <w:jc w:val="left"/>
                    <w:rPr>
                      <w:b/>
                      <w:bCs/>
                    </w:rPr>
                  </w:pPr>
                  <w:r>
                    <w:rPr>
                      <w:rFonts w:hint="eastAsia"/>
                      <w:b/>
                      <w:bCs/>
                    </w:rPr>
                    <w:t>项目类别</w:t>
                  </w:r>
                </w:p>
              </w:tc>
              <w:tc>
                <w:tcPr>
                  <w:tcW w:w="1016" w:type="pct"/>
                  <w:noWrap w:val="0"/>
                  <w:vAlign w:val="center"/>
                </w:tcPr>
                <w:p w14:paraId="388D209B">
                  <w:pPr>
                    <w:pStyle w:val="32"/>
                    <w:bidi w:val="0"/>
                    <w:rPr>
                      <w:b/>
                      <w:bCs/>
                    </w:rPr>
                  </w:pPr>
                  <w:r>
                    <w:rPr>
                      <w:rFonts w:hint="eastAsia"/>
                      <w:b/>
                      <w:bCs/>
                    </w:rPr>
                    <w:t>报告书</w:t>
                  </w:r>
                </w:p>
              </w:tc>
              <w:tc>
                <w:tcPr>
                  <w:tcW w:w="823" w:type="pct"/>
                  <w:noWrap w:val="0"/>
                  <w:vAlign w:val="center"/>
                </w:tcPr>
                <w:p w14:paraId="7E9779EA">
                  <w:pPr>
                    <w:pStyle w:val="32"/>
                    <w:bidi w:val="0"/>
                    <w:rPr>
                      <w:b/>
                      <w:bCs/>
                    </w:rPr>
                  </w:pPr>
                  <w:r>
                    <w:rPr>
                      <w:rFonts w:hint="eastAsia"/>
                      <w:b/>
                      <w:bCs/>
                    </w:rPr>
                    <w:t>报告表</w:t>
                  </w:r>
                </w:p>
              </w:tc>
              <w:tc>
                <w:tcPr>
                  <w:tcW w:w="766" w:type="pct"/>
                  <w:noWrap w:val="0"/>
                  <w:vAlign w:val="center"/>
                </w:tcPr>
                <w:p w14:paraId="2698478E">
                  <w:pPr>
                    <w:pStyle w:val="32"/>
                    <w:bidi w:val="0"/>
                    <w:rPr>
                      <w:b/>
                      <w:bCs/>
                    </w:rPr>
                  </w:pPr>
                  <w:r>
                    <w:rPr>
                      <w:rFonts w:hint="eastAsia"/>
                      <w:b/>
                      <w:bCs/>
                    </w:rPr>
                    <w:t>登记表</w:t>
                  </w:r>
                </w:p>
              </w:tc>
              <w:tc>
                <w:tcPr>
                  <w:tcW w:w="743" w:type="pct"/>
                  <w:noWrap w:val="0"/>
                  <w:vAlign w:val="center"/>
                </w:tcPr>
                <w:p w14:paraId="46B867D3">
                  <w:pPr>
                    <w:pStyle w:val="32"/>
                    <w:bidi w:val="0"/>
                    <w:rPr>
                      <w:rFonts w:hint="eastAsia"/>
                      <w:b/>
                      <w:bCs/>
                      <w:lang w:val="en-US" w:eastAsia="zh-CN"/>
                    </w:rPr>
                  </w:pPr>
                  <w:r>
                    <w:rPr>
                      <w:rFonts w:hint="eastAsia"/>
                      <w:b/>
                      <w:bCs/>
                      <w:lang w:val="en-US" w:eastAsia="zh-CN"/>
                    </w:rPr>
                    <w:t>本项目</w:t>
                  </w:r>
                </w:p>
              </w:tc>
            </w:tr>
            <w:tr w14:paraId="619E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14:paraId="545575F5">
                  <w:pPr>
                    <w:pStyle w:val="32"/>
                    <w:bidi w:val="0"/>
                    <w:jc w:val="left"/>
                    <w:rPr>
                      <w:rFonts w:hint="default" w:eastAsia="宋体"/>
                      <w:lang w:val="en-US" w:eastAsia="zh-CN"/>
                    </w:rPr>
                  </w:pPr>
                  <w:r>
                    <w:rPr>
                      <w:rFonts w:hint="eastAsia"/>
                      <w:lang w:val="en-US" w:eastAsia="zh-CN"/>
                    </w:rPr>
                    <w:t>四十九、医院84</w:t>
                  </w:r>
                </w:p>
              </w:tc>
            </w:tr>
            <w:tr w14:paraId="1E8E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2" w:type="pct"/>
                  <w:noWrap w:val="0"/>
                  <w:vAlign w:val="center"/>
                </w:tcPr>
                <w:p w14:paraId="17811B92">
                  <w:pPr>
                    <w:pStyle w:val="32"/>
                    <w:bidi w:val="0"/>
                    <w:rPr>
                      <w:rFonts w:hint="default"/>
                      <w:lang w:val="en-US" w:eastAsia="zh-CN"/>
                    </w:rPr>
                  </w:pPr>
                  <w:r>
                    <w:rPr>
                      <w:rFonts w:hint="eastAsia"/>
                      <w:lang w:val="en-US" w:eastAsia="zh-CN"/>
                    </w:rPr>
                    <w:t>108</w:t>
                  </w:r>
                </w:p>
              </w:tc>
              <w:tc>
                <w:tcPr>
                  <w:tcW w:w="1296" w:type="pct"/>
                  <w:noWrap w:val="0"/>
                  <w:vAlign w:val="center"/>
                </w:tcPr>
                <w:p w14:paraId="604B8252">
                  <w:pPr>
                    <w:pStyle w:val="32"/>
                    <w:bidi w:val="0"/>
                    <w:rPr>
                      <w:rFonts w:hint="eastAsia"/>
                      <w:lang w:val="en-US" w:eastAsia="zh-CN"/>
                    </w:rPr>
                  </w:pPr>
                  <w:r>
                    <w:rPr>
                      <w:rFonts w:hint="eastAsia"/>
                      <w:lang w:val="en-US" w:eastAsia="zh-CN"/>
                    </w:rPr>
                    <w:t>医院841；专科疾病防治院(所、站)8432；妇幼保健院所、站)8433；急救中心(站)服务8434；采供血机构服务8435；基层医疗卫生服务</w:t>
                  </w:r>
                </w:p>
                <w:p w14:paraId="3270E643">
                  <w:pPr>
                    <w:pStyle w:val="32"/>
                    <w:bidi w:val="0"/>
                    <w:rPr>
                      <w:rFonts w:hint="default"/>
                      <w:lang w:val="en-US"/>
                    </w:rPr>
                  </w:pPr>
                  <w:r>
                    <w:rPr>
                      <w:rFonts w:hint="eastAsia"/>
                      <w:lang w:val="en-US" w:eastAsia="zh-CN"/>
                    </w:rPr>
                    <w:t>842</w:t>
                  </w:r>
                </w:p>
              </w:tc>
              <w:tc>
                <w:tcPr>
                  <w:tcW w:w="1016" w:type="pct"/>
                  <w:noWrap w:val="0"/>
                  <w:vAlign w:val="center"/>
                </w:tcPr>
                <w:p w14:paraId="3B35D17C">
                  <w:pPr>
                    <w:pStyle w:val="32"/>
                    <w:bidi w:val="0"/>
                    <w:rPr>
                      <w:rFonts w:hint="default" w:eastAsia="宋体"/>
                      <w:lang w:val="en-US" w:eastAsia="zh-CN"/>
                    </w:rPr>
                  </w:pPr>
                  <w:r>
                    <w:rPr>
                      <w:rFonts w:hint="eastAsia"/>
                      <w:lang w:val="en-US" w:eastAsia="zh-CN"/>
                    </w:rPr>
                    <w:t>新建、扩建住院床位500张以上的</w:t>
                  </w:r>
                </w:p>
              </w:tc>
              <w:tc>
                <w:tcPr>
                  <w:tcW w:w="823" w:type="pct"/>
                  <w:shd w:val="clear" w:color="auto" w:fill="D7D7D7" w:themeFill="background1" w:themeFillShade="D8"/>
                  <w:noWrap w:val="0"/>
                  <w:vAlign w:val="center"/>
                </w:tcPr>
                <w:p w14:paraId="15F07589">
                  <w:pPr>
                    <w:pStyle w:val="32"/>
                    <w:bidi w:val="0"/>
                    <w:rPr>
                      <w:rFonts w:hint="eastAsia"/>
                      <w:lang w:eastAsia="zh-CN"/>
                    </w:rPr>
                  </w:pPr>
                  <w:r>
                    <w:rPr>
                      <w:rFonts w:hint="eastAsia"/>
                      <w:lang w:val="en-US" w:eastAsia="zh-CN"/>
                    </w:rPr>
                    <w:t>其他（住院床位20以下的除外）</w:t>
                  </w:r>
                </w:p>
              </w:tc>
              <w:tc>
                <w:tcPr>
                  <w:tcW w:w="766" w:type="pct"/>
                  <w:noWrap w:val="0"/>
                  <w:vAlign w:val="center"/>
                </w:tcPr>
                <w:p w14:paraId="655CFC1D">
                  <w:pPr>
                    <w:pStyle w:val="32"/>
                    <w:bidi w:val="0"/>
                  </w:pPr>
                  <w:r>
                    <w:rPr>
                      <w:rFonts w:hint="eastAsia"/>
                    </w:rPr>
                    <w:t>住院床位20张以下的(不含20张住院床位的)</w:t>
                  </w:r>
                </w:p>
              </w:tc>
              <w:tc>
                <w:tcPr>
                  <w:tcW w:w="743" w:type="pct"/>
                  <w:noWrap w:val="0"/>
                  <w:vAlign w:val="center"/>
                </w:tcPr>
                <w:p w14:paraId="0B41B6DF">
                  <w:pPr>
                    <w:pStyle w:val="32"/>
                    <w:bidi w:val="0"/>
                    <w:rPr>
                      <w:rFonts w:hint="default"/>
                      <w:lang w:val="en-US" w:eastAsia="zh-CN"/>
                    </w:rPr>
                  </w:pPr>
                  <w:r>
                    <w:rPr>
                      <w:rFonts w:hint="eastAsia"/>
                      <w:lang w:val="en-US" w:eastAsia="zh-CN"/>
                    </w:rPr>
                    <w:t>本项目设置270张床位，为精神病专科医院</w:t>
                  </w:r>
                </w:p>
              </w:tc>
            </w:tr>
          </w:tbl>
          <w:p w14:paraId="137C0F5F">
            <w:pPr>
              <w:bidi w:val="0"/>
              <w:rPr>
                <w:rFonts w:hint="eastAsia"/>
                <w:color w:val="auto"/>
              </w:rPr>
            </w:pPr>
            <w:r>
              <w:rPr>
                <w:rFonts w:hint="eastAsia"/>
                <w:b/>
                <w:bCs/>
                <w:color w:val="auto"/>
              </w:rPr>
              <w:t>项目排污许可管理类别判定：</w:t>
            </w:r>
            <w:r>
              <w:rPr>
                <w:rFonts w:hint="eastAsia"/>
                <w:color w:val="auto"/>
              </w:rPr>
              <w:t>根据</w:t>
            </w:r>
            <w:r>
              <w:rPr>
                <w:rFonts w:hint="eastAsia"/>
                <w:color w:val="auto"/>
                <w:lang w:eastAsia="zh-CN"/>
              </w:rPr>
              <w:t>《</w:t>
            </w:r>
            <w:r>
              <w:rPr>
                <w:rFonts w:hint="eastAsia"/>
                <w:color w:val="auto"/>
                <w:lang w:val="en-US" w:eastAsia="zh-CN"/>
              </w:rPr>
              <w:t>固定污染源排污许可分类管理名录</w:t>
            </w:r>
            <w:r>
              <w:rPr>
                <w:rFonts w:hint="eastAsia"/>
                <w:color w:val="auto"/>
                <w:lang w:eastAsia="zh-CN"/>
              </w:rPr>
              <w:t>》</w:t>
            </w:r>
            <w:r>
              <w:rPr>
                <w:rFonts w:hint="eastAsia"/>
                <w:color w:val="auto"/>
              </w:rPr>
              <w:t>，可知本项目</w:t>
            </w:r>
            <w:r>
              <w:rPr>
                <w:rFonts w:hint="eastAsia"/>
                <w:color w:val="auto"/>
                <w:lang w:val="en-US" w:eastAsia="zh-CN"/>
              </w:rPr>
              <w:t>排污许可证管理类别如下所示</w:t>
            </w:r>
            <w:r>
              <w:rPr>
                <w:rFonts w:hint="eastAsia"/>
                <w:color w:val="auto"/>
              </w:rPr>
              <w:t>，</w:t>
            </w:r>
            <w:r>
              <w:rPr>
                <w:rFonts w:hint="eastAsia"/>
                <w:color w:val="auto"/>
                <w:lang w:val="en-US" w:eastAsia="zh-CN"/>
              </w:rPr>
              <w:t>本</w:t>
            </w:r>
            <w:r>
              <w:rPr>
                <w:rFonts w:hint="eastAsia"/>
                <w:color w:val="auto"/>
              </w:rPr>
              <w:t>项目</w:t>
            </w:r>
            <w:r>
              <w:rPr>
                <w:rFonts w:hint="eastAsia"/>
                <w:color w:val="auto"/>
                <w:lang w:val="en-US" w:eastAsia="zh-CN"/>
              </w:rPr>
              <w:t>实际生产排污前须履行排污许可简化</w:t>
            </w:r>
            <w:r>
              <w:rPr>
                <w:rFonts w:hint="eastAsia"/>
                <w:color w:val="auto"/>
              </w:rPr>
              <w:t>管理</w:t>
            </w:r>
            <w:r>
              <w:rPr>
                <w:rFonts w:hint="eastAsia"/>
                <w:color w:val="auto"/>
                <w:lang w:val="en-US" w:eastAsia="zh-CN"/>
              </w:rPr>
              <w:t>手续</w:t>
            </w:r>
            <w:r>
              <w:rPr>
                <w:rFonts w:hint="eastAsia"/>
                <w:color w:val="auto"/>
              </w:rPr>
              <w:t>。</w:t>
            </w:r>
          </w:p>
          <w:p w14:paraId="029FC01B">
            <w:pPr>
              <w:pStyle w:val="27"/>
              <w:bidi w:val="0"/>
            </w:pPr>
            <w:r>
              <w:rPr>
                <w:rFonts w:hint="eastAsia"/>
              </w:rPr>
              <w:t xml:space="preserve">表2-2 </w:t>
            </w:r>
            <w:r>
              <w:rPr>
                <w:rFonts w:hint="eastAsia"/>
                <w:lang w:val="en-US" w:eastAsia="zh-CN"/>
              </w:rPr>
              <w:t xml:space="preserve"> </w:t>
            </w:r>
            <w:r>
              <w:rPr>
                <w:rFonts w:hint="eastAsia"/>
              </w:rPr>
              <w:t>项目排污许可管理类别判定</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939"/>
              <w:gridCol w:w="1763"/>
              <w:gridCol w:w="2553"/>
              <w:gridCol w:w="1624"/>
              <w:gridCol w:w="1190"/>
            </w:tblGrid>
            <w:tr w14:paraId="256F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dxa"/>
                  <w:noWrap w:val="0"/>
                  <w:vAlign w:val="center"/>
                </w:tcPr>
                <w:p w14:paraId="5E4D8A0D">
                  <w:pPr>
                    <w:pStyle w:val="32"/>
                    <w:bidi w:val="0"/>
                    <w:rPr>
                      <w:b/>
                      <w:bCs/>
                    </w:rPr>
                  </w:pPr>
                  <w:r>
                    <w:rPr>
                      <w:rFonts w:hint="eastAsia"/>
                      <w:b/>
                      <w:bCs/>
                    </w:rPr>
                    <w:t>序号</w:t>
                  </w:r>
                </w:p>
              </w:tc>
              <w:tc>
                <w:tcPr>
                  <w:tcW w:w="939" w:type="dxa"/>
                  <w:noWrap w:val="0"/>
                  <w:vAlign w:val="center"/>
                </w:tcPr>
                <w:p w14:paraId="2AD47463">
                  <w:pPr>
                    <w:pStyle w:val="32"/>
                    <w:bidi w:val="0"/>
                    <w:rPr>
                      <w:b/>
                      <w:bCs/>
                    </w:rPr>
                  </w:pPr>
                  <w:r>
                    <w:rPr>
                      <w:rFonts w:hint="eastAsia"/>
                      <w:b/>
                      <w:bCs/>
                    </w:rPr>
                    <w:t>行业类别</w:t>
                  </w:r>
                </w:p>
              </w:tc>
              <w:tc>
                <w:tcPr>
                  <w:tcW w:w="1763" w:type="dxa"/>
                  <w:noWrap w:val="0"/>
                  <w:vAlign w:val="center"/>
                </w:tcPr>
                <w:p w14:paraId="26E2AB32">
                  <w:pPr>
                    <w:pStyle w:val="32"/>
                    <w:bidi w:val="0"/>
                    <w:rPr>
                      <w:b/>
                      <w:bCs/>
                    </w:rPr>
                  </w:pPr>
                  <w:r>
                    <w:rPr>
                      <w:rFonts w:hint="eastAsia"/>
                      <w:b/>
                      <w:bCs/>
                    </w:rPr>
                    <w:t>重点管理</w:t>
                  </w:r>
                </w:p>
              </w:tc>
              <w:tc>
                <w:tcPr>
                  <w:tcW w:w="2553" w:type="dxa"/>
                  <w:noWrap w:val="0"/>
                  <w:vAlign w:val="center"/>
                </w:tcPr>
                <w:p w14:paraId="009947BC">
                  <w:pPr>
                    <w:pStyle w:val="32"/>
                    <w:bidi w:val="0"/>
                    <w:rPr>
                      <w:b/>
                      <w:bCs/>
                    </w:rPr>
                  </w:pPr>
                  <w:r>
                    <w:rPr>
                      <w:rFonts w:hint="eastAsia"/>
                      <w:b/>
                      <w:bCs/>
                    </w:rPr>
                    <w:t>简化管理</w:t>
                  </w:r>
                </w:p>
              </w:tc>
              <w:tc>
                <w:tcPr>
                  <w:tcW w:w="1624" w:type="dxa"/>
                  <w:noWrap w:val="0"/>
                  <w:vAlign w:val="center"/>
                </w:tcPr>
                <w:p w14:paraId="11A50D5D">
                  <w:pPr>
                    <w:pStyle w:val="32"/>
                    <w:bidi w:val="0"/>
                    <w:rPr>
                      <w:b/>
                      <w:bCs/>
                    </w:rPr>
                  </w:pPr>
                  <w:r>
                    <w:rPr>
                      <w:rFonts w:hint="eastAsia"/>
                      <w:b/>
                      <w:bCs/>
                    </w:rPr>
                    <w:t>登记管理</w:t>
                  </w:r>
                </w:p>
              </w:tc>
              <w:tc>
                <w:tcPr>
                  <w:tcW w:w="1190" w:type="dxa"/>
                  <w:noWrap w:val="0"/>
                  <w:vAlign w:val="center"/>
                </w:tcPr>
                <w:p w14:paraId="247BA873">
                  <w:pPr>
                    <w:pStyle w:val="32"/>
                    <w:bidi w:val="0"/>
                    <w:rPr>
                      <w:rFonts w:hint="eastAsia"/>
                      <w:b/>
                      <w:bCs/>
                      <w:lang w:val="en-US" w:eastAsia="zh-CN"/>
                    </w:rPr>
                  </w:pPr>
                  <w:r>
                    <w:rPr>
                      <w:rFonts w:hint="eastAsia"/>
                      <w:b/>
                      <w:bCs/>
                      <w:lang w:val="en-US" w:eastAsia="zh-CN"/>
                    </w:rPr>
                    <w:t>本项目</w:t>
                  </w:r>
                </w:p>
              </w:tc>
            </w:tr>
            <w:tr w14:paraId="2743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7" w:type="dxa"/>
                  <w:gridSpan w:val="6"/>
                  <w:noWrap w:val="0"/>
                  <w:vAlign w:val="center"/>
                </w:tcPr>
                <w:p w14:paraId="2FFD691A">
                  <w:pPr>
                    <w:pStyle w:val="32"/>
                    <w:bidi w:val="0"/>
                    <w:jc w:val="left"/>
                    <w:rPr>
                      <w:rFonts w:hint="eastAsia"/>
                    </w:rPr>
                  </w:pPr>
                  <w:r>
                    <w:rPr>
                      <w:rFonts w:hint="eastAsia"/>
                      <w:lang w:val="en-US" w:eastAsia="zh-CN"/>
                    </w:rPr>
                    <w:t>四十九、卫生84</w:t>
                  </w:r>
                </w:p>
              </w:tc>
            </w:tr>
            <w:tr w14:paraId="4B06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dxa"/>
                  <w:noWrap w:val="0"/>
                  <w:vAlign w:val="center"/>
                </w:tcPr>
                <w:p w14:paraId="5A04269F">
                  <w:pPr>
                    <w:pStyle w:val="32"/>
                    <w:bidi w:val="0"/>
                    <w:rPr>
                      <w:rFonts w:hint="default"/>
                      <w:lang w:val="en-US" w:eastAsia="zh-CN"/>
                    </w:rPr>
                  </w:pPr>
                  <w:r>
                    <w:rPr>
                      <w:rFonts w:hint="eastAsia"/>
                      <w:lang w:val="en-US" w:eastAsia="zh-CN"/>
                    </w:rPr>
                    <w:t>107</w:t>
                  </w:r>
                </w:p>
              </w:tc>
              <w:tc>
                <w:tcPr>
                  <w:tcW w:w="939" w:type="dxa"/>
                  <w:noWrap w:val="0"/>
                  <w:vAlign w:val="center"/>
                </w:tcPr>
                <w:p w14:paraId="51D625E1">
                  <w:pPr>
                    <w:pStyle w:val="32"/>
                    <w:bidi w:val="0"/>
                    <w:rPr>
                      <w:rFonts w:hint="default"/>
                      <w:lang w:val="en-US" w:eastAsia="zh-CN"/>
                    </w:rPr>
                  </w:pPr>
                  <w:r>
                    <w:rPr>
                      <w:rFonts w:hint="default"/>
                      <w:lang w:val="en-US" w:eastAsia="zh-CN"/>
                    </w:rPr>
                    <w:t>医院 841，专业公共卫生服务 843</w:t>
                  </w:r>
                </w:p>
              </w:tc>
              <w:tc>
                <w:tcPr>
                  <w:tcW w:w="1763" w:type="dxa"/>
                  <w:noWrap w:val="0"/>
                  <w:vAlign w:val="center"/>
                </w:tcPr>
                <w:p w14:paraId="43739900">
                  <w:pPr>
                    <w:pStyle w:val="32"/>
                    <w:bidi w:val="0"/>
                    <w:rPr>
                      <w:rFonts w:hint="eastAsia"/>
                    </w:rPr>
                  </w:pPr>
                  <w:r>
                    <w:rPr>
                      <w:rFonts w:hint="eastAsia"/>
                    </w:rPr>
                    <w:t>床位 500 张及以上的(不含专科医院 8415 中的精神病、康复和运动康复医院以及疗养院 8416)</w:t>
                  </w:r>
                </w:p>
              </w:tc>
              <w:tc>
                <w:tcPr>
                  <w:tcW w:w="2553" w:type="dxa"/>
                  <w:shd w:val="clear" w:color="auto" w:fill="D7D7D7" w:themeFill="background1" w:themeFillShade="D8"/>
                  <w:noWrap w:val="0"/>
                  <w:vAlign w:val="center"/>
                </w:tcPr>
                <w:p w14:paraId="1A9DD8A3">
                  <w:pPr>
                    <w:pStyle w:val="32"/>
                    <w:bidi w:val="0"/>
                    <w:rPr>
                      <w:rFonts w:hint="eastAsia"/>
                    </w:rPr>
                  </w:pPr>
                  <w:r>
                    <w:rPr>
                      <w:rFonts w:hint="eastAsia"/>
                    </w:rPr>
                    <w:t>床位 100 张及以上的专科医院8415(精神病、康复和运动康复医院)以及疗养院 8416，床位100 张及以上 500 张以下的综合医院 8411、中医医院 8412、中西医结合医院 8413、民族医院8414、专科医院 8415(不含精神病、康复和运动康复医院)</w:t>
                  </w:r>
                </w:p>
              </w:tc>
              <w:tc>
                <w:tcPr>
                  <w:tcW w:w="1624" w:type="dxa"/>
                  <w:shd w:val="clear" w:color="auto" w:fill="FFFFFF" w:themeFill="background1"/>
                  <w:noWrap w:val="0"/>
                  <w:vAlign w:val="center"/>
                </w:tcPr>
                <w:p w14:paraId="0629059F">
                  <w:pPr>
                    <w:pStyle w:val="32"/>
                    <w:bidi w:val="0"/>
                    <w:rPr>
                      <w:rFonts w:hint="eastAsia"/>
                    </w:rPr>
                  </w:pPr>
                  <w:r>
                    <w:rPr>
                      <w:rFonts w:hint="eastAsia"/>
                      <w:lang w:val="en-US" w:eastAsia="zh-CN"/>
                    </w:rPr>
                    <w:t>疾病预防控制中心 8431，床位 100张以下的综合医院 8411、中医医院 8412、中西医结合医院 8413、民族医院 8414、专科医院 8415、宁养院 8416</w:t>
                  </w:r>
                </w:p>
              </w:tc>
              <w:tc>
                <w:tcPr>
                  <w:tcW w:w="1190" w:type="dxa"/>
                  <w:shd w:val="clear" w:color="auto" w:fill="auto"/>
                  <w:noWrap w:val="0"/>
                  <w:vAlign w:val="center"/>
                </w:tcPr>
                <w:p w14:paraId="7D1CC8D7">
                  <w:pPr>
                    <w:pStyle w:val="32"/>
                    <w:bidi w:val="0"/>
                    <w:rPr>
                      <w:rFonts w:hint="default"/>
                      <w:lang w:val="en-US" w:eastAsia="zh-CN"/>
                    </w:rPr>
                  </w:pPr>
                  <w:r>
                    <w:rPr>
                      <w:rFonts w:hint="eastAsia"/>
                      <w:lang w:val="en-US" w:eastAsia="zh-CN"/>
                    </w:rPr>
                    <w:t>本项目为精神病专科医院，床位数为270张</w:t>
                  </w:r>
                </w:p>
              </w:tc>
            </w:tr>
          </w:tbl>
          <w:p w14:paraId="7FA2CECB">
            <w:pPr>
              <w:rPr>
                <w:rFonts w:hint="default" w:eastAsia="宋体"/>
                <w:color w:val="auto"/>
                <w:lang w:val="en-US" w:eastAsia="zh-CN"/>
              </w:rPr>
            </w:pPr>
            <w:r>
              <w:rPr>
                <w:rFonts w:hint="eastAsia"/>
                <w:color w:val="auto"/>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w:t>
            </w:r>
            <w:r>
              <w:rPr>
                <w:rFonts w:hint="eastAsia"/>
                <w:color w:val="auto"/>
                <w:lang w:eastAsia="zh-CN"/>
              </w:rPr>
              <w:t>“</w:t>
            </w:r>
            <w:r>
              <w:rPr>
                <w:rFonts w:hint="eastAsia"/>
                <w:color w:val="auto"/>
              </w:rPr>
              <w:t>建设项目环境影响评价与排污许可联动内容</w:t>
            </w:r>
            <w:r>
              <w:rPr>
                <w:rFonts w:hint="eastAsia"/>
                <w:color w:val="auto"/>
                <w:lang w:eastAsia="zh-CN"/>
              </w:rPr>
              <w:t>”</w:t>
            </w:r>
            <w:r>
              <w:rPr>
                <w:rFonts w:hint="eastAsia"/>
                <w:color w:val="auto"/>
              </w:rPr>
              <w:t>和《建设项目排污许可申请与填发信息表》。</w:t>
            </w:r>
            <w:r>
              <w:rPr>
                <w:rFonts w:hint="eastAsia" w:ascii="Times New Roman" w:hAnsi="Times New Roman" w:eastAsia="宋体" w:cs="Times New Roman"/>
                <w:color w:val="auto"/>
                <w:sz w:val="24"/>
                <w:highlight w:val="none"/>
              </w:rPr>
              <w:t>建设项目排污许可申请与填报信息表</w:t>
            </w:r>
            <w:r>
              <w:rPr>
                <w:rFonts w:hint="eastAsia"/>
                <w:color w:val="auto"/>
                <w:lang w:val="en-US" w:eastAsia="zh-CN"/>
              </w:rPr>
              <w:t>见附件9。</w:t>
            </w:r>
          </w:p>
          <w:p w14:paraId="0437590E">
            <w:pPr>
              <w:wordWrap/>
              <w:ind w:firstLine="480"/>
              <w:rPr>
                <w:color w:val="auto"/>
              </w:rPr>
            </w:pPr>
            <w:r>
              <w:rPr>
                <w:rFonts w:hint="eastAsia"/>
                <w:color w:val="auto"/>
              </w:rPr>
              <w:t>受</w:t>
            </w:r>
            <w:r>
              <w:rPr>
                <w:rFonts w:hint="eastAsia"/>
                <w:color w:val="auto"/>
                <w:lang w:eastAsia="zh-CN"/>
              </w:rPr>
              <w:t>淮南市精神病医院（淮南市第四人民医</w:t>
            </w:r>
            <w:bookmarkStart w:id="12" w:name="_GoBack"/>
            <w:bookmarkEnd w:id="12"/>
            <w:r>
              <w:rPr>
                <w:rFonts w:hint="eastAsia"/>
                <w:color w:val="auto"/>
                <w:lang w:eastAsia="zh-CN"/>
              </w:rPr>
              <w:t>院）</w:t>
            </w:r>
            <w:r>
              <w:rPr>
                <w:rFonts w:hint="eastAsia"/>
                <w:color w:val="auto"/>
              </w:rPr>
              <w:t>委托，安徽环晟环保科技有限公司承担本项目的环境影响评价工作。我单位通过现场踏勘调查、资料收集，并依据《建设项目环境影响报告表编制技术指南》（污染影响类）的要求编制了本项目的环境影响报告表，报请生态环境主管部门审批。</w:t>
            </w:r>
          </w:p>
          <w:p w14:paraId="42153008">
            <w:pPr>
              <w:ind w:firstLine="482"/>
              <w:rPr>
                <w:b/>
                <w:bCs/>
                <w:color w:val="auto"/>
              </w:rPr>
            </w:pPr>
            <w:r>
              <w:rPr>
                <w:rFonts w:hint="eastAsia"/>
                <w:b/>
                <w:bCs/>
                <w:color w:val="auto"/>
              </w:rPr>
              <w:t>2、项目主要</w:t>
            </w:r>
            <w:r>
              <w:rPr>
                <w:b/>
                <w:bCs/>
                <w:color w:val="auto"/>
              </w:rPr>
              <w:t>建设内容及规模</w:t>
            </w:r>
          </w:p>
          <w:p w14:paraId="66417678">
            <w:pPr>
              <w:bidi w:val="0"/>
              <w:rPr>
                <w:rFonts w:hint="default" w:ascii="Times New Roman" w:hAnsi="Times New Roman" w:cs="Times New Roman"/>
                <w:color w:val="auto"/>
                <w:sz w:val="24"/>
                <w:highlight w:val="none"/>
              </w:rPr>
            </w:pPr>
            <w:r>
              <w:rPr>
                <w:rFonts w:hint="default" w:ascii="Times New Roman" w:hAnsi="Times New Roman" w:cs="Times New Roman"/>
                <w:color w:val="auto"/>
                <w:sz w:val="24"/>
              </w:rPr>
              <w:t>项目选址于淮南市</w:t>
            </w:r>
            <w:r>
              <w:rPr>
                <w:rFonts w:hint="eastAsia" w:cs="Times New Roman"/>
                <w:color w:val="auto"/>
                <w:sz w:val="24"/>
                <w:lang w:val="en-US" w:eastAsia="zh-CN"/>
              </w:rPr>
              <w:t>高新技术开发区</w:t>
            </w:r>
            <w:r>
              <w:rPr>
                <w:rFonts w:hint="eastAsia" w:cs="Times New Roman"/>
                <w:color w:val="auto"/>
                <w:sz w:val="24"/>
                <w:lang w:eastAsia="zh-CN"/>
              </w:rPr>
              <w:t>。</w:t>
            </w:r>
            <w:r>
              <w:rPr>
                <w:rFonts w:hint="default" w:ascii="Times New Roman" w:hAnsi="Times New Roman" w:cs="Times New Roman"/>
                <w:color w:val="auto"/>
                <w:sz w:val="24"/>
              </w:rPr>
              <w:t>项目总建筑面积13453.01平方米</w:t>
            </w:r>
            <w:r>
              <w:rPr>
                <w:rFonts w:hint="eastAsia"/>
              </w:rPr>
              <w:t>建成后共有床位</w:t>
            </w:r>
            <w:r>
              <w:rPr>
                <w:rFonts w:hint="eastAsia"/>
                <w:lang w:val="en-US" w:eastAsia="zh-CN"/>
              </w:rPr>
              <w:t>270</w:t>
            </w:r>
            <w:r>
              <w:rPr>
                <w:rFonts w:hint="eastAsia"/>
              </w:rPr>
              <w:t>张，购买彩色超声波诊断仪、脑电地形图诊断仪、检验设备，另外建设污水处理站一座，建设面积120</w:t>
            </w:r>
            <w:r>
              <w:rPr>
                <w:rFonts w:hint="eastAsia"/>
                <w:lang w:val="en-US" w:eastAsia="zh-CN"/>
              </w:rPr>
              <w:t>平方米，项目购置污水处理设备</w:t>
            </w:r>
            <w:r>
              <w:rPr>
                <w:rFonts w:hint="eastAsia"/>
              </w:rPr>
              <w:t>一套</w:t>
            </w:r>
            <w:r>
              <w:rPr>
                <w:rFonts w:hint="eastAsia"/>
                <w:lang w:eastAsia="zh-CN"/>
              </w:rPr>
              <w:t>、</w:t>
            </w:r>
            <w:r>
              <w:rPr>
                <w:rFonts w:hint="eastAsia"/>
              </w:rPr>
              <w:t>自动监测设备(COD机、余氯计、流量</w:t>
            </w:r>
            <w:r>
              <w:rPr>
                <w:rFonts w:hint="eastAsia"/>
                <w:lang w:val="en-US" w:eastAsia="zh-CN"/>
              </w:rPr>
              <w:t>计</w:t>
            </w:r>
            <w:r>
              <w:rPr>
                <w:rFonts w:hint="eastAsia"/>
                <w:lang w:eastAsia="zh-CN"/>
              </w:rPr>
              <w:t>、</w:t>
            </w:r>
            <w:r>
              <w:rPr>
                <w:rFonts w:hint="eastAsia"/>
              </w:rPr>
              <w:t>采样器)，站房等</w:t>
            </w:r>
            <w:r>
              <w:rPr>
                <w:rFonts w:hint="default" w:ascii="Times New Roman" w:hAnsi="Times New Roman" w:cs="Times New Roman"/>
                <w:color w:val="auto"/>
                <w:sz w:val="24"/>
              </w:rPr>
              <w:t>。</w:t>
            </w:r>
          </w:p>
          <w:bookmarkEnd w:id="3"/>
          <w:p w14:paraId="32049115">
            <w:pPr>
              <w:numPr>
                <w:ilvl w:val="0"/>
                <w:numId w:val="2"/>
              </w:numPr>
              <w:ind w:left="-564" w:leftChars="0" w:firstLine="480" w:firstLineChars="0"/>
              <w:rPr>
                <w:color w:val="auto"/>
                <w:lang w:val="en-US" w:eastAsia="zh-CN"/>
              </w:rPr>
            </w:pPr>
            <w:r>
              <w:rPr>
                <w:rFonts w:hint="eastAsia"/>
                <w:b/>
                <w:bCs/>
                <w:color w:val="auto"/>
                <w:highlight w:val="none"/>
              </w:rPr>
              <w:t>项目主要建设内容及规模见下表：</w:t>
            </w:r>
          </w:p>
        </w:tc>
      </w:tr>
    </w:tbl>
    <w:p w14:paraId="3061A10A">
      <w:pPr>
        <w:ind w:firstLine="0" w:firstLineChars="0"/>
        <w:jc w:val="center"/>
        <w:rPr>
          <w:rFonts w:ascii="宋体"/>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737" w:footer="850" w:gutter="0"/>
          <w:pgNumType w:fmt="decimal" w:start="1"/>
          <w:cols w:space="720" w:num="1"/>
          <w:docGrid w:type="lines"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3612"/>
      </w:tblGrid>
      <w:tr w14:paraId="06B3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0" w:hRule="atLeast"/>
          <w:jc w:val="center"/>
        </w:trPr>
        <w:tc>
          <w:tcPr>
            <w:tcW w:w="608" w:type="dxa"/>
            <w:vAlign w:val="center"/>
          </w:tcPr>
          <w:p w14:paraId="34943B6D">
            <w:pPr>
              <w:bidi w:val="0"/>
              <w:ind w:left="0" w:leftChars="0" w:firstLine="0" w:firstLineChars="0"/>
              <w:jc w:val="center"/>
              <w:rPr>
                <w:rFonts w:hint="eastAsia"/>
              </w:rPr>
            </w:pPr>
            <w:r>
              <w:rPr>
                <w:rFonts w:hint="eastAsia"/>
              </w:rPr>
              <w:t>建</w:t>
            </w:r>
          </w:p>
          <w:p w14:paraId="6C600C39">
            <w:pPr>
              <w:bidi w:val="0"/>
              <w:ind w:left="0" w:leftChars="0" w:firstLine="0" w:firstLineChars="0"/>
              <w:jc w:val="center"/>
              <w:rPr>
                <w:rFonts w:hint="eastAsia"/>
              </w:rPr>
            </w:pPr>
          </w:p>
          <w:p w14:paraId="0F396E6C">
            <w:pPr>
              <w:bidi w:val="0"/>
              <w:ind w:left="0" w:leftChars="0" w:firstLine="0" w:firstLineChars="0"/>
              <w:jc w:val="center"/>
              <w:rPr>
                <w:rFonts w:hint="eastAsia"/>
              </w:rPr>
            </w:pPr>
            <w:r>
              <w:rPr>
                <w:rFonts w:hint="eastAsia"/>
              </w:rPr>
              <w:t>设</w:t>
            </w:r>
          </w:p>
          <w:p w14:paraId="0E0E1521">
            <w:pPr>
              <w:pStyle w:val="7"/>
              <w:jc w:val="center"/>
              <w:outlineLvl w:val="9"/>
              <w:rPr>
                <w:rFonts w:hint="eastAsia"/>
              </w:rPr>
            </w:pPr>
          </w:p>
          <w:p w14:paraId="6ED9A4E6">
            <w:pPr>
              <w:bidi w:val="0"/>
              <w:ind w:left="0" w:leftChars="0" w:firstLine="0" w:firstLineChars="0"/>
              <w:jc w:val="center"/>
              <w:rPr>
                <w:rFonts w:hint="eastAsia"/>
              </w:rPr>
            </w:pPr>
            <w:r>
              <w:rPr>
                <w:rFonts w:hint="eastAsia"/>
              </w:rPr>
              <w:t>内</w:t>
            </w:r>
          </w:p>
          <w:p w14:paraId="4F6D8621">
            <w:pPr>
              <w:pStyle w:val="7"/>
              <w:jc w:val="center"/>
              <w:outlineLvl w:val="9"/>
              <w:rPr>
                <w:rFonts w:hint="eastAsia"/>
                <w:lang w:eastAsia="zh-CN"/>
              </w:rPr>
            </w:pPr>
          </w:p>
          <w:p w14:paraId="457F33E8">
            <w:pPr>
              <w:bidi w:val="0"/>
              <w:ind w:left="0" w:leftChars="0" w:firstLine="0" w:firstLineChars="0"/>
              <w:jc w:val="center"/>
              <w:rPr>
                <w:vertAlign w:val="baseline"/>
              </w:rPr>
            </w:pPr>
            <w:r>
              <w:rPr>
                <w:rFonts w:hint="eastAsia"/>
              </w:rPr>
              <w:t>容</w:t>
            </w:r>
          </w:p>
        </w:tc>
        <w:tc>
          <w:tcPr>
            <w:tcW w:w="13612" w:type="dxa"/>
            <w:vAlign w:val="center"/>
          </w:tcPr>
          <w:p w14:paraId="448EFCAC">
            <w:pPr>
              <w:pStyle w:val="27"/>
              <w:bidi w:val="0"/>
            </w:pPr>
            <w:r>
              <w:t>表2-</w:t>
            </w:r>
            <w:r>
              <w:rPr>
                <w:rFonts w:hint="eastAsia"/>
                <w:lang w:val="en-US" w:eastAsia="zh-CN"/>
              </w:rPr>
              <w:t>3</w:t>
            </w:r>
            <w:r>
              <w:t xml:space="preserve"> </w:t>
            </w:r>
            <w:r>
              <w:rPr>
                <w:rFonts w:hint="eastAsia"/>
                <w:lang w:val="en-US" w:eastAsia="zh-CN"/>
              </w:rPr>
              <w:t xml:space="preserve"> </w:t>
            </w:r>
            <w:r>
              <w:rPr>
                <w:rFonts w:hint="eastAsia"/>
              </w:rPr>
              <w:t>项目主要建设内容及规模</w:t>
            </w:r>
            <w:r>
              <w:t>组成一览表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96"/>
              <w:gridCol w:w="1251"/>
              <w:gridCol w:w="10694"/>
              <w:gridCol w:w="545"/>
            </w:tblGrid>
            <w:tr w14:paraId="100B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noWrap w:val="0"/>
                  <w:vAlign w:val="center"/>
                </w:tcPr>
                <w:p w14:paraId="01C21C75">
                  <w:pPr>
                    <w:pStyle w:val="32"/>
                    <w:bidi w:val="0"/>
                    <w:rPr>
                      <w:rFonts w:hint="default"/>
                      <w:b/>
                      <w:bCs/>
                    </w:rPr>
                  </w:pPr>
                  <w:r>
                    <w:rPr>
                      <w:rFonts w:hint="default"/>
                      <w:b/>
                      <w:bCs/>
                    </w:rPr>
                    <w:t>工程类别</w:t>
                  </w:r>
                </w:p>
              </w:tc>
              <w:tc>
                <w:tcPr>
                  <w:tcW w:w="1251" w:type="dxa"/>
                  <w:tcBorders>
                    <w:tl2br w:val="nil"/>
                    <w:tr2bl w:val="nil"/>
                  </w:tcBorders>
                  <w:noWrap w:val="0"/>
                  <w:vAlign w:val="center"/>
                </w:tcPr>
                <w:p w14:paraId="368A4D20">
                  <w:pPr>
                    <w:pStyle w:val="32"/>
                    <w:bidi w:val="0"/>
                    <w:rPr>
                      <w:rFonts w:hint="default"/>
                      <w:b/>
                      <w:bCs/>
                    </w:rPr>
                  </w:pPr>
                  <w:r>
                    <w:rPr>
                      <w:rFonts w:hint="default"/>
                      <w:b/>
                      <w:bCs/>
                    </w:rPr>
                    <w:t>工程名称</w:t>
                  </w:r>
                </w:p>
              </w:tc>
              <w:tc>
                <w:tcPr>
                  <w:tcW w:w="10694" w:type="dxa"/>
                  <w:tcBorders>
                    <w:tl2br w:val="nil"/>
                    <w:tr2bl w:val="nil"/>
                  </w:tcBorders>
                  <w:noWrap w:val="0"/>
                  <w:vAlign w:val="center"/>
                </w:tcPr>
                <w:p w14:paraId="4F37ED10">
                  <w:pPr>
                    <w:pStyle w:val="32"/>
                    <w:bidi w:val="0"/>
                    <w:rPr>
                      <w:rFonts w:hint="default"/>
                      <w:b/>
                      <w:bCs/>
                      <w:lang w:val="en-US" w:eastAsia="zh-CN"/>
                    </w:rPr>
                  </w:pPr>
                  <w:r>
                    <w:rPr>
                      <w:rFonts w:hint="eastAsia"/>
                      <w:b/>
                      <w:bCs/>
                      <w:lang w:val="en-US" w:eastAsia="zh-CN"/>
                    </w:rPr>
                    <w:t>工程建设内容</w:t>
                  </w:r>
                </w:p>
              </w:tc>
              <w:tc>
                <w:tcPr>
                  <w:tcW w:w="545" w:type="dxa"/>
                  <w:tcBorders>
                    <w:tl2br w:val="nil"/>
                    <w:tr2bl w:val="nil"/>
                  </w:tcBorders>
                  <w:noWrap w:val="0"/>
                  <w:vAlign w:val="center"/>
                </w:tcPr>
                <w:p w14:paraId="4CCF7F87">
                  <w:pPr>
                    <w:pStyle w:val="32"/>
                    <w:bidi w:val="0"/>
                    <w:rPr>
                      <w:rFonts w:hint="default"/>
                      <w:b/>
                      <w:bCs/>
                      <w:lang w:val="en-US" w:eastAsia="zh-CN"/>
                    </w:rPr>
                  </w:pPr>
                  <w:r>
                    <w:rPr>
                      <w:rFonts w:hint="eastAsia"/>
                      <w:b/>
                      <w:bCs/>
                      <w:lang w:val="en-US" w:eastAsia="zh-CN"/>
                    </w:rPr>
                    <w:t>备注</w:t>
                  </w:r>
                </w:p>
              </w:tc>
            </w:tr>
            <w:tr w14:paraId="27E2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tcBorders>
                    <w:tl2br w:val="nil"/>
                    <w:tr2bl w:val="nil"/>
                  </w:tcBorders>
                  <w:noWrap w:val="0"/>
                  <w:vAlign w:val="center"/>
                </w:tcPr>
                <w:p w14:paraId="1C7D1B01">
                  <w:pPr>
                    <w:pStyle w:val="32"/>
                    <w:bidi w:val="0"/>
                    <w:rPr>
                      <w:rFonts w:hint="eastAsia"/>
                      <w:lang w:eastAsia="zh-CN"/>
                    </w:rPr>
                  </w:pPr>
                  <w:r>
                    <w:rPr>
                      <w:rFonts w:hint="eastAsia"/>
                      <w:lang w:eastAsia="zh-CN"/>
                    </w:rPr>
                    <w:t>主体工程</w:t>
                  </w:r>
                </w:p>
              </w:tc>
              <w:tc>
                <w:tcPr>
                  <w:tcW w:w="1251" w:type="dxa"/>
                  <w:tcBorders>
                    <w:tl2br w:val="nil"/>
                    <w:tr2bl w:val="nil"/>
                  </w:tcBorders>
                  <w:noWrap w:val="0"/>
                  <w:vAlign w:val="center"/>
                </w:tcPr>
                <w:p w14:paraId="463D12F5">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精神卫生福利中心主楼</w:t>
                  </w:r>
                </w:p>
              </w:tc>
              <w:tc>
                <w:tcPr>
                  <w:tcW w:w="10694" w:type="dxa"/>
                  <w:tcBorders>
                    <w:tl2br w:val="nil"/>
                    <w:tr2bl w:val="nil"/>
                  </w:tcBorders>
                  <w:noWrap w:val="0"/>
                  <w:vAlign w:val="center"/>
                </w:tcPr>
                <w:p w14:paraId="2221ED4A">
                  <w:pPr>
                    <w:pStyle w:val="32"/>
                    <w:bidi w:val="0"/>
                    <w:rPr>
                      <w:rFonts w:hint="default"/>
                      <w:highlight w:val="yellow"/>
                      <w:lang w:val="en-US" w:eastAsia="zh-CN"/>
                    </w:rPr>
                  </w:pPr>
                  <w:r>
                    <w:rPr>
                      <w:rFonts w:hint="eastAsia"/>
                      <w:highlight w:val="none"/>
                      <w:lang w:val="en-US" w:eastAsia="zh-CN"/>
                    </w:rPr>
                    <w:t>6层，建筑面积为13453.01㎡。1层、4层、5层为康养中心病床区，2层、2层为精神病病床区。一层：体检室、药房、厨房、餐厅、食品库、护理间、办公室、档案室、护理站、卫生间、污洗间、淋浴间、盥洗室；二层：护理间、餐厅、办公室、活动区、污洗间、淋浴间、盥洗室、工疗室、体疗室、康复室、卫生间；三层：护理间、餐厅、办公室、活动区、卫生间、污洗间、淋浴间、盥洗室、图书室、音乐厅、多功能室、社会工作室、院长室、财务室、会议室；四层：护理间、餐厅、办公室、活动区、卫生间、污洗间、淋浴间、盥洗室；五层：护理间、餐厅、办公室、活动区、卫生间、污洗间、淋浴间、盥洗室，地下一层：机动车库及设备消防泵房</w:t>
                  </w:r>
                </w:p>
              </w:tc>
              <w:tc>
                <w:tcPr>
                  <w:tcW w:w="545" w:type="dxa"/>
                  <w:tcBorders>
                    <w:tl2br w:val="nil"/>
                    <w:tr2bl w:val="nil"/>
                  </w:tcBorders>
                  <w:noWrap w:val="0"/>
                  <w:vAlign w:val="center"/>
                </w:tcPr>
                <w:p w14:paraId="06B8B31F">
                  <w:pPr>
                    <w:pStyle w:val="32"/>
                    <w:bidi w:val="0"/>
                    <w:rPr>
                      <w:rFonts w:hint="default"/>
                      <w:lang w:val="en-US" w:eastAsia="zh-CN"/>
                    </w:rPr>
                  </w:pPr>
                  <w:r>
                    <w:rPr>
                      <w:rFonts w:hint="eastAsia"/>
                      <w:lang w:val="en-US" w:eastAsia="zh-CN"/>
                    </w:rPr>
                    <w:t>主楼已建</w:t>
                  </w:r>
                </w:p>
              </w:tc>
            </w:tr>
            <w:tr w14:paraId="542C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restart"/>
                  <w:tcBorders>
                    <w:tl2br w:val="nil"/>
                    <w:tr2bl w:val="nil"/>
                  </w:tcBorders>
                  <w:noWrap w:val="0"/>
                  <w:vAlign w:val="center"/>
                </w:tcPr>
                <w:p w14:paraId="3B3E852B">
                  <w:pPr>
                    <w:pStyle w:val="32"/>
                    <w:bidi w:val="0"/>
                    <w:rPr>
                      <w:rFonts w:hint="default"/>
                    </w:rPr>
                  </w:pPr>
                  <w:r>
                    <w:rPr>
                      <w:rFonts w:hint="default"/>
                    </w:rPr>
                    <w:t>辅助工程</w:t>
                  </w:r>
                </w:p>
              </w:tc>
              <w:tc>
                <w:tcPr>
                  <w:tcW w:w="1251" w:type="dxa"/>
                  <w:tcBorders>
                    <w:tl2br w:val="nil"/>
                    <w:tr2bl w:val="nil"/>
                  </w:tcBorders>
                  <w:noWrap w:val="0"/>
                  <w:vAlign w:val="center"/>
                </w:tcPr>
                <w:p w14:paraId="7E1B8EEB">
                  <w:pPr>
                    <w:pStyle w:val="32"/>
                    <w:bidi w:val="0"/>
                    <w:rPr>
                      <w:rFonts w:hint="default"/>
                      <w:lang w:val="en-US" w:eastAsia="zh-CN"/>
                    </w:rPr>
                  </w:pPr>
                  <w:r>
                    <w:rPr>
                      <w:rFonts w:hint="eastAsia"/>
                      <w:lang w:val="en-US" w:eastAsia="zh-CN"/>
                    </w:rPr>
                    <w:t>污水处理站</w:t>
                  </w:r>
                </w:p>
              </w:tc>
              <w:tc>
                <w:tcPr>
                  <w:tcW w:w="10694" w:type="dxa"/>
                  <w:tcBorders>
                    <w:tl2br w:val="nil"/>
                    <w:tr2bl w:val="nil"/>
                  </w:tcBorders>
                  <w:noWrap w:val="0"/>
                  <w:vAlign w:val="center"/>
                </w:tcPr>
                <w:p w14:paraId="1A58D9B7">
                  <w:pPr>
                    <w:pStyle w:val="32"/>
                    <w:bidi w:val="0"/>
                    <w:rPr>
                      <w:rFonts w:hint="default"/>
                      <w:lang w:val="en-US" w:eastAsia="zh-CN"/>
                    </w:rPr>
                  </w:pPr>
                  <w:r>
                    <w:rPr>
                      <w:rFonts w:hint="eastAsia"/>
                      <w:lang w:val="en-US" w:eastAsia="zh-CN"/>
                    </w:rPr>
                    <w:t>位于主楼</w:t>
                  </w:r>
                  <w:r>
                    <w:rPr>
                      <w:rFonts w:hint="eastAsia"/>
                      <w:highlight w:val="none"/>
                      <w:lang w:val="en-US" w:eastAsia="zh-CN"/>
                    </w:rPr>
                    <w:t>南侧，占地面积约120平方米。污水处理站日处理能力为100m³/d，采用“</w:t>
                  </w:r>
                  <w:r>
                    <w:rPr>
                      <w:rFonts w:hint="eastAsia"/>
                      <w:lang w:val="en-US" w:eastAsia="zh-CN"/>
                    </w:rPr>
                    <w:t>格栅十调节+水解酸化+缺氧+生物接触氧化十沉淀十消毒”工艺</w:t>
                  </w:r>
                </w:p>
              </w:tc>
              <w:tc>
                <w:tcPr>
                  <w:tcW w:w="545" w:type="dxa"/>
                  <w:tcBorders>
                    <w:tl2br w:val="nil"/>
                    <w:tr2bl w:val="nil"/>
                  </w:tcBorders>
                  <w:noWrap w:val="0"/>
                  <w:vAlign w:val="center"/>
                </w:tcPr>
                <w:p w14:paraId="32C2C26D">
                  <w:pPr>
                    <w:pStyle w:val="32"/>
                    <w:bidi w:val="0"/>
                    <w:rPr>
                      <w:rFonts w:hint="default"/>
                      <w:lang w:val="en-US" w:eastAsia="zh-CN"/>
                    </w:rPr>
                  </w:pPr>
                  <w:r>
                    <w:rPr>
                      <w:rFonts w:hint="eastAsia"/>
                      <w:lang w:val="en-US" w:eastAsia="zh-CN"/>
                    </w:rPr>
                    <w:t>/</w:t>
                  </w:r>
                </w:p>
              </w:tc>
            </w:tr>
            <w:tr w14:paraId="6FAF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0643B828">
                  <w:pPr>
                    <w:pStyle w:val="32"/>
                    <w:bidi w:val="0"/>
                    <w:rPr>
                      <w:rFonts w:hint="default"/>
                    </w:rPr>
                  </w:pPr>
                </w:p>
              </w:tc>
              <w:tc>
                <w:tcPr>
                  <w:tcW w:w="1251" w:type="dxa"/>
                  <w:tcBorders>
                    <w:tl2br w:val="nil"/>
                    <w:tr2bl w:val="nil"/>
                  </w:tcBorders>
                  <w:noWrap w:val="0"/>
                  <w:vAlign w:val="center"/>
                </w:tcPr>
                <w:p w14:paraId="2518C9E0">
                  <w:pPr>
                    <w:pStyle w:val="32"/>
                    <w:bidi w:val="0"/>
                    <w:rPr>
                      <w:rFonts w:hint="default"/>
                      <w:lang w:val="en-US" w:eastAsia="zh-CN"/>
                    </w:rPr>
                  </w:pPr>
                  <w:r>
                    <w:rPr>
                      <w:rFonts w:hint="eastAsia"/>
                      <w:lang w:val="en-US" w:eastAsia="zh-CN"/>
                    </w:rPr>
                    <w:t>风机房</w:t>
                  </w:r>
                </w:p>
              </w:tc>
              <w:tc>
                <w:tcPr>
                  <w:tcW w:w="10694" w:type="dxa"/>
                  <w:tcBorders>
                    <w:tl2br w:val="nil"/>
                    <w:tr2bl w:val="nil"/>
                  </w:tcBorders>
                  <w:noWrap w:val="0"/>
                  <w:vAlign w:val="center"/>
                </w:tcPr>
                <w:p w14:paraId="795F3DB5">
                  <w:pPr>
                    <w:pStyle w:val="32"/>
                    <w:bidi w:val="0"/>
                    <w:rPr>
                      <w:rFonts w:hint="default"/>
                      <w:lang w:val="en-US" w:eastAsia="zh-CN"/>
                    </w:rPr>
                  </w:pPr>
                  <w:r>
                    <w:rPr>
                      <w:rFonts w:hint="eastAsia"/>
                      <w:lang w:val="en-US" w:eastAsia="zh-CN"/>
                    </w:rPr>
                    <w:t>位于主楼负一层中部及二层南部，建筑面积约25㎡</w:t>
                  </w:r>
                </w:p>
              </w:tc>
              <w:tc>
                <w:tcPr>
                  <w:tcW w:w="545" w:type="dxa"/>
                  <w:tcBorders>
                    <w:tl2br w:val="nil"/>
                    <w:tr2bl w:val="nil"/>
                  </w:tcBorders>
                  <w:noWrap w:val="0"/>
                  <w:vAlign w:val="center"/>
                </w:tcPr>
                <w:p w14:paraId="6D582894">
                  <w:pPr>
                    <w:pStyle w:val="32"/>
                    <w:bidi w:val="0"/>
                    <w:rPr>
                      <w:rFonts w:hint="eastAsia"/>
                      <w:lang w:val="en-US" w:eastAsia="zh-CN"/>
                    </w:rPr>
                  </w:pPr>
                </w:p>
              </w:tc>
            </w:tr>
            <w:tr w14:paraId="3B5D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896" w:type="dxa"/>
                  <w:vMerge w:val="continue"/>
                  <w:tcBorders>
                    <w:tl2br w:val="nil"/>
                    <w:tr2bl w:val="nil"/>
                  </w:tcBorders>
                  <w:noWrap w:val="0"/>
                  <w:vAlign w:val="center"/>
                </w:tcPr>
                <w:p w14:paraId="1C2FFB30">
                  <w:pPr>
                    <w:pStyle w:val="32"/>
                    <w:bidi w:val="0"/>
                    <w:rPr>
                      <w:rFonts w:hint="default"/>
                    </w:rPr>
                  </w:pPr>
                </w:p>
              </w:tc>
              <w:tc>
                <w:tcPr>
                  <w:tcW w:w="1251" w:type="dxa"/>
                  <w:tcBorders>
                    <w:tl2br w:val="nil"/>
                    <w:tr2bl w:val="nil"/>
                  </w:tcBorders>
                  <w:noWrap w:val="0"/>
                  <w:vAlign w:val="center"/>
                </w:tcPr>
                <w:p w14:paraId="2B935913">
                  <w:pPr>
                    <w:pStyle w:val="32"/>
                    <w:bidi w:val="0"/>
                    <w:rPr>
                      <w:rFonts w:hint="default"/>
                      <w:lang w:val="en-US" w:eastAsia="zh-CN"/>
                    </w:rPr>
                  </w:pPr>
                  <w:r>
                    <w:rPr>
                      <w:rFonts w:hint="eastAsia"/>
                      <w:lang w:val="en-US" w:eastAsia="zh-CN"/>
                    </w:rPr>
                    <w:t>设备用房</w:t>
                  </w:r>
                </w:p>
              </w:tc>
              <w:tc>
                <w:tcPr>
                  <w:tcW w:w="10694" w:type="dxa"/>
                  <w:tcBorders>
                    <w:tl2br w:val="nil"/>
                    <w:tr2bl w:val="nil"/>
                  </w:tcBorders>
                  <w:noWrap w:val="0"/>
                  <w:vAlign w:val="center"/>
                </w:tcPr>
                <w:p w14:paraId="7D2E24D9">
                  <w:pPr>
                    <w:pStyle w:val="32"/>
                    <w:bidi w:val="0"/>
                    <w:rPr>
                      <w:rFonts w:hint="default"/>
                      <w:lang w:val="en-US" w:eastAsia="zh-CN"/>
                    </w:rPr>
                  </w:pPr>
                  <w:r>
                    <w:rPr>
                      <w:rFonts w:hint="eastAsia"/>
                      <w:lang w:val="en-US" w:eastAsia="zh-CN"/>
                    </w:rPr>
                    <w:t>位于主楼地下一层，建</w:t>
                  </w:r>
                  <w:r>
                    <w:rPr>
                      <w:rFonts w:hint="eastAsia"/>
                      <w:highlight w:val="none"/>
                      <w:lang w:val="en-US" w:eastAsia="zh-CN"/>
                    </w:rPr>
                    <w:t>筑面积约80㎡</w:t>
                  </w:r>
                </w:p>
              </w:tc>
              <w:tc>
                <w:tcPr>
                  <w:tcW w:w="545" w:type="dxa"/>
                  <w:tcBorders>
                    <w:tl2br w:val="nil"/>
                    <w:tr2bl w:val="nil"/>
                  </w:tcBorders>
                  <w:noWrap w:val="0"/>
                  <w:vAlign w:val="center"/>
                </w:tcPr>
                <w:p w14:paraId="07503877">
                  <w:pPr>
                    <w:pStyle w:val="32"/>
                    <w:bidi w:val="0"/>
                    <w:rPr>
                      <w:rFonts w:hint="default"/>
                      <w:lang w:val="en-US" w:eastAsia="zh-CN"/>
                    </w:rPr>
                  </w:pPr>
                  <w:r>
                    <w:rPr>
                      <w:rFonts w:hint="eastAsia"/>
                      <w:lang w:val="en-US" w:eastAsia="zh-CN"/>
                    </w:rPr>
                    <w:t>/</w:t>
                  </w:r>
                </w:p>
              </w:tc>
            </w:tr>
            <w:tr w14:paraId="0028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896" w:type="dxa"/>
                  <w:vMerge w:val="continue"/>
                  <w:tcBorders>
                    <w:tl2br w:val="nil"/>
                    <w:tr2bl w:val="nil"/>
                  </w:tcBorders>
                  <w:noWrap w:val="0"/>
                  <w:vAlign w:val="center"/>
                </w:tcPr>
                <w:p w14:paraId="1CFF2262">
                  <w:pPr>
                    <w:pStyle w:val="32"/>
                    <w:bidi w:val="0"/>
                    <w:rPr>
                      <w:rFonts w:hint="default"/>
                    </w:rPr>
                  </w:pPr>
                </w:p>
              </w:tc>
              <w:tc>
                <w:tcPr>
                  <w:tcW w:w="1251" w:type="dxa"/>
                  <w:tcBorders>
                    <w:tl2br w:val="nil"/>
                    <w:tr2bl w:val="nil"/>
                  </w:tcBorders>
                  <w:noWrap w:val="0"/>
                  <w:vAlign w:val="center"/>
                </w:tcPr>
                <w:p w14:paraId="5FC95BF8">
                  <w:pPr>
                    <w:pStyle w:val="32"/>
                    <w:bidi w:val="0"/>
                    <w:rPr>
                      <w:rFonts w:hint="default"/>
                      <w:lang w:val="en-US" w:eastAsia="zh-CN"/>
                    </w:rPr>
                  </w:pPr>
                  <w:r>
                    <w:rPr>
                      <w:rFonts w:hint="eastAsia"/>
                      <w:lang w:val="en-US" w:eastAsia="zh-CN"/>
                    </w:rPr>
                    <w:t>消防水池</w:t>
                  </w:r>
                </w:p>
              </w:tc>
              <w:tc>
                <w:tcPr>
                  <w:tcW w:w="10694" w:type="dxa"/>
                  <w:tcBorders>
                    <w:tl2br w:val="nil"/>
                    <w:tr2bl w:val="nil"/>
                  </w:tcBorders>
                  <w:noWrap w:val="0"/>
                  <w:vAlign w:val="center"/>
                </w:tcPr>
                <w:p w14:paraId="37438A61">
                  <w:pPr>
                    <w:pStyle w:val="32"/>
                    <w:bidi w:val="0"/>
                    <w:rPr>
                      <w:rFonts w:hint="default"/>
                      <w:lang w:val="en-US" w:eastAsia="zh-CN"/>
                    </w:rPr>
                  </w:pPr>
                  <w:r>
                    <w:rPr>
                      <w:rFonts w:hint="eastAsia"/>
                      <w:lang w:val="en-US" w:eastAsia="zh-CN"/>
                    </w:rPr>
                    <w:t>位于主楼负一层，消防水池容积约1000m³</w:t>
                  </w:r>
                </w:p>
              </w:tc>
              <w:tc>
                <w:tcPr>
                  <w:tcW w:w="545" w:type="dxa"/>
                  <w:tcBorders>
                    <w:tl2br w:val="nil"/>
                    <w:tr2bl w:val="nil"/>
                  </w:tcBorders>
                  <w:noWrap w:val="0"/>
                  <w:vAlign w:val="center"/>
                </w:tcPr>
                <w:p w14:paraId="1847C9A7">
                  <w:pPr>
                    <w:pStyle w:val="32"/>
                    <w:bidi w:val="0"/>
                    <w:rPr>
                      <w:rFonts w:hint="default"/>
                      <w:lang w:val="en-US" w:eastAsia="zh-CN"/>
                    </w:rPr>
                  </w:pPr>
                  <w:r>
                    <w:rPr>
                      <w:rFonts w:hint="eastAsia"/>
                      <w:lang w:val="en-US" w:eastAsia="zh-CN"/>
                    </w:rPr>
                    <w:t>/</w:t>
                  </w:r>
                </w:p>
              </w:tc>
            </w:tr>
            <w:tr w14:paraId="5E8C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0B48106A">
                  <w:pPr>
                    <w:pStyle w:val="32"/>
                    <w:bidi w:val="0"/>
                    <w:rPr>
                      <w:rFonts w:hint="default"/>
                    </w:rPr>
                  </w:pPr>
                </w:p>
              </w:tc>
              <w:tc>
                <w:tcPr>
                  <w:tcW w:w="1251" w:type="dxa"/>
                  <w:tcBorders>
                    <w:tl2br w:val="nil"/>
                    <w:tr2bl w:val="nil"/>
                  </w:tcBorders>
                  <w:noWrap w:val="0"/>
                  <w:vAlign w:val="center"/>
                </w:tcPr>
                <w:p w14:paraId="1A95AF7C">
                  <w:pPr>
                    <w:pStyle w:val="32"/>
                    <w:bidi w:val="0"/>
                    <w:rPr>
                      <w:rFonts w:hint="default"/>
                      <w:lang w:val="en-US" w:eastAsia="zh-CN"/>
                    </w:rPr>
                  </w:pPr>
                  <w:r>
                    <w:rPr>
                      <w:rFonts w:hint="eastAsia"/>
                      <w:lang w:val="en-US" w:eastAsia="zh-CN"/>
                    </w:rPr>
                    <w:t>消防泵房</w:t>
                  </w:r>
                </w:p>
              </w:tc>
              <w:tc>
                <w:tcPr>
                  <w:tcW w:w="10694" w:type="dxa"/>
                  <w:tcBorders>
                    <w:tl2br w:val="nil"/>
                    <w:tr2bl w:val="nil"/>
                  </w:tcBorders>
                  <w:noWrap w:val="0"/>
                  <w:vAlign w:val="center"/>
                </w:tcPr>
                <w:p w14:paraId="1BE561B0">
                  <w:pPr>
                    <w:pStyle w:val="32"/>
                    <w:bidi w:val="0"/>
                    <w:rPr>
                      <w:rFonts w:hint="default"/>
                      <w:lang w:val="en-US" w:eastAsia="zh-CN"/>
                    </w:rPr>
                  </w:pPr>
                  <w:r>
                    <w:rPr>
                      <w:rFonts w:hint="eastAsia"/>
                      <w:lang w:val="en-US" w:eastAsia="zh-CN"/>
                    </w:rPr>
                    <w:t>位于主楼地下一层，建筑面积约80㎡</w:t>
                  </w:r>
                </w:p>
              </w:tc>
              <w:tc>
                <w:tcPr>
                  <w:tcW w:w="545" w:type="dxa"/>
                  <w:tcBorders>
                    <w:tl2br w:val="nil"/>
                    <w:tr2bl w:val="nil"/>
                  </w:tcBorders>
                  <w:noWrap w:val="0"/>
                  <w:vAlign w:val="center"/>
                </w:tcPr>
                <w:p w14:paraId="07040131">
                  <w:pPr>
                    <w:pStyle w:val="32"/>
                    <w:bidi w:val="0"/>
                    <w:rPr>
                      <w:rFonts w:hint="default"/>
                      <w:lang w:val="en-US" w:eastAsia="zh-CN"/>
                    </w:rPr>
                  </w:pPr>
                  <w:r>
                    <w:rPr>
                      <w:rFonts w:hint="eastAsia"/>
                      <w:lang w:val="en-US" w:eastAsia="zh-CN"/>
                    </w:rPr>
                    <w:t>/</w:t>
                  </w:r>
                </w:p>
              </w:tc>
            </w:tr>
            <w:tr w14:paraId="2475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9" w:hRule="atLeast"/>
                <w:jc w:val="center"/>
              </w:trPr>
              <w:tc>
                <w:tcPr>
                  <w:tcW w:w="896" w:type="dxa"/>
                  <w:vMerge w:val="restart"/>
                  <w:tcBorders>
                    <w:tl2br w:val="nil"/>
                    <w:tr2bl w:val="nil"/>
                  </w:tcBorders>
                  <w:noWrap w:val="0"/>
                  <w:vAlign w:val="center"/>
                </w:tcPr>
                <w:p w14:paraId="5B5D6906">
                  <w:pPr>
                    <w:pStyle w:val="32"/>
                    <w:bidi w:val="0"/>
                    <w:rPr>
                      <w:rFonts w:hint="default"/>
                    </w:rPr>
                  </w:pPr>
                  <w:r>
                    <w:rPr>
                      <w:rFonts w:hint="default"/>
                    </w:rPr>
                    <w:t>储运工程</w:t>
                  </w:r>
                </w:p>
              </w:tc>
              <w:tc>
                <w:tcPr>
                  <w:tcW w:w="1251" w:type="dxa"/>
                  <w:tcBorders>
                    <w:tl2br w:val="nil"/>
                    <w:tr2bl w:val="nil"/>
                  </w:tcBorders>
                  <w:noWrap w:val="0"/>
                  <w:vAlign w:val="center"/>
                </w:tcPr>
                <w:p w14:paraId="6E43F8AF">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医废暂存间</w:t>
                  </w:r>
                </w:p>
              </w:tc>
              <w:tc>
                <w:tcPr>
                  <w:tcW w:w="10694" w:type="dxa"/>
                  <w:tcBorders>
                    <w:tl2br w:val="nil"/>
                    <w:tr2bl w:val="nil"/>
                  </w:tcBorders>
                  <w:shd w:val="clear" w:color="auto" w:fill="auto"/>
                  <w:noWrap w:val="0"/>
                  <w:vAlign w:val="center"/>
                </w:tcPr>
                <w:p w14:paraId="4749C6E8">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highlight w:val="none"/>
                      <w:lang w:val="en-US" w:eastAsia="zh-CN" w:bidi="ar-SA"/>
                    </w:rPr>
                    <w:t>建筑面积约15㎡，位于主楼南侧</w:t>
                  </w:r>
                </w:p>
              </w:tc>
              <w:tc>
                <w:tcPr>
                  <w:tcW w:w="545" w:type="dxa"/>
                  <w:tcBorders>
                    <w:tl2br w:val="nil"/>
                    <w:tr2bl w:val="nil"/>
                  </w:tcBorders>
                  <w:noWrap w:val="0"/>
                  <w:vAlign w:val="center"/>
                </w:tcPr>
                <w:p w14:paraId="24AD53E6">
                  <w:pPr>
                    <w:pStyle w:val="32"/>
                    <w:bidi w:val="0"/>
                    <w:rPr>
                      <w:rFonts w:hint="default"/>
                      <w:lang w:val="en-US" w:eastAsia="zh-CN"/>
                    </w:rPr>
                  </w:pPr>
                  <w:r>
                    <w:rPr>
                      <w:rFonts w:hint="eastAsia"/>
                      <w:lang w:val="en-US" w:eastAsia="zh-CN"/>
                    </w:rPr>
                    <w:t>/</w:t>
                  </w:r>
                </w:p>
              </w:tc>
            </w:tr>
            <w:tr w14:paraId="4F38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70FEE5C0">
                  <w:pPr>
                    <w:pStyle w:val="32"/>
                    <w:bidi w:val="0"/>
                    <w:rPr>
                      <w:rFonts w:hint="default"/>
                    </w:rPr>
                  </w:pPr>
                </w:p>
              </w:tc>
              <w:tc>
                <w:tcPr>
                  <w:tcW w:w="1251" w:type="dxa"/>
                  <w:tcBorders>
                    <w:tl2br w:val="nil"/>
                    <w:tr2bl w:val="nil"/>
                  </w:tcBorders>
                  <w:shd w:val="clear" w:color="auto" w:fill="auto"/>
                  <w:noWrap w:val="0"/>
                  <w:vAlign w:val="center"/>
                </w:tcPr>
                <w:p w14:paraId="04B700CD">
                  <w:pPr>
                    <w:pStyle w:val="32"/>
                    <w:bidi w:val="0"/>
                    <w:rPr>
                      <w:rFonts w:hint="default"/>
                      <w:lang w:val="en-US" w:eastAsia="zh-CN"/>
                    </w:rPr>
                  </w:pPr>
                  <w:r>
                    <w:rPr>
                      <w:rFonts w:hint="eastAsia"/>
                      <w:lang w:val="en-US" w:eastAsia="zh-CN"/>
                    </w:rPr>
                    <w:t>危废暂存间</w:t>
                  </w:r>
                </w:p>
              </w:tc>
              <w:tc>
                <w:tcPr>
                  <w:tcW w:w="10694" w:type="dxa"/>
                  <w:tcBorders>
                    <w:tl2br w:val="nil"/>
                    <w:tr2bl w:val="nil"/>
                  </w:tcBorders>
                  <w:shd w:val="clear" w:color="auto" w:fill="auto"/>
                  <w:noWrap w:val="0"/>
                  <w:vAlign w:val="center"/>
                </w:tcPr>
                <w:p w14:paraId="4C2A490C">
                  <w:pPr>
                    <w:pStyle w:val="42"/>
                    <w:bidi w:val="0"/>
                    <w:ind w:firstLine="0" w:firstLineChars="0"/>
                    <w:jc w:val="center"/>
                    <w:rPr>
                      <w:rFonts w:hint="default"/>
                      <w:lang w:val="en-US" w:eastAsia="zh-CN"/>
                    </w:rPr>
                  </w:pPr>
                  <w:r>
                    <w:rPr>
                      <w:rFonts w:hint="eastAsia" w:cs="Times New Roman"/>
                      <w:kern w:val="2"/>
                      <w:sz w:val="21"/>
                      <w:szCs w:val="24"/>
                      <w:highlight w:val="none"/>
                      <w:lang w:val="en-US" w:eastAsia="zh-CN" w:bidi="ar-SA"/>
                    </w:rPr>
                    <w:t>建筑面积约5㎡，位于主楼西北角</w:t>
                  </w:r>
                </w:p>
              </w:tc>
              <w:tc>
                <w:tcPr>
                  <w:tcW w:w="545" w:type="dxa"/>
                  <w:tcBorders>
                    <w:tl2br w:val="nil"/>
                    <w:tr2bl w:val="nil"/>
                  </w:tcBorders>
                  <w:noWrap w:val="0"/>
                  <w:vAlign w:val="center"/>
                </w:tcPr>
                <w:p w14:paraId="0052282A">
                  <w:pPr>
                    <w:pStyle w:val="32"/>
                    <w:bidi w:val="0"/>
                    <w:rPr>
                      <w:rFonts w:hint="default"/>
                      <w:lang w:val="en-US" w:eastAsia="zh-CN"/>
                    </w:rPr>
                  </w:pPr>
                  <w:r>
                    <w:rPr>
                      <w:rFonts w:hint="eastAsia"/>
                      <w:lang w:val="en-US" w:eastAsia="zh-CN"/>
                    </w:rPr>
                    <w:t>/</w:t>
                  </w:r>
                </w:p>
              </w:tc>
            </w:tr>
            <w:tr w14:paraId="6D8D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restart"/>
                  <w:tcBorders>
                    <w:tl2br w:val="nil"/>
                    <w:tr2bl w:val="nil"/>
                  </w:tcBorders>
                  <w:noWrap w:val="0"/>
                  <w:vAlign w:val="center"/>
                </w:tcPr>
                <w:p w14:paraId="42AE6683">
                  <w:pPr>
                    <w:pStyle w:val="32"/>
                    <w:bidi w:val="0"/>
                    <w:rPr>
                      <w:rFonts w:hint="default"/>
                    </w:rPr>
                  </w:pPr>
                  <w:r>
                    <w:rPr>
                      <w:rFonts w:hint="default"/>
                    </w:rPr>
                    <w:t>公用工程</w:t>
                  </w:r>
                </w:p>
              </w:tc>
              <w:tc>
                <w:tcPr>
                  <w:tcW w:w="1251" w:type="dxa"/>
                  <w:tcBorders>
                    <w:tl2br w:val="nil"/>
                    <w:tr2bl w:val="nil"/>
                  </w:tcBorders>
                  <w:noWrap w:val="0"/>
                  <w:vAlign w:val="center"/>
                </w:tcPr>
                <w:p w14:paraId="0FF7FAEB">
                  <w:pPr>
                    <w:pStyle w:val="32"/>
                    <w:bidi w:val="0"/>
                    <w:rPr>
                      <w:rFonts w:hint="eastAsia"/>
                      <w:lang w:val="en-US" w:eastAsia="zh-CN"/>
                    </w:rPr>
                  </w:pPr>
                  <w:r>
                    <w:rPr>
                      <w:rFonts w:hint="eastAsia"/>
                      <w:lang w:val="en-US" w:eastAsia="zh-CN"/>
                    </w:rPr>
                    <w:t>供电系统</w:t>
                  </w:r>
                </w:p>
              </w:tc>
              <w:tc>
                <w:tcPr>
                  <w:tcW w:w="10694" w:type="dxa"/>
                  <w:tcBorders>
                    <w:tl2br w:val="nil"/>
                    <w:tr2bl w:val="nil"/>
                  </w:tcBorders>
                  <w:noWrap w:val="0"/>
                  <w:vAlign w:val="center"/>
                </w:tcPr>
                <w:p w14:paraId="6CFF2AB0">
                  <w:pPr>
                    <w:pStyle w:val="32"/>
                    <w:bidi w:val="0"/>
                    <w:rPr>
                      <w:rFonts w:hint="eastAsia"/>
                      <w:lang w:val="en-US" w:eastAsia="zh-CN"/>
                    </w:rPr>
                  </w:pPr>
                  <w:r>
                    <w:rPr>
                      <w:rFonts w:hint="eastAsia"/>
                      <w:lang w:val="en-US" w:eastAsia="zh-CN"/>
                    </w:rPr>
                    <w:t>项目设置双回路电，由市政电网接入，年</w:t>
                  </w:r>
                  <w:r>
                    <w:rPr>
                      <w:rFonts w:hint="eastAsia"/>
                      <w:highlight w:val="none"/>
                      <w:lang w:val="en-US" w:eastAsia="zh-CN"/>
                    </w:rPr>
                    <w:t>耗电100万</w:t>
                  </w:r>
                  <w:r>
                    <w:rPr>
                      <w:highlight w:val="none"/>
                    </w:rPr>
                    <w:t>kW·h</w:t>
                  </w:r>
                  <w:r>
                    <w:rPr>
                      <w:rFonts w:hint="default"/>
                      <w:highlight w:val="none"/>
                    </w:rPr>
                    <w:t>/a</w:t>
                  </w:r>
                  <w:r>
                    <w:rPr>
                      <w:rFonts w:hint="eastAsia"/>
                      <w:highlight w:val="none"/>
                      <w:lang w:val="en-US" w:eastAsia="zh-CN"/>
                    </w:rPr>
                    <w:t>。</w:t>
                  </w:r>
                </w:p>
              </w:tc>
              <w:tc>
                <w:tcPr>
                  <w:tcW w:w="545" w:type="dxa"/>
                  <w:tcBorders>
                    <w:tl2br w:val="nil"/>
                    <w:tr2bl w:val="nil"/>
                  </w:tcBorders>
                  <w:noWrap w:val="0"/>
                  <w:vAlign w:val="center"/>
                </w:tcPr>
                <w:p w14:paraId="381C47A7">
                  <w:pPr>
                    <w:pStyle w:val="32"/>
                    <w:bidi w:val="0"/>
                    <w:rPr>
                      <w:rFonts w:hint="default"/>
                      <w:lang w:val="en-US" w:eastAsia="zh-CN"/>
                    </w:rPr>
                  </w:pPr>
                  <w:r>
                    <w:rPr>
                      <w:rFonts w:hint="eastAsia"/>
                      <w:lang w:val="en-US" w:eastAsia="zh-CN"/>
                    </w:rPr>
                    <w:t>/</w:t>
                  </w:r>
                </w:p>
              </w:tc>
            </w:tr>
            <w:tr w14:paraId="08EC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5AA12BC9">
                  <w:pPr>
                    <w:pStyle w:val="32"/>
                    <w:bidi w:val="0"/>
                    <w:rPr>
                      <w:rFonts w:hint="default"/>
                    </w:rPr>
                  </w:pPr>
                </w:p>
              </w:tc>
              <w:tc>
                <w:tcPr>
                  <w:tcW w:w="1251" w:type="dxa"/>
                  <w:tcBorders>
                    <w:tl2br w:val="nil"/>
                    <w:tr2bl w:val="nil"/>
                  </w:tcBorders>
                  <w:shd w:val="clear" w:color="auto" w:fill="auto"/>
                  <w:noWrap w:val="0"/>
                  <w:vAlign w:val="center"/>
                </w:tcPr>
                <w:p w14:paraId="0F8FEA22">
                  <w:pPr>
                    <w:pStyle w:val="32"/>
                    <w:bidi w:val="0"/>
                    <w:rPr>
                      <w:rFonts w:hint="eastAsia"/>
                      <w:lang w:val="en-US" w:eastAsia="zh-CN"/>
                    </w:rPr>
                  </w:pPr>
                  <w:r>
                    <w:rPr>
                      <w:rFonts w:hint="eastAsia"/>
                      <w:lang w:val="en-US" w:eastAsia="zh-CN"/>
                    </w:rPr>
                    <w:t>给水系统</w:t>
                  </w:r>
                </w:p>
              </w:tc>
              <w:tc>
                <w:tcPr>
                  <w:tcW w:w="10694" w:type="dxa"/>
                  <w:tcBorders>
                    <w:tl2br w:val="nil"/>
                    <w:tr2bl w:val="nil"/>
                  </w:tcBorders>
                  <w:shd w:val="clear" w:color="auto" w:fill="auto"/>
                  <w:noWrap w:val="0"/>
                  <w:vAlign w:val="center"/>
                </w:tcPr>
                <w:p w14:paraId="29BD6767">
                  <w:pPr>
                    <w:pStyle w:val="32"/>
                    <w:bidi w:val="0"/>
                    <w:rPr>
                      <w:rFonts w:hint="default"/>
                      <w:lang w:val="en-US" w:eastAsia="zh-CN"/>
                    </w:rPr>
                  </w:pPr>
                  <w:r>
                    <w:rPr>
                      <w:rFonts w:hint="eastAsia"/>
                      <w:lang w:val="en-US" w:eastAsia="zh-CN"/>
                    </w:rPr>
                    <w:t>由市政供水管网供给，年用水量</w:t>
                  </w:r>
                  <w:r>
                    <w:rPr>
                      <w:rFonts w:hint="eastAsia"/>
                      <w:highlight w:val="none"/>
                      <w:lang w:val="en-US" w:eastAsia="zh-CN"/>
                    </w:rPr>
                    <w:t>约37881.525m³</w:t>
                  </w:r>
                </w:p>
              </w:tc>
              <w:tc>
                <w:tcPr>
                  <w:tcW w:w="545" w:type="dxa"/>
                  <w:tcBorders>
                    <w:tl2br w:val="nil"/>
                    <w:tr2bl w:val="nil"/>
                  </w:tcBorders>
                  <w:noWrap w:val="0"/>
                  <w:vAlign w:val="center"/>
                </w:tcPr>
                <w:p w14:paraId="38075A82">
                  <w:pPr>
                    <w:pStyle w:val="32"/>
                    <w:bidi w:val="0"/>
                    <w:rPr>
                      <w:rFonts w:hint="default"/>
                      <w:lang w:val="en-US" w:eastAsia="zh-CN"/>
                    </w:rPr>
                  </w:pPr>
                  <w:r>
                    <w:rPr>
                      <w:rFonts w:hint="eastAsia"/>
                      <w:lang w:val="en-US" w:eastAsia="zh-CN"/>
                    </w:rPr>
                    <w:t>/</w:t>
                  </w:r>
                </w:p>
              </w:tc>
            </w:tr>
            <w:tr w14:paraId="0A23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2ED5952F">
                  <w:pPr>
                    <w:pStyle w:val="32"/>
                    <w:bidi w:val="0"/>
                    <w:rPr>
                      <w:rFonts w:hint="default"/>
                    </w:rPr>
                  </w:pPr>
                </w:p>
              </w:tc>
              <w:tc>
                <w:tcPr>
                  <w:tcW w:w="1251" w:type="dxa"/>
                  <w:tcBorders>
                    <w:tl2br w:val="nil"/>
                    <w:tr2bl w:val="nil"/>
                  </w:tcBorders>
                  <w:noWrap w:val="0"/>
                  <w:vAlign w:val="center"/>
                </w:tcPr>
                <w:p w14:paraId="391162DB">
                  <w:pPr>
                    <w:pStyle w:val="32"/>
                    <w:bidi w:val="0"/>
                    <w:rPr>
                      <w:rFonts w:hint="eastAsia"/>
                      <w:lang w:val="en-US" w:eastAsia="zh-CN"/>
                    </w:rPr>
                  </w:pPr>
                  <w:r>
                    <w:rPr>
                      <w:rFonts w:hint="eastAsia"/>
                      <w:lang w:val="en-US" w:eastAsia="zh-CN"/>
                    </w:rPr>
                    <w:t>排水系统</w:t>
                  </w:r>
                </w:p>
              </w:tc>
              <w:tc>
                <w:tcPr>
                  <w:tcW w:w="10694" w:type="dxa"/>
                  <w:tcBorders>
                    <w:tl2br w:val="nil"/>
                    <w:tr2bl w:val="nil"/>
                  </w:tcBorders>
                  <w:noWrap w:val="0"/>
                  <w:vAlign w:val="center"/>
                </w:tcPr>
                <w:p w14:paraId="509A56A6">
                  <w:pPr>
                    <w:pStyle w:val="32"/>
                    <w:bidi w:val="0"/>
                    <w:rPr>
                      <w:rFonts w:hint="default" w:eastAsia="宋体"/>
                      <w:lang w:val="en-US" w:eastAsia="zh-CN"/>
                    </w:rPr>
                  </w:pPr>
                  <w:r>
                    <w:rPr>
                      <w:rFonts w:hint="eastAsia" w:cs="Times New Roman"/>
                      <w:color w:val="auto"/>
                      <w:lang w:val="en-US" w:eastAsia="zh-CN"/>
                    </w:rPr>
                    <w:t>院</w:t>
                  </w:r>
                  <w:r>
                    <w:rPr>
                      <w:rFonts w:hint="default" w:ascii="Times New Roman" w:hAnsi="Times New Roman" w:cs="Times New Roman"/>
                      <w:color w:val="auto"/>
                    </w:rPr>
                    <w:t>区内建设雨污分流管网。雨水排入园区雨水管网；</w:t>
                  </w:r>
                  <w:r>
                    <w:rPr>
                      <w:rFonts w:hint="eastAsia" w:cs="Times New Roman"/>
                      <w:color w:val="auto"/>
                      <w:lang w:val="en-US" w:eastAsia="zh-CN"/>
                    </w:rPr>
                    <w:t>食堂废水经隔油处理后与医院综合废水</w:t>
                  </w:r>
                  <w:r>
                    <w:rPr>
                      <w:rFonts w:hint="default" w:ascii="Times New Roman" w:hAnsi="Times New Roman" w:cs="Times New Roman"/>
                      <w:color w:val="auto"/>
                    </w:rPr>
                    <w:t>经化粪池处理后进入院区自建的污水处理站</w:t>
                  </w:r>
                  <w:r>
                    <w:rPr>
                      <w:rFonts w:hint="eastAsia" w:cs="Times New Roman"/>
                      <w:color w:val="auto"/>
                      <w:lang w:val="en-US" w:eastAsia="zh-CN"/>
                    </w:rPr>
                    <w:t>(</w:t>
                  </w:r>
                  <w:r>
                    <w:rPr>
                      <w:rFonts w:hint="eastAsia"/>
                      <w:highlight w:val="none"/>
                      <w:lang w:val="en-US" w:eastAsia="zh-CN"/>
                    </w:rPr>
                    <w:t>“</w:t>
                  </w:r>
                  <w:r>
                    <w:rPr>
                      <w:rFonts w:hint="eastAsia"/>
                      <w:lang w:val="en-US" w:eastAsia="zh-CN"/>
                    </w:rPr>
                    <w:t>格栅十调节+水解酸化+缺氧+生物接触氧化十沉淀十消毒”</w:t>
                  </w:r>
                  <w:r>
                    <w:rPr>
                      <w:rFonts w:hint="default" w:ascii="Times New Roman" w:hAnsi="Times New Roman" w:cs="Times New Roman"/>
                      <w:color w:val="auto"/>
                    </w:rPr>
                    <w:t>)预处理后排入市政污水管网，纳入山南新区污水处理厂集中处理。</w:t>
                  </w:r>
                </w:p>
              </w:tc>
              <w:tc>
                <w:tcPr>
                  <w:tcW w:w="545" w:type="dxa"/>
                  <w:tcBorders>
                    <w:tl2br w:val="nil"/>
                    <w:tr2bl w:val="nil"/>
                  </w:tcBorders>
                  <w:noWrap w:val="0"/>
                  <w:vAlign w:val="center"/>
                </w:tcPr>
                <w:p w14:paraId="23557C78">
                  <w:pPr>
                    <w:pStyle w:val="32"/>
                    <w:bidi w:val="0"/>
                    <w:rPr>
                      <w:rFonts w:hint="default"/>
                      <w:lang w:val="en-US" w:eastAsia="zh-CN"/>
                    </w:rPr>
                  </w:pPr>
                  <w:r>
                    <w:rPr>
                      <w:rFonts w:hint="eastAsia"/>
                      <w:lang w:val="en-US" w:eastAsia="zh-CN"/>
                    </w:rPr>
                    <w:t>新建</w:t>
                  </w:r>
                </w:p>
              </w:tc>
            </w:tr>
            <w:tr w14:paraId="2A35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65504754">
                  <w:pPr>
                    <w:pStyle w:val="32"/>
                    <w:bidi w:val="0"/>
                    <w:rPr>
                      <w:rFonts w:hint="default"/>
                    </w:rPr>
                  </w:pPr>
                </w:p>
              </w:tc>
              <w:tc>
                <w:tcPr>
                  <w:tcW w:w="1251" w:type="dxa"/>
                  <w:tcBorders>
                    <w:tl2br w:val="nil"/>
                    <w:tr2bl w:val="nil"/>
                  </w:tcBorders>
                  <w:noWrap w:val="0"/>
                  <w:vAlign w:val="center"/>
                </w:tcPr>
                <w:p w14:paraId="76D84B8D">
                  <w:pPr>
                    <w:pStyle w:val="32"/>
                    <w:bidi w:val="0"/>
                    <w:rPr>
                      <w:rFonts w:hint="default"/>
                      <w:lang w:val="en-US" w:eastAsia="zh-CN"/>
                    </w:rPr>
                  </w:pPr>
                  <w:r>
                    <w:rPr>
                      <w:rFonts w:hint="eastAsia"/>
                      <w:lang w:val="en-US" w:eastAsia="zh-CN"/>
                    </w:rPr>
                    <w:t>热水系统</w:t>
                  </w:r>
                </w:p>
              </w:tc>
              <w:tc>
                <w:tcPr>
                  <w:tcW w:w="10694" w:type="dxa"/>
                  <w:tcBorders>
                    <w:tl2br w:val="nil"/>
                    <w:tr2bl w:val="nil"/>
                  </w:tcBorders>
                  <w:noWrap w:val="0"/>
                  <w:vAlign w:val="center"/>
                </w:tcPr>
                <w:p w14:paraId="740719F9">
                  <w:pPr>
                    <w:pStyle w:val="32"/>
                    <w:bidi w:val="0"/>
                    <w:rPr>
                      <w:rFonts w:hint="default" w:cs="Times New Roman"/>
                      <w:color w:val="auto"/>
                      <w:lang w:val="en-US" w:eastAsia="zh-CN"/>
                    </w:rPr>
                  </w:pPr>
                  <w:r>
                    <w:rPr>
                      <w:rFonts w:hint="eastAsia" w:cs="Times New Roman"/>
                      <w:color w:val="auto"/>
                      <w:lang w:val="en-US" w:eastAsia="zh-CN"/>
                    </w:rPr>
                    <w:t>本项目不设置锅炉提供热水热源，日常饮水热水机淋浴用热水采用太阳能+空气能方式提供</w:t>
                  </w:r>
                </w:p>
              </w:tc>
              <w:tc>
                <w:tcPr>
                  <w:tcW w:w="545" w:type="dxa"/>
                  <w:tcBorders>
                    <w:tl2br w:val="nil"/>
                    <w:tr2bl w:val="nil"/>
                  </w:tcBorders>
                  <w:noWrap w:val="0"/>
                  <w:vAlign w:val="center"/>
                </w:tcPr>
                <w:p w14:paraId="33D51F67">
                  <w:pPr>
                    <w:pStyle w:val="32"/>
                    <w:bidi w:val="0"/>
                    <w:rPr>
                      <w:rFonts w:hint="default"/>
                      <w:lang w:val="en-US" w:eastAsia="zh-CN"/>
                    </w:rPr>
                  </w:pPr>
                  <w:r>
                    <w:rPr>
                      <w:rFonts w:hint="eastAsia"/>
                      <w:lang w:val="en-US" w:eastAsia="zh-CN"/>
                    </w:rPr>
                    <w:t>新建</w:t>
                  </w:r>
                </w:p>
              </w:tc>
            </w:tr>
            <w:tr w14:paraId="486E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5BB37E7E">
                  <w:pPr>
                    <w:pStyle w:val="32"/>
                    <w:bidi w:val="0"/>
                    <w:rPr>
                      <w:rFonts w:hint="default"/>
                    </w:rPr>
                  </w:pPr>
                </w:p>
              </w:tc>
              <w:tc>
                <w:tcPr>
                  <w:tcW w:w="1251" w:type="dxa"/>
                  <w:tcBorders>
                    <w:tl2br w:val="nil"/>
                    <w:tr2bl w:val="nil"/>
                  </w:tcBorders>
                  <w:noWrap w:val="0"/>
                  <w:vAlign w:val="center"/>
                </w:tcPr>
                <w:p w14:paraId="7160C7AD">
                  <w:pPr>
                    <w:pStyle w:val="32"/>
                    <w:bidi w:val="0"/>
                    <w:rPr>
                      <w:rFonts w:hint="default"/>
                      <w:lang w:val="en-US" w:eastAsia="zh-CN"/>
                    </w:rPr>
                  </w:pPr>
                  <w:r>
                    <w:rPr>
                      <w:rFonts w:hint="eastAsia"/>
                      <w:lang w:val="en-US" w:eastAsia="zh-CN"/>
                    </w:rPr>
                    <w:t>制冷系统</w:t>
                  </w:r>
                </w:p>
              </w:tc>
              <w:tc>
                <w:tcPr>
                  <w:tcW w:w="10694" w:type="dxa"/>
                  <w:tcBorders>
                    <w:tl2br w:val="nil"/>
                    <w:tr2bl w:val="nil"/>
                  </w:tcBorders>
                  <w:noWrap w:val="0"/>
                  <w:vAlign w:val="center"/>
                </w:tcPr>
                <w:p w14:paraId="3D5BBE15">
                  <w:pPr>
                    <w:pStyle w:val="32"/>
                    <w:bidi w:val="0"/>
                    <w:rPr>
                      <w:rFonts w:hint="default" w:cs="Times New Roman"/>
                      <w:color w:val="auto"/>
                      <w:lang w:val="en-US" w:eastAsia="zh-CN"/>
                    </w:rPr>
                  </w:pPr>
                  <w:r>
                    <w:rPr>
                      <w:rFonts w:hint="eastAsia" w:cs="Times New Roman"/>
                      <w:color w:val="auto"/>
                      <w:lang w:val="en-US" w:eastAsia="zh-CN"/>
                    </w:rPr>
                    <w:t>整</w:t>
                  </w:r>
                  <w:r>
                    <w:rPr>
                      <w:rFonts w:hint="eastAsia" w:cs="Times New Roman"/>
                      <w:color w:val="auto"/>
                      <w:highlight w:val="none"/>
                      <w:lang w:val="en-US" w:eastAsia="zh-CN"/>
                    </w:rPr>
                    <w:t>个院区采用中央空调制冷</w:t>
                  </w:r>
                </w:p>
              </w:tc>
              <w:tc>
                <w:tcPr>
                  <w:tcW w:w="545" w:type="dxa"/>
                  <w:tcBorders>
                    <w:tl2br w:val="nil"/>
                    <w:tr2bl w:val="nil"/>
                  </w:tcBorders>
                  <w:noWrap w:val="0"/>
                  <w:vAlign w:val="center"/>
                </w:tcPr>
                <w:p w14:paraId="4402C7E3">
                  <w:pPr>
                    <w:pStyle w:val="32"/>
                    <w:bidi w:val="0"/>
                    <w:rPr>
                      <w:rFonts w:hint="default"/>
                      <w:lang w:val="en-US" w:eastAsia="zh-CN"/>
                    </w:rPr>
                  </w:pPr>
                  <w:r>
                    <w:rPr>
                      <w:rFonts w:hint="eastAsia"/>
                      <w:lang w:val="en-US" w:eastAsia="zh-CN"/>
                    </w:rPr>
                    <w:t>新建</w:t>
                  </w:r>
                </w:p>
              </w:tc>
            </w:tr>
            <w:tr w14:paraId="55B7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5C43F1E9">
                  <w:pPr>
                    <w:pStyle w:val="32"/>
                    <w:bidi w:val="0"/>
                    <w:rPr>
                      <w:rFonts w:hint="default"/>
                    </w:rPr>
                  </w:pPr>
                </w:p>
              </w:tc>
              <w:tc>
                <w:tcPr>
                  <w:tcW w:w="1251" w:type="dxa"/>
                  <w:tcBorders>
                    <w:tl2br w:val="nil"/>
                    <w:tr2bl w:val="nil"/>
                  </w:tcBorders>
                  <w:noWrap w:val="0"/>
                  <w:vAlign w:val="center"/>
                </w:tcPr>
                <w:p w14:paraId="25CB2AEC">
                  <w:pPr>
                    <w:pStyle w:val="32"/>
                    <w:bidi w:val="0"/>
                    <w:rPr>
                      <w:rFonts w:hint="default"/>
                      <w:lang w:val="en-US" w:eastAsia="zh-CN"/>
                    </w:rPr>
                  </w:pPr>
                  <w:r>
                    <w:rPr>
                      <w:rFonts w:hint="eastAsia"/>
                      <w:lang w:val="en-US" w:eastAsia="zh-CN"/>
                    </w:rPr>
                    <w:t>供暖系统</w:t>
                  </w:r>
                </w:p>
              </w:tc>
              <w:tc>
                <w:tcPr>
                  <w:tcW w:w="10694" w:type="dxa"/>
                  <w:tcBorders>
                    <w:tl2br w:val="nil"/>
                    <w:tr2bl w:val="nil"/>
                  </w:tcBorders>
                  <w:noWrap w:val="0"/>
                  <w:vAlign w:val="center"/>
                </w:tcPr>
                <w:p w14:paraId="76DA3E06">
                  <w:pPr>
                    <w:pStyle w:val="32"/>
                    <w:bidi w:val="0"/>
                    <w:rPr>
                      <w:rFonts w:hint="default" w:cs="Times New Roman"/>
                      <w:color w:val="auto"/>
                      <w:lang w:val="en-US" w:eastAsia="zh-CN"/>
                    </w:rPr>
                  </w:pPr>
                  <w:r>
                    <w:rPr>
                      <w:rFonts w:hint="eastAsia" w:cs="Times New Roman"/>
                      <w:color w:val="auto"/>
                      <w:lang w:val="en-US" w:eastAsia="zh-CN"/>
                    </w:rPr>
                    <w:t>不设置锅炉供暖，整个院区均采用</w:t>
                  </w:r>
                  <w:r>
                    <w:rPr>
                      <w:rFonts w:hint="eastAsia" w:cs="Times New Roman"/>
                      <w:color w:val="auto"/>
                      <w:highlight w:val="none"/>
                      <w:lang w:val="en-US" w:eastAsia="zh-CN"/>
                    </w:rPr>
                    <w:t>中央空调供暖</w:t>
                  </w:r>
                </w:p>
              </w:tc>
              <w:tc>
                <w:tcPr>
                  <w:tcW w:w="545" w:type="dxa"/>
                  <w:tcBorders>
                    <w:tl2br w:val="nil"/>
                    <w:tr2bl w:val="nil"/>
                  </w:tcBorders>
                  <w:noWrap w:val="0"/>
                  <w:vAlign w:val="center"/>
                </w:tcPr>
                <w:p w14:paraId="3FD96636">
                  <w:pPr>
                    <w:pStyle w:val="32"/>
                    <w:bidi w:val="0"/>
                    <w:rPr>
                      <w:rFonts w:hint="default"/>
                      <w:lang w:val="en-US" w:eastAsia="zh-CN"/>
                    </w:rPr>
                  </w:pPr>
                  <w:r>
                    <w:rPr>
                      <w:rFonts w:hint="eastAsia"/>
                      <w:lang w:val="en-US" w:eastAsia="zh-CN"/>
                    </w:rPr>
                    <w:t>新建</w:t>
                  </w:r>
                </w:p>
              </w:tc>
            </w:tr>
            <w:tr w14:paraId="0F11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restart"/>
                  <w:tcBorders>
                    <w:tl2br w:val="nil"/>
                    <w:tr2bl w:val="nil"/>
                  </w:tcBorders>
                  <w:noWrap w:val="0"/>
                  <w:vAlign w:val="center"/>
                </w:tcPr>
                <w:p w14:paraId="3073E4EE">
                  <w:pPr>
                    <w:pStyle w:val="32"/>
                    <w:bidi w:val="0"/>
                    <w:rPr>
                      <w:rFonts w:hint="default"/>
                    </w:rPr>
                  </w:pPr>
                  <w:r>
                    <w:rPr>
                      <w:rFonts w:hint="default"/>
                    </w:rPr>
                    <w:t>环保工程</w:t>
                  </w:r>
                </w:p>
              </w:tc>
              <w:tc>
                <w:tcPr>
                  <w:tcW w:w="1251" w:type="dxa"/>
                  <w:tcBorders>
                    <w:tl2br w:val="nil"/>
                    <w:tr2bl w:val="nil"/>
                  </w:tcBorders>
                  <w:noWrap w:val="0"/>
                  <w:vAlign w:val="center"/>
                </w:tcPr>
                <w:p w14:paraId="78C786AC">
                  <w:pPr>
                    <w:pStyle w:val="32"/>
                    <w:bidi w:val="0"/>
                    <w:rPr>
                      <w:rFonts w:hint="default"/>
                      <w:lang w:val="en-US" w:eastAsia="zh-CN"/>
                    </w:rPr>
                  </w:pPr>
                  <w:r>
                    <w:rPr>
                      <w:rFonts w:hint="eastAsia"/>
                      <w:lang w:val="en-US" w:eastAsia="zh-CN"/>
                    </w:rPr>
                    <w:t>废水</w:t>
                  </w:r>
                </w:p>
              </w:tc>
              <w:tc>
                <w:tcPr>
                  <w:tcW w:w="10694" w:type="dxa"/>
                  <w:tcBorders>
                    <w:tl2br w:val="nil"/>
                    <w:tr2bl w:val="nil"/>
                  </w:tcBorders>
                  <w:noWrap w:val="0"/>
                  <w:vAlign w:val="center"/>
                </w:tcPr>
                <w:p w14:paraId="7448531D">
                  <w:pPr>
                    <w:pStyle w:val="32"/>
                    <w:bidi w:val="0"/>
                    <w:rPr>
                      <w:rFonts w:hint="eastAsia" w:eastAsia="宋体"/>
                      <w:lang w:val="en-US" w:eastAsia="zh-CN"/>
                    </w:rPr>
                  </w:pPr>
                  <w:r>
                    <w:rPr>
                      <w:rFonts w:hint="eastAsia" w:cs="Times New Roman"/>
                      <w:color w:val="auto"/>
                      <w:lang w:val="en-US" w:eastAsia="zh-CN"/>
                    </w:rPr>
                    <w:t>院</w:t>
                  </w:r>
                  <w:r>
                    <w:rPr>
                      <w:rFonts w:hint="default" w:ascii="Times New Roman" w:hAnsi="Times New Roman" w:cs="Times New Roman"/>
                      <w:color w:val="auto"/>
                    </w:rPr>
                    <w:t>区内建设雨污分流管网。雨水排入园区雨水管网；</w:t>
                  </w:r>
                  <w:r>
                    <w:rPr>
                      <w:rFonts w:hint="eastAsia" w:cs="Times New Roman"/>
                      <w:color w:val="auto"/>
                      <w:lang w:val="en-US" w:eastAsia="zh-CN"/>
                    </w:rPr>
                    <w:t>食堂废水经隔油处理后与医院综合废水</w:t>
                  </w:r>
                  <w:r>
                    <w:rPr>
                      <w:rFonts w:hint="default" w:ascii="Times New Roman" w:hAnsi="Times New Roman" w:cs="Times New Roman"/>
                      <w:color w:val="auto"/>
                    </w:rPr>
                    <w:t>经化粪池处理后进入院区自建的污水处理站</w:t>
                  </w:r>
                  <w:r>
                    <w:rPr>
                      <w:rFonts w:hint="eastAsia" w:cs="Times New Roman"/>
                      <w:color w:val="auto"/>
                      <w:lang w:val="en-US" w:eastAsia="zh-CN"/>
                    </w:rPr>
                    <w:t>(</w:t>
                  </w:r>
                  <w:r>
                    <w:rPr>
                      <w:rFonts w:hint="eastAsia"/>
                      <w:highlight w:val="none"/>
                      <w:lang w:val="en-US" w:eastAsia="zh-CN"/>
                    </w:rPr>
                    <w:t>“</w:t>
                  </w:r>
                  <w:r>
                    <w:rPr>
                      <w:rFonts w:hint="eastAsia"/>
                      <w:lang w:val="en-US" w:eastAsia="zh-CN"/>
                    </w:rPr>
                    <w:t>格栅十调节+水解酸化+缺氧+生物接触氧化十沉淀十消毒”</w:t>
                  </w:r>
                  <w:r>
                    <w:rPr>
                      <w:rFonts w:hint="default" w:ascii="Times New Roman" w:hAnsi="Times New Roman" w:cs="Times New Roman"/>
                      <w:color w:val="auto"/>
                    </w:rPr>
                    <w:t>)预处理后排入市政污水管网，纳入山南新区污水处理厂集中处理。</w:t>
                  </w:r>
                </w:p>
              </w:tc>
              <w:tc>
                <w:tcPr>
                  <w:tcW w:w="545" w:type="dxa"/>
                  <w:tcBorders>
                    <w:tl2br w:val="nil"/>
                    <w:tr2bl w:val="nil"/>
                  </w:tcBorders>
                  <w:noWrap w:val="0"/>
                  <w:vAlign w:val="center"/>
                </w:tcPr>
                <w:p w14:paraId="15D44968">
                  <w:pPr>
                    <w:pStyle w:val="32"/>
                    <w:bidi w:val="0"/>
                    <w:rPr>
                      <w:rFonts w:hint="default"/>
                      <w:lang w:val="en-US" w:eastAsia="zh-CN"/>
                    </w:rPr>
                  </w:pPr>
                  <w:r>
                    <w:rPr>
                      <w:rFonts w:hint="eastAsia"/>
                      <w:lang w:val="en-US" w:eastAsia="zh-CN"/>
                    </w:rPr>
                    <w:t>/</w:t>
                  </w:r>
                </w:p>
              </w:tc>
            </w:tr>
            <w:tr w14:paraId="1914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2D5976D8">
                  <w:pPr>
                    <w:pStyle w:val="32"/>
                    <w:bidi w:val="0"/>
                    <w:rPr>
                      <w:rFonts w:hint="default"/>
                    </w:rPr>
                  </w:pPr>
                </w:p>
              </w:tc>
              <w:tc>
                <w:tcPr>
                  <w:tcW w:w="1251" w:type="dxa"/>
                  <w:tcBorders>
                    <w:tl2br w:val="nil"/>
                    <w:tr2bl w:val="nil"/>
                  </w:tcBorders>
                  <w:noWrap w:val="0"/>
                  <w:vAlign w:val="center"/>
                </w:tcPr>
                <w:p w14:paraId="288767F1">
                  <w:pPr>
                    <w:pStyle w:val="32"/>
                    <w:bidi w:val="0"/>
                    <w:rPr>
                      <w:rFonts w:hint="default"/>
                      <w:lang w:val="en-US" w:eastAsia="zh-CN"/>
                    </w:rPr>
                  </w:pPr>
                  <w:r>
                    <w:rPr>
                      <w:rFonts w:hint="eastAsia"/>
                      <w:lang w:val="en-US" w:eastAsia="zh-CN"/>
                    </w:rPr>
                    <w:t>废气</w:t>
                  </w:r>
                </w:p>
              </w:tc>
              <w:tc>
                <w:tcPr>
                  <w:tcW w:w="10694" w:type="dxa"/>
                  <w:tcBorders>
                    <w:tl2br w:val="nil"/>
                    <w:tr2bl w:val="nil"/>
                  </w:tcBorders>
                  <w:noWrap w:val="0"/>
                  <w:vAlign w:val="center"/>
                </w:tcPr>
                <w:p w14:paraId="41077E00">
                  <w:pPr>
                    <w:pStyle w:val="32"/>
                    <w:bidi w:val="0"/>
                    <w:rPr>
                      <w:rFonts w:hint="default"/>
                      <w:lang w:val="en-US" w:eastAsia="zh-CN"/>
                    </w:rPr>
                  </w:pPr>
                  <w:r>
                    <w:rPr>
                      <w:rFonts w:hint="eastAsia"/>
                      <w:lang w:val="en-US" w:eastAsia="zh-CN"/>
                    </w:rPr>
                    <w:t>污水处理站废气经二级活性炭吸附处理后经18m高排气筒排放；食堂油烟经油烟净化器处理后通过专用烟道排放</w:t>
                  </w:r>
                </w:p>
              </w:tc>
              <w:tc>
                <w:tcPr>
                  <w:tcW w:w="545" w:type="dxa"/>
                  <w:tcBorders>
                    <w:tl2br w:val="nil"/>
                    <w:tr2bl w:val="nil"/>
                  </w:tcBorders>
                  <w:noWrap w:val="0"/>
                  <w:vAlign w:val="center"/>
                </w:tcPr>
                <w:p w14:paraId="23EE7432">
                  <w:pPr>
                    <w:pStyle w:val="32"/>
                    <w:bidi w:val="0"/>
                    <w:rPr>
                      <w:rFonts w:hint="default"/>
                      <w:lang w:val="en-US" w:eastAsia="zh-CN"/>
                    </w:rPr>
                  </w:pPr>
                  <w:r>
                    <w:rPr>
                      <w:rFonts w:hint="eastAsia"/>
                      <w:lang w:val="en-US" w:eastAsia="zh-CN"/>
                    </w:rPr>
                    <w:t>/</w:t>
                  </w:r>
                </w:p>
              </w:tc>
            </w:tr>
            <w:tr w14:paraId="2756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0C80205E">
                  <w:pPr>
                    <w:pStyle w:val="32"/>
                    <w:bidi w:val="0"/>
                    <w:rPr>
                      <w:rFonts w:hint="default"/>
                    </w:rPr>
                  </w:pPr>
                </w:p>
              </w:tc>
              <w:tc>
                <w:tcPr>
                  <w:tcW w:w="1251" w:type="dxa"/>
                  <w:tcBorders>
                    <w:tl2br w:val="nil"/>
                    <w:tr2bl w:val="nil"/>
                  </w:tcBorders>
                  <w:noWrap w:val="0"/>
                  <w:vAlign w:val="center"/>
                </w:tcPr>
                <w:p w14:paraId="5A5C52DA">
                  <w:pPr>
                    <w:pStyle w:val="32"/>
                    <w:bidi w:val="0"/>
                    <w:rPr>
                      <w:rFonts w:hint="default"/>
                      <w:lang w:val="en-US" w:eastAsia="zh-CN"/>
                    </w:rPr>
                  </w:pPr>
                  <w:r>
                    <w:rPr>
                      <w:rFonts w:hint="eastAsia"/>
                      <w:lang w:val="en-US" w:eastAsia="zh-CN"/>
                    </w:rPr>
                    <w:t>噪声</w:t>
                  </w:r>
                </w:p>
              </w:tc>
              <w:tc>
                <w:tcPr>
                  <w:tcW w:w="10694" w:type="dxa"/>
                  <w:tcBorders>
                    <w:tl2br w:val="nil"/>
                    <w:tr2bl w:val="nil"/>
                  </w:tcBorders>
                  <w:noWrap w:val="0"/>
                  <w:vAlign w:val="center"/>
                </w:tcPr>
                <w:p w14:paraId="648BC454">
                  <w:pPr>
                    <w:pStyle w:val="32"/>
                    <w:bidi w:val="0"/>
                    <w:rPr>
                      <w:rFonts w:hint="eastAsia"/>
                      <w:highlight w:val="yellow"/>
                      <w:lang w:val="en-US" w:eastAsia="zh-CN"/>
                    </w:rPr>
                  </w:pPr>
                  <w:r>
                    <w:rPr>
                      <w:rFonts w:hint="default" w:ascii="Times New Roman" w:hAnsi="Times New Roman" w:cs="Times New Roman"/>
                      <w:color w:val="auto"/>
                    </w:rPr>
                    <w:t>项目优先采用低噪设备，对噪声设备进行合理布局，同时设备之间应保持相应的间距等，高噪声设备必须安装在加有减震垫的振基上，可通过建筑隔声降低设施噪音。</w:t>
                  </w:r>
                </w:p>
              </w:tc>
              <w:tc>
                <w:tcPr>
                  <w:tcW w:w="545" w:type="dxa"/>
                  <w:tcBorders>
                    <w:tl2br w:val="nil"/>
                    <w:tr2bl w:val="nil"/>
                  </w:tcBorders>
                  <w:noWrap w:val="0"/>
                  <w:vAlign w:val="center"/>
                </w:tcPr>
                <w:p w14:paraId="60121BD4">
                  <w:pPr>
                    <w:pStyle w:val="32"/>
                    <w:bidi w:val="0"/>
                    <w:rPr>
                      <w:rFonts w:hint="default"/>
                      <w:lang w:val="en-US" w:eastAsia="zh-CN"/>
                    </w:rPr>
                  </w:pPr>
                  <w:r>
                    <w:rPr>
                      <w:rFonts w:hint="eastAsia"/>
                      <w:lang w:val="en-US" w:eastAsia="zh-CN"/>
                    </w:rPr>
                    <w:t>/</w:t>
                  </w:r>
                </w:p>
              </w:tc>
            </w:tr>
            <w:tr w14:paraId="3E54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45086EA7">
                  <w:pPr>
                    <w:pStyle w:val="32"/>
                    <w:bidi w:val="0"/>
                    <w:rPr>
                      <w:rFonts w:hint="default"/>
                    </w:rPr>
                  </w:pPr>
                </w:p>
              </w:tc>
              <w:tc>
                <w:tcPr>
                  <w:tcW w:w="1251" w:type="dxa"/>
                  <w:tcBorders>
                    <w:tl2br w:val="nil"/>
                    <w:tr2bl w:val="nil"/>
                  </w:tcBorders>
                  <w:shd w:val="clear" w:color="auto" w:fill="auto"/>
                  <w:noWrap w:val="0"/>
                  <w:vAlign w:val="center"/>
                </w:tcPr>
                <w:p w14:paraId="2564186C">
                  <w:pPr>
                    <w:pStyle w:val="32"/>
                    <w:bidi w:val="0"/>
                    <w:rPr>
                      <w:rFonts w:hint="eastAsia"/>
                      <w:lang w:val="en-US" w:eastAsia="zh-CN"/>
                    </w:rPr>
                  </w:pPr>
                  <w:r>
                    <w:rPr>
                      <w:rFonts w:hint="default"/>
                    </w:rPr>
                    <w:t>固废处理</w:t>
                  </w:r>
                </w:p>
              </w:tc>
              <w:tc>
                <w:tcPr>
                  <w:tcW w:w="10694" w:type="dxa"/>
                  <w:tcBorders>
                    <w:tl2br w:val="nil"/>
                    <w:tr2bl w:val="nil"/>
                  </w:tcBorders>
                  <w:shd w:val="clear" w:color="auto" w:fill="auto"/>
                  <w:noWrap w:val="0"/>
                  <w:vAlign w:val="center"/>
                </w:tcPr>
                <w:p w14:paraId="0E4BA2FC">
                  <w:pPr>
                    <w:pStyle w:val="32"/>
                    <w:bidi w:val="0"/>
                    <w:rPr>
                      <w:rFonts w:hint="default"/>
                      <w:highlight w:val="none"/>
                      <w:lang w:val="en-US" w:eastAsia="zh-CN"/>
                    </w:rPr>
                  </w:pPr>
                  <w:r>
                    <w:rPr>
                      <w:rFonts w:hint="default"/>
                      <w:highlight w:val="none"/>
                    </w:rPr>
                    <w:t>职工生活垃圾交由环卫部门清运处理；废包装材料由建设单位收集后外售至废品收购站</w:t>
                  </w:r>
                  <w:r>
                    <w:rPr>
                      <w:rFonts w:hint="eastAsia"/>
                      <w:highlight w:val="none"/>
                      <w:lang w:eastAsia="zh-CN"/>
                    </w:rPr>
                    <w:t>；</w:t>
                  </w:r>
                  <w:r>
                    <w:rPr>
                      <w:rFonts w:hint="default"/>
                      <w:highlight w:val="none"/>
                    </w:rPr>
                    <w:t>医疗废物由建设单位统一收集后暂存于医疗废物暂存间(</w:t>
                  </w:r>
                  <w:r>
                    <w:rPr>
                      <w:rFonts w:hint="eastAsia"/>
                      <w:highlight w:val="none"/>
                      <w:lang w:val="en-US" w:eastAsia="zh-CN"/>
                    </w:rPr>
                    <w:t>15㎡</w:t>
                  </w:r>
                  <w:r>
                    <w:rPr>
                      <w:rFonts w:hint="default"/>
                      <w:highlight w:val="none"/>
                    </w:rPr>
                    <w:t>)内，委托有资质单位定期处置。废活性炭、污水处理站产生的格栅渣和污泥由建设单位分类收集后暂存于危废暂存间</w:t>
                  </w: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default"/>
                      <w:highlight w:val="none"/>
                    </w:rPr>
                    <w:t>内，委托有资质单位定期处置。</w:t>
                  </w:r>
                </w:p>
              </w:tc>
              <w:tc>
                <w:tcPr>
                  <w:tcW w:w="545" w:type="dxa"/>
                  <w:tcBorders>
                    <w:tl2br w:val="nil"/>
                    <w:tr2bl w:val="nil"/>
                  </w:tcBorders>
                  <w:noWrap w:val="0"/>
                  <w:vAlign w:val="center"/>
                </w:tcPr>
                <w:p w14:paraId="285AECFA">
                  <w:pPr>
                    <w:pStyle w:val="32"/>
                    <w:bidi w:val="0"/>
                    <w:rPr>
                      <w:rFonts w:hint="default"/>
                      <w:lang w:val="en-US" w:eastAsia="zh-CN"/>
                    </w:rPr>
                  </w:pPr>
                  <w:r>
                    <w:rPr>
                      <w:rFonts w:hint="eastAsia"/>
                      <w:lang w:val="en-US" w:eastAsia="zh-CN"/>
                    </w:rPr>
                    <w:t>/</w:t>
                  </w:r>
                </w:p>
              </w:tc>
            </w:tr>
            <w:tr w14:paraId="4B2E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4BF2B291">
                  <w:pPr>
                    <w:pStyle w:val="32"/>
                    <w:bidi w:val="0"/>
                    <w:rPr>
                      <w:rFonts w:hint="default"/>
                    </w:rPr>
                  </w:pPr>
                </w:p>
              </w:tc>
              <w:tc>
                <w:tcPr>
                  <w:tcW w:w="1251" w:type="dxa"/>
                  <w:tcBorders>
                    <w:tl2br w:val="nil"/>
                    <w:tr2bl w:val="nil"/>
                  </w:tcBorders>
                  <w:shd w:val="clear" w:color="auto" w:fill="auto"/>
                  <w:noWrap w:val="0"/>
                  <w:vAlign w:val="center"/>
                </w:tcPr>
                <w:p w14:paraId="21559FF8">
                  <w:pPr>
                    <w:pStyle w:val="32"/>
                    <w:bidi w:val="0"/>
                    <w:rPr>
                      <w:rFonts w:hint="default" w:eastAsia="宋体"/>
                      <w:lang w:val="en-US" w:eastAsia="zh-CN"/>
                    </w:rPr>
                  </w:pPr>
                  <w:r>
                    <w:rPr>
                      <w:rFonts w:hint="eastAsia"/>
                      <w:lang w:val="en-US" w:eastAsia="zh-CN"/>
                    </w:rPr>
                    <w:t>土壤、地下水</w:t>
                  </w:r>
                </w:p>
              </w:tc>
              <w:tc>
                <w:tcPr>
                  <w:tcW w:w="10694" w:type="dxa"/>
                  <w:tcBorders>
                    <w:tl2br w:val="nil"/>
                    <w:tr2bl w:val="nil"/>
                  </w:tcBorders>
                  <w:shd w:val="clear" w:color="auto" w:fill="auto"/>
                  <w:noWrap w:val="0"/>
                  <w:vAlign w:val="center"/>
                </w:tcPr>
                <w:p w14:paraId="78C524CF">
                  <w:pPr>
                    <w:pStyle w:val="32"/>
                    <w:bidi w:val="0"/>
                    <w:rPr>
                      <w:rFonts w:hint="default" w:eastAsia="宋体"/>
                      <w:highlight w:val="none"/>
                      <w:lang w:val="en-US" w:eastAsia="zh-CN"/>
                    </w:rPr>
                  </w:pPr>
                  <w:r>
                    <w:rPr>
                      <w:rFonts w:hint="default"/>
                      <w:highlight w:val="none"/>
                    </w:rPr>
                    <w:t>采取分区防渗措施，医疗废物暂存间、危废暂存间、污水处理站各构筑物为重点防渗区</w:t>
                  </w:r>
                  <w:r>
                    <w:rPr>
                      <w:rFonts w:hint="eastAsia"/>
                      <w:highlight w:val="none"/>
                      <w:lang w:eastAsia="zh-CN"/>
                    </w:rPr>
                    <w:t>；</w:t>
                  </w:r>
                  <w:r>
                    <w:rPr>
                      <w:rFonts w:hint="default"/>
                      <w:highlight w:val="none"/>
                    </w:rPr>
                    <w:t>院区内其他区域和道路为</w:t>
                  </w:r>
                  <w:r>
                    <w:rPr>
                      <w:rFonts w:hint="eastAsia"/>
                      <w:highlight w:val="none"/>
                      <w:lang w:val="en-US" w:eastAsia="zh-CN"/>
                    </w:rPr>
                    <w:t>一般地面硬化</w:t>
                  </w:r>
                </w:p>
              </w:tc>
              <w:tc>
                <w:tcPr>
                  <w:tcW w:w="545" w:type="dxa"/>
                  <w:tcBorders>
                    <w:tl2br w:val="nil"/>
                    <w:tr2bl w:val="nil"/>
                  </w:tcBorders>
                  <w:noWrap w:val="0"/>
                  <w:vAlign w:val="center"/>
                </w:tcPr>
                <w:p w14:paraId="0BE1E138">
                  <w:pPr>
                    <w:pStyle w:val="32"/>
                    <w:bidi w:val="0"/>
                    <w:rPr>
                      <w:rFonts w:hint="default"/>
                      <w:lang w:val="en-US" w:eastAsia="zh-CN"/>
                    </w:rPr>
                  </w:pPr>
                  <w:r>
                    <w:rPr>
                      <w:rFonts w:hint="eastAsia"/>
                      <w:lang w:val="en-US" w:eastAsia="zh-CN"/>
                    </w:rPr>
                    <w:t>/</w:t>
                  </w:r>
                </w:p>
              </w:tc>
            </w:tr>
            <w:tr w14:paraId="2F40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6" w:type="dxa"/>
                  <w:vMerge w:val="continue"/>
                  <w:tcBorders>
                    <w:tl2br w:val="nil"/>
                    <w:tr2bl w:val="nil"/>
                  </w:tcBorders>
                  <w:noWrap w:val="0"/>
                  <w:vAlign w:val="center"/>
                </w:tcPr>
                <w:p w14:paraId="7E09BA45">
                  <w:pPr>
                    <w:pStyle w:val="32"/>
                    <w:bidi w:val="0"/>
                    <w:rPr>
                      <w:rFonts w:hint="default"/>
                    </w:rPr>
                  </w:pPr>
                </w:p>
              </w:tc>
              <w:tc>
                <w:tcPr>
                  <w:tcW w:w="1251" w:type="dxa"/>
                  <w:tcBorders>
                    <w:tl2br w:val="nil"/>
                    <w:tr2bl w:val="nil"/>
                  </w:tcBorders>
                  <w:shd w:val="clear" w:color="auto" w:fill="auto"/>
                  <w:noWrap w:val="0"/>
                  <w:vAlign w:val="center"/>
                </w:tcPr>
                <w:p w14:paraId="6E9DE93F">
                  <w:pPr>
                    <w:pStyle w:val="32"/>
                    <w:bidi w:val="0"/>
                    <w:rPr>
                      <w:rFonts w:hint="default" w:eastAsia="宋体"/>
                      <w:highlight w:val="none"/>
                      <w:lang w:val="en-US" w:eastAsia="zh-CN"/>
                    </w:rPr>
                  </w:pPr>
                  <w:r>
                    <w:rPr>
                      <w:rFonts w:hint="eastAsia"/>
                      <w:highlight w:val="none"/>
                      <w:lang w:val="en-US" w:eastAsia="zh-CN"/>
                    </w:rPr>
                    <w:t>环境风险</w:t>
                  </w:r>
                </w:p>
              </w:tc>
              <w:tc>
                <w:tcPr>
                  <w:tcW w:w="10694" w:type="dxa"/>
                  <w:tcBorders>
                    <w:tl2br w:val="nil"/>
                    <w:tr2bl w:val="nil"/>
                  </w:tcBorders>
                  <w:shd w:val="clear" w:color="auto" w:fill="auto"/>
                  <w:noWrap w:val="0"/>
                  <w:vAlign w:val="center"/>
                </w:tcPr>
                <w:p w14:paraId="19583BA8">
                  <w:pPr>
                    <w:pStyle w:val="32"/>
                    <w:bidi w:val="0"/>
                    <w:rPr>
                      <w:rFonts w:hint="default"/>
                      <w:highlight w:val="none"/>
                    </w:rPr>
                  </w:pPr>
                  <w:r>
                    <w:rPr>
                      <w:rFonts w:hint="default"/>
                      <w:highlight w:val="none"/>
                    </w:rPr>
                    <w:t>项目配置若干室外消火栓、室内消防栓、建筑灭火器等消防工程</w:t>
                  </w:r>
                  <w:r>
                    <w:rPr>
                      <w:rFonts w:hint="eastAsia"/>
                      <w:highlight w:val="none"/>
                      <w:lang w:eastAsia="zh-CN"/>
                    </w:rPr>
                    <w:t>。</w:t>
                  </w:r>
                  <w:r>
                    <w:rPr>
                      <w:rFonts w:hint="eastAsia"/>
                      <w:highlight w:val="none"/>
                      <w:lang w:val="en-US" w:eastAsia="zh-CN"/>
                    </w:rPr>
                    <w:t>项目设置事故池30m³；</w:t>
                  </w:r>
                  <w:r>
                    <w:rPr>
                      <w:rFonts w:hint="default"/>
                      <w:highlight w:val="none"/>
                    </w:rPr>
                    <w:t>企业应编写突发环境事件应急预案和风险评估报告，并在项目环保竣工验收前向当地环保主管部门备案，企业应根据其要求设立环境应急组织机构、配备相应的应急物资</w:t>
                  </w:r>
                  <w:r>
                    <w:rPr>
                      <w:rFonts w:hint="eastAsia"/>
                      <w:highlight w:val="none"/>
                      <w:lang w:eastAsia="zh-CN"/>
                    </w:rPr>
                    <w:t>，</w:t>
                  </w:r>
                  <w:r>
                    <w:rPr>
                      <w:rFonts w:hint="default"/>
                      <w:highlight w:val="none"/>
                    </w:rPr>
                    <w:t>完善应急设施，使得企业环境风险可控</w:t>
                  </w:r>
                </w:p>
              </w:tc>
              <w:tc>
                <w:tcPr>
                  <w:tcW w:w="545" w:type="dxa"/>
                  <w:tcBorders>
                    <w:tl2br w:val="nil"/>
                    <w:tr2bl w:val="nil"/>
                  </w:tcBorders>
                  <w:noWrap w:val="0"/>
                  <w:vAlign w:val="center"/>
                </w:tcPr>
                <w:p w14:paraId="3428CF34">
                  <w:pPr>
                    <w:pStyle w:val="32"/>
                    <w:bidi w:val="0"/>
                    <w:rPr>
                      <w:rFonts w:hint="default"/>
                      <w:lang w:val="en-US" w:eastAsia="zh-CN"/>
                    </w:rPr>
                  </w:pPr>
                  <w:r>
                    <w:rPr>
                      <w:rFonts w:hint="eastAsia"/>
                      <w:lang w:val="en-US" w:eastAsia="zh-CN"/>
                    </w:rPr>
                    <w:t>/</w:t>
                  </w:r>
                </w:p>
              </w:tc>
            </w:tr>
            <w:tr w14:paraId="62B4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386" w:type="dxa"/>
                  <w:gridSpan w:val="4"/>
                  <w:tcBorders>
                    <w:tl2br w:val="nil"/>
                    <w:tr2bl w:val="nil"/>
                  </w:tcBorders>
                  <w:noWrap w:val="0"/>
                  <w:vAlign w:val="center"/>
                </w:tcPr>
                <w:p w14:paraId="6762E330">
                  <w:pPr>
                    <w:pStyle w:val="32"/>
                    <w:bidi w:val="0"/>
                    <w:rPr>
                      <w:rFonts w:hint="eastAsia"/>
                      <w:b/>
                      <w:bCs/>
                      <w:color w:val="auto"/>
                      <w:sz w:val="18"/>
                      <w:szCs w:val="18"/>
                      <w:lang w:val="en-US" w:eastAsia="zh-CN"/>
                    </w:rPr>
                  </w:pPr>
                  <w:r>
                    <w:rPr>
                      <w:rFonts w:hint="eastAsia"/>
                      <w:b/>
                      <w:bCs/>
                      <w:sz w:val="18"/>
                      <w:szCs w:val="18"/>
                      <w:lang w:val="en-US" w:eastAsia="zh-CN"/>
                    </w:rPr>
                    <w:t>①本院区为</w:t>
                  </w:r>
                  <w:r>
                    <w:rPr>
                      <w:rFonts w:hint="eastAsia"/>
                      <w:b/>
                      <w:bCs/>
                      <w:color w:val="auto"/>
                      <w:sz w:val="18"/>
                      <w:szCs w:val="18"/>
                      <w:lang w:eastAsia="zh-CN"/>
                    </w:rPr>
                    <w:t>淮南市精神病医院（淮南市第四人民医院）</w:t>
                  </w:r>
                  <w:r>
                    <w:rPr>
                      <w:rFonts w:hint="eastAsia"/>
                      <w:b/>
                      <w:bCs/>
                      <w:color w:val="auto"/>
                      <w:sz w:val="18"/>
                      <w:szCs w:val="18"/>
                      <w:lang w:val="en-US" w:eastAsia="zh-CN"/>
                    </w:rPr>
                    <w:t>山南院区，主要接纳</w:t>
                  </w:r>
                  <w:r>
                    <w:rPr>
                      <w:rFonts w:hint="eastAsia"/>
                      <w:b/>
                      <w:bCs/>
                      <w:color w:val="auto"/>
                      <w:sz w:val="18"/>
                      <w:szCs w:val="18"/>
                      <w:lang w:eastAsia="zh-CN"/>
                    </w:rPr>
                    <w:t>淮南市精神病医院（淮南市第四人民医院）</w:t>
                  </w:r>
                  <w:r>
                    <w:rPr>
                      <w:rFonts w:hint="eastAsia"/>
                      <w:b/>
                      <w:bCs/>
                      <w:color w:val="auto"/>
                      <w:sz w:val="18"/>
                      <w:szCs w:val="18"/>
                      <w:lang w:val="en-US" w:eastAsia="zh-CN"/>
                    </w:rPr>
                    <w:t>谢家集院区已就诊住院病人，本院区无核磁共振等辐射相关设备，因此不涉及辐射影响。</w:t>
                  </w:r>
                </w:p>
                <w:p w14:paraId="763B0E93">
                  <w:pPr>
                    <w:pStyle w:val="32"/>
                    <w:bidi w:val="0"/>
                    <w:jc w:val="both"/>
                    <w:rPr>
                      <w:rFonts w:hint="default"/>
                      <w:color w:val="auto"/>
                      <w:lang w:val="en-US" w:eastAsia="zh-CN"/>
                    </w:rPr>
                  </w:pPr>
                  <w:r>
                    <w:rPr>
                      <w:rFonts w:hint="eastAsia"/>
                      <w:b/>
                      <w:bCs/>
                      <w:color w:val="auto"/>
                      <w:sz w:val="18"/>
                      <w:szCs w:val="18"/>
                      <w:lang w:val="en-US" w:eastAsia="zh-CN"/>
                    </w:rPr>
                    <w:t>②项目使用建筑为</w:t>
                  </w:r>
                  <w:r>
                    <w:rPr>
                      <w:rFonts w:hint="eastAsia"/>
                      <w:b/>
                      <w:bCs/>
                      <w:color w:val="auto"/>
                      <w:sz w:val="18"/>
                      <w:szCs w:val="18"/>
                      <w:highlight w:val="none"/>
                      <w:lang w:val="en-US" w:eastAsia="zh-CN"/>
                    </w:rPr>
                    <w:t>原福利院建筑东侧闲置楼</w:t>
                  </w:r>
                  <w:r>
                    <w:rPr>
                      <w:rFonts w:hint="eastAsia"/>
                      <w:b/>
                      <w:bCs/>
                      <w:color w:val="auto"/>
                      <w:sz w:val="18"/>
                      <w:szCs w:val="18"/>
                      <w:lang w:val="en-US" w:eastAsia="zh-CN"/>
                    </w:rPr>
                    <w:t>，本次建设仅涉及布局调整与设备安装、污水处理站建设。</w:t>
                  </w:r>
                </w:p>
              </w:tc>
            </w:tr>
          </w:tbl>
          <w:p w14:paraId="72683AB9">
            <w:pPr>
              <w:pStyle w:val="7"/>
              <w:jc w:val="center"/>
              <w:outlineLvl w:val="9"/>
              <w:rPr>
                <w:vertAlign w:val="baseline"/>
              </w:rPr>
            </w:pPr>
          </w:p>
        </w:tc>
      </w:tr>
    </w:tbl>
    <w:p w14:paraId="035F2E2E">
      <w:pPr>
        <w:pStyle w:val="7"/>
        <w:outlineLvl w:val="9"/>
        <w:sectPr>
          <w:pgSz w:w="16838" w:h="11906" w:orient="landscape"/>
          <w:pgMar w:top="1417" w:right="1417" w:bottom="1417" w:left="1417" w:header="737" w:footer="850" w:gutter="0"/>
          <w:pgNumType w:fmt="decimal"/>
          <w:cols w:space="720" w:num="1"/>
          <w:docGrid w:type="lines" w:linePitch="312" w:charSpace="0"/>
        </w:sect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719"/>
      </w:tblGrid>
      <w:tr w14:paraId="0996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dxa"/>
            <w:tcBorders>
              <w:tl2br w:val="nil"/>
              <w:tr2bl w:val="nil"/>
            </w:tcBorders>
            <w:vAlign w:val="center"/>
          </w:tcPr>
          <w:p w14:paraId="16291C6F">
            <w:pPr>
              <w:ind w:left="0" w:leftChars="0" w:firstLine="0" w:firstLineChars="0"/>
            </w:pPr>
            <w:r>
              <w:rPr>
                <w:rFonts w:hint="eastAsia" w:ascii="宋体"/>
                <w:lang w:val="en-US" w:eastAsia="zh-CN"/>
              </w:rPr>
              <w:t xml:space="preserve"> 建设</w:t>
            </w:r>
            <w:r>
              <w:rPr>
                <w:rFonts w:hint="eastAsia" w:ascii="宋体"/>
              </w:rPr>
              <w:t>内容</w:t>
            </w:r>
          </w:p>
        </w:tc>
        <w:tc>
          <w:tcPr>
            <w:tcW w:w="8719" w:type="dxa"/>
            <w:tcBorders>
              <w:tl2br w:val="nil"/>
              <w:tr2bl w:val="nil"/>
            </w:tcBorders>
            <w:shd w:val="clear" w:color="auto" w:fill="auto"/>
            <w:vAlign w:val="top"/>
          </w:tcPr>
          <w:p w14:paraId="598A28FA">
            <w:pPr>
              <w:numPr>
                <w:ilvl w:val="0"/>
                <w:numId w:val="0"/>
              </w:numPr>
              <w:rPr>
                <w:rFonts w:hint="default"/>
                <w:b/>
                <w:bCs/>
                <w:color w:val="auto"/>
                <w:highlight w:val="none"/>
                <w:lang w:val="en-US" w:eastAsia="zh-CN"/>
              </w:rPr>
            </w:pPr>
            <w:r>
              <w:rPr>
                <w:rFonts w:hint="eastAsia"/>
                <w:b/>
                <w:bCs/>
                <w:color w:val="auto"/>
                <w:highlight w:val="none"/>
                <w:lang w:val="en-US" w:eastAsia="zh-CN"/>
              </w:rPr>
              <w:t>（2）建筑特征及功能分布</w:t>
            </w:r>
          </w:p>
          <w:p w14:paraId="2604ECA9">
            <w:pPr>
              <w:bidi w:val="0"/>
              <w:rPr>
                <w:rFonts w:hint="eastAsia"/>
                <w:color w:val="auto"/>
                <w:lang w:val="en-US" w:eastAsia="zh-CN"/>
              </w:rPr>
            </w:pPr>
            <w:r>
              <w:rPr>
                <w:rFonts w:hint="eastAsia"/>
                <w:lang w:val="en-US" w:eastAsia="zh-CN"/>
              </w:rPr>
              <w:t>本项目</w:t>
            </w:r>
            <w:r>
              <w:rPr>
                <w:rFonts w:hint="eastAsia"/>
                <w:color w:val="auto"/>
                <w:lang w:val="en-US" w:eastAsia="zh-CN"/>
              </w:rPr>
              <w:t>使用建筑为福利保障区东南侧主楼，本项目建成后建筑物功能分区详见下表。</w:t>
            </w:r>
          </w:p>
          <w:p w14:paraId="0B6A724A">
            <w:pPr>
              <w:pStyle w:val="27"/>
              <w:bidi w:val="0"/>
              <w:rPr>
                <w:rFonts w:hint="default"/>
                <w:lang w:val="en-US"/>
              </w:rPr>
            </w:pPr>
            <w:r>
              <w:t>表2-</w:t>
            </w:r>
            <w:r>
              <w:rPr>
                <w:rFonts w:hint="eastAsia"/>
                <w:lang w:val="en-US" w:eastAsia="zh-CN"/>
              </w:rPr>
              <w:t>4</w:t>
            </w:r>
            <w:r>
              <w:t xml:space="preserve"> </w:t>
            </w:r>
            <w:r>
              <w:rPr>
                <w:rFonts w:hint="eastAsia"/>
                <w:lang w:val="en-US" w:eastAsia="zh-CN"/>
              </w:rPr>
              <w:t xml:space="preserve"> </w:t>
            </w:r>
            <w:r>
              <w:rPr>
                <w:rFonts w:hint="eastAsia" w:eastAsiaTheme="minorEastAsia"/>
                <w:color w:val="auto"/>
                <w:szCs w:val="21"/>
                <w:lang w:val="en-US" w:eastAsia="zh-CN"/>
              </w:rPr>
              <w:t>淮南市精神病医院山南院区</w:t>
            </w:r>
            <w:r>
              <w:rPr>
                <w:rFonts w:hint="eastAsia" w:cs="Times New Roman"/>
                <w:kern w:val="2"/>
                <w:sz w:val="21"/>
                <w:szCs w:val="24"/>
                <w:lang w:val="en-US" w:eastAsia="zh-CN" w:bidi="ar-SA"/>
              </w:rPr>
              <w:t>平面功能一览表</w:t>
            </w:r>
          </w:p>
          <w:tbl>
            <w:tblPr>
              <w:tblStyle w:val="19"/>
              <w:tblW w:w="8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275"/>
              <w:gridCol w:w="4574"/>
              <w:gridCol w:w="1122"/>
            </w:tblGrid>
            <w:tr w14:paraId="223F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E8804B7">
                  <w:pPr>
                    <w:pStyle w:val="32"/>
                    <w:bidi w:val="0"/>
                    <w:rPr>
                      <w:rFonts w:hint="eastAsia"/>
                      <w:b/>
                      <w:bCs/>
                      <w:lang w:val="en-US" w:eastAsia="zh-CN"/>
                    </w:rPr>
                  </w:pPr>
                  <w:r>
                    <w:rPr>
                      <w:rFonts w:hint="eastAsia"/>
                      <w:b/>
                      <w:bCs/>
                      <w:lang w:val="en-US" w:eastAsia="zh-CN"/>
                    </w:rPr>
                    <w:t>名称</w:t>
                  </w:r>
                </w:p>
              </w:tc>
              <w:tc>
                <w:tcPr>
                  <w:tcW w:w="1275" w:type="dxa"/>
                  <w:shd w:val="clear" w:color="auto" w:fill="auto"/>
                  <w:vAlign w:val="center"/>
                </w:tcPr>
                <w:p w14:paraId="3A382C1C">
                  <w:pPr>
                    <w:pStyle w:val="32"/>
                    <w:bidi w:val="0"/>
                    <w:rPr>
                      <w:rFonts w:hint="eastAsia"/>
                      <w:b/>
                      <w:bCs/>
                      <w:lang w:val="en-US" w:eastAsia="zh-CN"/>
                    </w:rPr>
                  </w:pPr>
                  <w:r>
                    <w:rPr>
                      <w:rFonts w:hint="eastAsia"/>
                      <w:b/>
                      <w:bCs/>
                      <w:lang w:val="en-US" w:eastAsia="zh-CN"/>
                    </w:rPr>
                    <w:t>建筑面积（㎡）</w:t>
                  </w:r>
                </w:p>
              </w:tc>
              <w:tc>
                <w:tcPr>
                  <w:tcW w:w="4574" w:type="dxa"/>
                  <w:shd w:val="clear" w:color="auto" w:fill="auto"/>
                  <w:vAlign w:val="center"/>
                </w:tcPr>
                <w:p w14:paraId="7F661F05">
                  <w:pPr>
                    <w:pStyle w:val="32"/>
                    <w:bidi w:val="0"/>
                    <w:rPr>
                      <w:rFonts w:hint="default"/>
                      <w:b/>
                      <w:bCs/>
                      <w:lang w:val="en-US" w:eastAsia="zh-CN"/>
                    </w:rPr>
                  </w:pPr>
                  <w:r>
                    <w:rPr>
                      <w:rFonts w:hint="eastAsia"/>
                      <w:b/>
                      <w:bCs/>
                      <w:lang w:val="en-US" w:eastAsia="zh-CN"/>
                    </w:rPr>
                    <w:t>数量（间）</w:t>
                  </w:r>
                </w:p>
              </w:tc>
              <w:tc>
                <w:tcPr>
                  <w:tcW w:w="1122" w:type="dxa"/>
                  <w:vAlign w:val="center"/>
                </w:tcPr>
                <w:p w14:paraId="45211C94">
                  <w:pPr>
                    <w:pStyle w:val="32"/>
                    <w:bidi w:val="0"/>
                    <w:rPr>
                      <w:rFonts w:hint="default"/>
                      <w:b/>
                      <w:bCs/>
                      <w:lang w:val="en-US" w:eastAsia="zh-CN"/>
                    </w:rPr>
                  </w:pPr>
                  <w:r>
                    <w:rPr>
                      <w:rFonts w:hint="eastAsia"/>
                      <w:b/>
                      <w:bCs/>
                      <w:lang w:val="en-US" w:eastAsia="zh-CN"/>
                    </w:rPr>
                    <w:t>楼层</w:t>
                  </w:r>
                </w:p>
              </w:tc>
            </w:tr>
            <w:tr w14:paraId="3977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0D86D85F">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护理间（6人）</w:t>
                  </w:r>
                </w:p>
              </w:tc>
              <w:tc>
                <w:tcPr>
                  <w:tcW w:w="1275" w:type="dxa"/>
                  <w:shd w:val="clear" w:color="auto" w:fill="auto"/>
                  <w:vAlign w:val="center"/>
                </w:tcPr>
                <w:p w14:paraId="7099967C">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40.32</w:t>
                  </w:r>
                </w:p>
              </w:tc>
              <w:tc>
                <w:tcPr>
                  <w:tcW w:w="4574" w:type="dxa"/>
                  <w:shd w:val="clear" w:color="auto" w:fill="auto"/>
                  <w:vAlign w:val="center"/>
                </w:tcPr>
                <w:p w14:paraId="6377793D">
                  <w:pPr>
                    <w:pStyle w:val="32"/>
                    <w:bidi w:val="0"/>
                    <w:rPr>
                      <w:rFonts w:hint="default"/>
                      <w:lang w:val="en-US" w:eastAsia="zh-CN"/>
                    </w:rPr>
                  </w:pPr>
                  <w:r>
                    <w:rPr>
                      <w:rFonts w:hint="eastAsia"/>
                      <w:lang w:val="en-US" w:eastAsia="zh-CN"/>
                    </w:rPr>
                    <w:t>1F:6间；2F:7间；3F：7间；4F:9间；5F：9间</w:t>
                  </w:r>
                </w:p>
              </w:tc>
              <w:tc>
                <w:tcPr>
                  <w:tcW w:w="1122" w:type="dxa"/>
                  <w:vMerge w:val="restart"/>
                  <w:vAlign w:val="center"/>
                </w:tcPr>
                <w:p w14:paraId="321A17B8">
                  <w:pPr>
                    <w:pStyle w:val="32"/>
                    <w:bidi w:val="0"/>
                    <w:rPr>
                      <w:rFonts w:hint="default"/>
                      <w:lang w:val="en-US" w:eastAsia="zh-CN"/>
                    </w:rPr>
                  </w:pPr>
                  <w:r>
                    <w:rPr>
                      <w:rFonts w:hint="eastAsia"/>
                      <w:lang w:val="en-US" w:eastAsia="zh-CN"/>
                    </w:rPr>
                    <w:t>1~5层</w:t>
                  </w:r>
                </w:p>
              </w:tc>
            </w:tr>
            <w:tr w14:paraId="5494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D9239CD">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护理间（1人）</w:t>
                  </w:r>
                </w:p>
              </w:tc>
              <w:tc>
                <w:tcPr>
                  <w:tcW w:w="1275" w:type="dxa"/>
                  <w:shd w:val="clear" w:color="auto" w:fill="auto"/>
                  <w:vAlign w:val="center"/>
                </w:tcPr>
                <w:p w14:paraId="7344EE97">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22</w:t>
                  </w:r>
                </w:p>
              </w:tc>
              <w:tc>
                <w:tcPr>
                  <w:tcW w:w="4574" w:type="dxa"/>
                  <w:shd w:val="clear" w:color="auto" w:fill="auto"/>
                  <w:vAlign w:val="center"/>
                </w:tcPr>
                <w:p w14:paraId="3AD44584">
                  <w:pPr>
                    <w:pStyle w:val="32"/>
                    <w:bidi w:val="0"/>
                    <w:jc w:val="both"/>
                    <w:rPr>
                      <w:rFonts w:hint="eastAsia"/>
                      <w:lang w:val="en-US" w:eastAsia="zh-CN"/>
                    </w:rPr>
                  </w:pPr>
                  <w:r>
                    <w:rPr>
                      <w:rFonts w:hint="eastAsia"/>
                      <w:lang w:val="en-US" w:eastAsia="zh-CN"/>
                    </w:rPr>
                    <w:t>1F:2间；2F:2间；3F：2间；4F:2间；5F：2间</w:t>
                  </w:r>
                </w:p>
              </w:tc>
              <w:tc>
                <w:tcPr>
                  <w:tcW w:w="1122" w:type="dxa"/>
                  <w:vMerge w:val="continue"/>
                  <w:vAlign w:val="center"/>
                </w:tcPr>
                <w:p w14:paraId="2DEB0B74">
                  <w:pPr>
                    <w:pStyle w:val="32"/>
                    <w:bidi w:val="0"/>
                    <w:rPr>
                      <w:rFonts w:hint="eastAsia"/>
                      <w:lang w:val="en-US" w:eastAsia="zh-CN"/>
                    </w:rPr>
                  </w:pPr>
                </w:p>
              </w:tc>
            </w:tr>
            <w:tr w14:paraId="644A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10ECC693">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护理间（3人）</w:t>
                  </w:r>
                </w:p>
              </w:tc>
              <w:tc>
                <w:tcPr>
                  <w:tcW w:w="1275" w:type="dxa"/>
                  <w:shd w:val="clear" w:color="auto" w:fill="auto"/>
                  <w:vAlign w:val="center"/>
                </w:tcPr>
                <w:p w14:paraId="116EAE40">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22</w:t>
                  </w:r>
                </w:p>
              </w:tc>
              <w:tc>
                <w:tcPr>
                  <w:tcW w:w="4574" w:type="dxa"/>
                  <w:shd w:val="clear" w:color="auto" w:fill="auto"/>
                  <w:vAlign w:val="center"/>
                </w:tcPr>
                <w:p w14:paraId="4BC500C3">
                  <w:pPr>
                    <w:pStyle w:val="32"/>
                    <w:bidi w:val="0"/>
                    <w:rPr>
                      <w:rFonts w:hint="default"/>
                      <w:lang w:val="en-US" w:eastAsia="zh-CN"/>
                    </w:rPr>
                  </w:pPr>
                  <w:r>
                    <w:rPr>
                      <w:rFonts w:hint="eastAsia"/>
                      <w:lang w:val="en-US" w:eastAsia="zh-CN"/>
                    </w:rPr>
                    <w:t>2</w:t>
                  </w:r>
                </w:p>
              </w:tc>
              <w:tc>
                <w:tcPr>
                  <w:tcW w:w="1122" w:type="dxa"/>
                  <w:vAlign w:val="center"/>
                </w:tcPr>
                <w:p w14:paraId="0D4D7FA3">
                  <w:pPr>
                    <w:pStyle w:val="32"/>
                    <w:bidi w:val="0"/>
                    <w:rPr>
                      <w:rFonts w:hint="default"/>
                      <w:lang w:val="en-US" w:eastAsia="zh-CN"/>
                    </w:rPr>
                  </w:pPr>
                  <w:r>
                    <w:rPr>
                      <w:rFonts w:hint="eastAsia"/>
                      <w:lang w:val="en-US" w:eastAsia="zh-CN"/>
                    </w:rPr>
                    <w:t>1层</w:t>
                  </w:r>
                </w:p>
              </w:tc>
            </w:tr>
            <w:tr w14:paraId="0C56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9AD30E5">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护理间（4人）</w:t>
                  </w:r>
                </w:p>
              </w:tc>
              <w:tc>
                <w:tcPr>
                  <w:tcW w:w="1275" w:type="dxa"/>
                  <w:shd w:val="clear" w:color="auto" w:fill="auto"/>
                  <w:vAlign w:val="center"/>
                </w:tcPr>
                <w:p w14:paraId="654A05D3">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40.32</w:t>
                  </w:r>
                </w:p>
              </w:tc>
              <w:tc>
                <w:tcPr>
                  <w:tcW w:w="4574" w:type="dxa"/>
                  <w:shd w:val="clear" w:color="auto" w:fill="auto"/>
                  <w:vAlign w:val="center"/>
                </w:tcPr>
                <w:p w14:paraId="7BD2E620">
                  <w:pPr>
                    <w:pStyle w:val="32"/>
                    <w:bidi w:val="0"/>
                    <w:rPr>
                      <w:rFonts w:hint="eastAsia"/>
                      <w:lang w:val="en-US" w:eastAsia="zh-CN"/>
                    </w:rPr>
                  </w:pPr>
                  <w:r>
                    <w:rPr>
                      <w:rFonts w:hint="eastAsia"/>
                      <w:lang w:val="en-US" w:eastAsia="zh-CN"/>
                    </w:rPr>
                    <w:t>2F:1间；3F：1间；4F:1间；5F：1间</w:t>
                  </w:r>
                </w:p>
              </w:tc>
              <w:tc>
                <w:tcPr>
                  <w:tcW w:w="1122" w:type="dxa"/>
                  <w:vAlign w:val="center"/>
                </w:tcPr>
                <w:p w14:paraId="5AACAC00">
                  <w:pPr>
                    <w:pStyle w:val="32"/>
                    <w:bidi w:val="0"/>
                    <w:rPr>
                      <w:rFonts w:hint="default"/>
                      <w:lang w:val="en-US" w:eastAsia="zh-CN"/>
                    </w:rPr>
                  </w:pPr>
                  <w:r>
                    <w:rPr>
                      <w:rFonts w:hint="eastAsia"/>
                      <w:lang w:val="en-US" w:eastAsia="zh-CN"/>
                    </w:rPr>
                    <w:t>2~5层</w:t>
                  </w:r>
                </w:p>
              </w:tc>
            </w:tr>
            <w:tr w14:paraId="2C20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3EDEBF05">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护理间（2人）</w:t>
                  </w:r>
                </w:p>
              </w:tc>
              <w:tc>
                <w:tcPr>
                  <w:tcW w:w="1275" w:type="dxa"/>
                  <w:shd w:val="clear" w:color="auto" w:fill="auto"/>
                  <w:vAlign w:val="center"/>
                </w:tcPr>
                <w:p w14:paraId="402CB31A">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35.64</w:t>
                  </w:r>
                </w:p>
              </w:tc>
              <w:tc>
                <w:tcPr>
                  <w:tcW w:w="4574" w:type="dxa"/>
                  <w:shd w:val="clear" w:color="auto" w:fill="auto"/>
                  <w:vAlign w:val="center"/>
                </w:tcPr>
                <w:p w14:paraId="2143BD44">
                  <w:pPr>
                    <w:pStyle w:val="32"/>
                    <w:bidi w:val="0"/>
                    <w:rPr>
                      <w:rFonts w:hint="eastAsia"/>
                      <w:lang w:val="en-US" w:eastAsia="zh-CN"/>
                    </w:rPr>
                  </w:pPr>
                  <w:r>
                    <w:rPr>
                      <w:rFonts w:hint="eastAsia"/>
                      <w:lang w:val="en-US" w:eastAsia="zh-CN"/>
                    </w:rPr>
                    <w:t>2F:2间；3F：2间</w:t>
                  </w:r>
                </w:p>
              </w:tc>
              <w:tc>
                <w:tcPr>
                  <w:tcW w:w="1122" w:type="dxa"/>
                  <w:vAlign w:val="center"/>
                </w:tcPr>
                <w:p w14:paraId="0A25E8C6">
                  <w:pPr>
                    <w:pStyle w:val="32"/>
                    <w:bidi w:val="0"/>
                    <w:rPr>
                      <w:rFonts w:hint="default"/>
                      <w:lang w:val="en-US" w:eastAsia="zh-CN"/>
                    </w:rPr>
                  </w:pPr>
                  <w:r>
                    <w:rPr>
                      <w:rFonts w:hint="eastAsia"/>
                      <w:lang w:val="en-US" w:eastAsia="zh-CN"/>
                    </w:rPr>
                    <w:t>2~3层</w:t>
                  </w:r>
                </w:p>
              </w:tc>
            </w:tr>
            <w:tr w14:paraId="1860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242E37D2">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隔离间（1人）</w:t>
                  </w:r>
                </w:p>
              </w:tc>
              <w:tc>
                <w:tcPr>
                  <w:tcW w:w="1275" w:type="dxa"/>
                  <w:shd w:val="clear" w:color="auto" w:fill="auto"/>
                  <w:vAlign w:val="center"/>
                </w:tcPr>
                <w:p w14:paraId="1DD30452">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22</w:t>
                  </w:r>
                </w:p>
              </w:tc>
              <w:tc>
                <w:tcPr>
                  <w:tcW w:w="4574" w:type="dxa"/>
                  <w:shd w:val="clear" w:color="auto" w:fill="auto"/>
                  <w:vAlign w:val="center"/>
                </w:tcPr>
                <w:p w14:paraId="5537CB51">
                  <w:pPr>
                    <w:pStyle w:val="32"/>
                    <w:bidi w:val="0"/>
                    <w:rPr>
                      <w:rFonts w:hint="default"/>
                      <w:lang w:val="en-US" w:eastAsia="zh-CN"/>
                    </w:rPr>
                  </w:pPr>
                  <w:r>
                    <w:rPr>
                      <w:rFonts w:hint="eastAsia"/>
                      <w:lang w:val="en-US" w:eastAsia="zh-CN"/>
                    </w:rPr>
                    <w:t>1</w:t>
                  </w:r>
                </w:p>
              </w:tc>
              <w:tc>
                <w:tcPr>
                  <w:tcW w:w="1122" w:type="dxa"/>
                  <w:vAlign w:val="center"/>
                </w:tcPr>
                <w:p w14:paraId="29DD5F5A">
                  <w:pPr>
                    <w:pStyle w:val="32"/>
                    <w:bidi w:val="0"/>
                    <w:rPr>
                      <w:rFonts w:hint="default"/>
                      <w:lang w:val="en-US" w:eastAsia="zh-CN"/>
                    </w:rPr>
                  </w:pPr>
                  <w:r>
                    <w:rPr>
                      <w:rFonts w:hint="eastAsia"/>
                      <w:lang w:val="en-US" w:eastAsia="zh-CN"/>
                    </w:rPr>
                    <w:t>1层</w:t>
                  </w:r>
                </w:p>
              </w:tc>
            </w:tr>
            <w:tr w14:paraId="68BB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3B7DB541">
                  <w:pPr>
                    <w:pStyle w:val="32"/>
                    <w:bidi w:val="0"/>
                    <w:rPr>
                      <w:rFonts w:hint="default"/>
                      <w:lang w:val="en-US" w:eastAsia="zh-CN"/>
                    </w:rPr>
                  </w:pPr>
                  <w:r>
                    <w:rPr>
                      <w:rFonts w:hint="eastAsia"/>
                      <w:lang w:val="en-US" w:eastAsia="zh-CN"/>
                    </w:rPr>
                    <w:t>餐厅</w:t>
                  </w:r>
                </w:p>
              </w:tc>
              <w:tc>
                <w:tcPr>
                  <w:tcW w:w="1275" w:type="dxa"/>
                  <w:shd w:val="clear" w:color="auto" w:fill="auto"/>
                  <w:vAlign w:val="center"/>
                </w:tcPr>
                <w:p w14:paraId="75CDF474">
                  <w:pPr>
                    <w:pStyle w:val="32"/>
                    <w:bidi w:val="0"/>
                    <w:rPr>
                      <w:rFonts w:hint="default"/>
                      <w:lang w:val="en-US" w:eastAsia="zh-CN"/>
                    </w:rPr>
                  </w:pPr>
                  <w:r>
                    <w:rPr>
                      <w:rFonts w:hint="eastAsia"/>
                      <w:lang w:val="en-US" w:eastAsia="zh-CN"/>
                    </w:rPr>
                    <w:t>50</w:t>
                  </w:r>
                </w:p>
              </w:tc>
              <w:tc>
                <w:tcPr>
                  <w:tcW w:w="4574" w:type="dxa"/>
                  <w:shd w:val="clear" w:color="auto" w:fill="auto"/>
                  <w:vAlign w:val="center"/>
                </w:tcPr>
                <w:p w14:paraId="232027FA">
                  <w:pPr>
                    <w:pStyle w:val="32"/>
                    <w:bidi w:val="0"/>
                    <w:rPr>
                      <w:rFonts w:hint="default"/>
                      <w:lang w:val="en-US" w:eastAsia="zh-CN"/>
                    </w:rPr>
                  </w:pPr>
                  <w:r>
                    <w:rPr>
                      <w:rFonts w:hint="eastAsia"/>
                      <w:lang w:val="en-US" w:eastAsia="zh-CN"/>
                    </w:rPr>
                    <w:t>2</w:t>
                  </w:r>
                </w:p>
              </w:tc>
              <w:tc>
                <w:tcPr>
                  <w:tcW w:w="1122" w:type="dxa"/>
                  <w:vMerge w:val="restart"/>
                  <w:shd w:val="clear" w:color="auto" w:fill="auto"/>
                  <w:vAlign w:val="center"/>
                </w:tcPr>
                <w:p w14:paraId="6D0B49AF">
                  <w:pPr>
                    <w:pStyle w:val="32"/>
                    <w:bidi w:val="0"/>
                    <w:rPr>
                      <w:rFonts w:hint="default"/>
                      <w:lang w:val="en-US" w:eastAsia="zh-CN"/>
                    </w:rPr>
                  </w:pPr>
                  <w:r>
                    <w:rPr>
                      <w:rFonts w:hint="eastAsia"/>
                      <w:lang w:val="en-US" w:eastAsia="zh-CN"/>
                    </w:rPr>
                    <w:t>1~5层</w:t>
                  </w:r>
                </w:p>
              </w:tc>
            </w:tr>
            <w:tr w14:paraId="4797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72AF12EC">
                  <w:pPr>
                    <w:pStyle w:val="32"/>
                    <w:bidi w:val="0"/>
                    <w:rPr>
                      <w:rFonts w:hint="default"/>
                      <w:lang w:val="en-US" w:eastAsia="zh-CN"/>
                    </w:rPr>
                  </w:pPr>
                  <w:r>
                    <w:rPr>
                      <w:rFonts w:hint="eastAsia"/>
                      <w:lang w:val="en-US" w:eastAsia="zh-CN"/>
                    </w:rPr>
                    <w:t>卫生间</w:t>
                  </w:r>
                </w:p>
              </w:tc>
              <w:tc>
                <w:tcPr>
                  <w:tcW w:w="1275" w:type="dxa"/>
                  <w:shd w:val="clear" w:color="auto" w:fill="auto"/>
                  <w:vAlign w:val="center"/>
                </w:tcPr>
                <w:p w14:paraId="6AD7D19C">
                  <w:pPr>
                    <w:pStyle w:val="32"/>
                    <w:bidi w:val="0"/>
                    <w:rPr>
                      <w:rFonts w:hint="default"/>
                      <w:lang w:val="en-US" w:eastAsia="zh-CN"/>
                    </w:rPr>
                  </w:pPr>
                  <w:r>
                    <w:rPr>
                      <w:rFonts w:hint="eastAsia"/>
                      <w:lang w:val="en-US" w:eastAsia="zh-CN"/>
                    </w:rPr>
                    <w:t>13.26</w:t>
                  </w:r>
                </w:p>
              </w:tc>
              <w:tc>
                <w:tcPr>
                  <w:tcW w:w="4574" w:type="dxa"/>
                  <w:shd w:val="clear" w:color="auto" w:fill="auto"/>
                  <w:vAlign w:val="center"/>
                </w:tcPr>
                <w:p w14:paraId="0FD56BFC">
                  <w:pPr>
                    <w:pStyle w:val="32"/>
                    <w:bidi w:val="0"/>
                    <w:rPr>
                      <w:rFonts w:hint="default"/>
                      <w:lang w:val="en-US" w:eastAsia="zh-CN"/>
                    </w:rPr>
                  </w:pPr>
                  <w:r>
                    <w:rPr>
                      <w:rFonts w:hint="eastAsia"/>
                      <w:lang w:val="en-US" w:eastAsia="zh-CN"/>
                    </w:rPr>
                    <w:t>2</w:t>
                  </w:r>
                </w:p>
              </w:tc>
              <w:tc>
                <w:tcPr>
                  <w:tcW w:w="1122" w:type="dxa"/>
                  <w:vMerge w:val="continue"/>
                  <w:shd w:val="clear" w:color="auto" w:fill="auto"/>
                  <w:vAlign w:val="center"/>
                </w:tcPr>
                <w:p w14:paraId="4E33E2D6">
                  <w:pPr>
                    <w:pStyle w:val="32"/>
                    <w:bidi w:val="0"/>
                    <w:rPr>
                      <w:rFonts w:hint="default"/>
                      <w:lang w:val="en-US" w:eastAsia="zh-CN"/>
                    </w:rPr>
                  </w:pPr>
                </w:p>
              </w:tc>
            </w:tr>
            <w:tr w14:paraId="0E59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5BB4565">
                  <w:pPr>
                    <w:pStyle w:val="32"/>
                    <w:bidi w:val="0"/>
                    <w:rPr>
                      <w:rFonts w:hint="default"/>
                      <w:lang w:val="en-US" w:eastAsia="zh-CN"/>
                    </w:rPr>
                  </w:pPr>
                  <w:r>
                    <w:rPr>
                      <w:rFonts w:hint="eastAsia"/>
                      <w:lang w:val="en-US" w:eastAsia="zh-CN"/>
                    </w:rPr>
                    <w:t>污洗间</w:t>
                  </w:r>
                </w:p>
              </w:tc>
              <w:tc>
                <w:tcPr>
                  <w:tcW w:w="1275" w:type="dxa"/>
                  <w:shd w:val="clear" w:color="auto" w:fill="auto"/>
                  <w:vAlign w:val="center"/>
                </w:tcPr>
                <w:p w14:paraId="7004F558">
                  <w:pPr>
                    <w:pStyle w:val="32"/>
                    <w:bidi w:val="0"/>
                    <w:rPr>
                      <w:rFonts w:hint="default"/>
                      <w:lang w:val="en-US" w:eastAsia="zh-CN"/>
                    </w:rPr>
                  </w:pPr>
                  <w:r>
                    <w:rPr>
                      <w:rFonts w:hint="eastAsia"/>
                      <w:lang w:val="en-US" w:eastAsia="zh-CN"/>
                    </w:rPr>
                    <w:t>8.19</w:t>
                  </w:r>
                </w:p>
              </w:tc>
              <w:tc>
                <w:tcPr>
                  <w:tcW w:w="4574" w:type="dxa"/>
                  <w:shd w:val="clear" w:color="auto" w:fill="auto"/>
                  <w:vAlign w:val="center"/>
                </w:tcPr>
                <w:p w14:paraId="6228BC3D">
                  <w:pPr>
                    <w:pStyle w:val="32"/>
                    <w:bidi w:val="0"/>
                    <w:rPr>
                      <w:rFonts w:hint="default"/>
                      <w:lang w:val="en-US" w:eastAsia="zh-CN"/>
                    </w:rPr>
                  </w:pPr>
                  <w:r>
                    <w:rPr>
                      <w:rFonts w:hint="eastAsia"/>
                      <w:lang w:val="en-US" w:eastAsia="zh-CN"/>
                    </w:rPr>
                    <w:t>2</w:t>
                  </w:r>
                </w:p>
              </w:tc>
              <w:tc>
                <w:tcPr>
                  <w:tcW w:w="1122" w:type="dxa"/>
                  <w:vMerge w:val="continue"/>
                  <w:shd w:val="clear" w:color="auto" w:fill="auto"/>
                  <w:vAlign w:val="center"/>
                </w:tcPr>
                <w:p w14:paraId="3DA81B93">
                  <w:pPr>
                    <w:pStyle w:val="32"/>
                    <w:bidi w:val="0"/>
                    <w:rPr>
                      <w:rFonts w:hint="default"/>
                      <w:lang w:val="en-US" w:eastAsia="zh-CN"/>
                    </w:rPr>
                  </w:pPr>
                </w:p>
              </w:tc>
            </w:tr>
            <w:tr w14:paraId="551F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5ECC9244">
                  <w:pPr>
                    <w:pStyle w:val="32"/>
                    <w:bidi w:val="0"/>
                    <w:rPr>
                      <w:rFonts w:hint="eastAsia"/>
                      <w:lang w:val="en-US" w:eastAsia="zh-CN"/>
                    </w:rPr>
                  </w:pPr>
                  <w:r>
                    <w:rPr>
                      <w:rFonts w:hint="eastAsia"/>
                      <w:lang w:val="en-US" w:eastAsia="zh-CN"/>
                    </w:rPr>
                    <w:t>盥洗室</w:t>
                  </w:r>
                </w:p>
              </w:tc>
              <w:tc>
                <w:tcPr>
                  <w:tcW w:w="1275" w:type="dxa"/>
                  <w:shd w:val="clear" w:color="auto" w:fill="auto"/>
                  <w:vAlign w:val="center"/>
                </w:tcPr>
                <w:p w14:paraId="02F2BD1F">
                  <w:pPr>
                    <w:pStyle w:val="32"/>
                    <w:bidi w:val="0"/>
                    <w:rPr>
                      <w:rFonts w:hint="default"/>
                      <w:lang w:val="en-US" w:eastAsia="zh-CN"/>
                    </w:rPr>
                  </w:pPr>
                  <w:r>
                    <w:rPr>
                      <w:rFonts w:hint="eastAsia"/>
                      <w:lang w:val="en-US" w:eastAsia="zh-CN"/>
                    </w:rPr>
                    <w:t>12.09</w:t>
                  </w:r>
                </w:p>
              </w:tc>
              <w:tc>
                <w:tcPr>
                  <w:tcW w:w="4574" w:type="dxa"/>
                  <w:shd w:val="clear" w:color="auto" w:fill="auto"/>
                  <w:vAlign w:val="center"/>
                </w:tcPr>
                <w:p w14:paraId="310C3438">
                  <w:pPr>
                    <w:pStyle w:val="32"/>
                    <w:bidi w:val="0"/>
                    <w:rPr>
                      <w:rFonts w:hint="default"/>
                      <w:lang w:val="en-US" w:eastAsia="zh-CN"/>
                    </w:rPr>
                  </w:pPr>
                  <w:r>
                    <w:rPr>
                      <w:rFonts w:hint="eastAsia"/>
                      <w:lang w:val="en-US" w:eastAsia="zh-CN"/>
                    </w:rPr>
                    <w:t>2</w:t>
                  </w:r>
                </w:p>
              </w:tc>
              <w:tc>
                <w:tcPr>
                  <w:tcW w:w="1122" w:type="dxa"/>
                  <w:vMerge w:val="continue"/>
                  <w:shd w:val="clear" w:color="auto" w:fill="auto"/>
                  <w:vAlign w:val="center"/>
                </w:tcPr>
                <w:p w14:paraId="148CC973">
                  <w:pPr>
                    <w:pStyle w:val="32"/>
                    <w:bidi w:val="0"/>
                    <w:rPr>
                      <w:rFonts w:hint="default"/>
                      <w:lang w:val="en-US" w:eastAsia="zh-CN"/>
                    </w:rPr>
                  </w:pPr>
                </w:p>
              </w:tc>
            </w:tr>
            <w:tr w14:paraId="52DC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11641C6">
                  <w:pPr>
                    <w:pStyle w:val="32"/>
                    <w:bidi w:val="0"/>
                    <w:rPr>
                      <w:rFonts w:hint="default"/>
                      <w:lang w:val="en-US" w:eastAsia="zh-CN"/>
                    </w:rPr>
                  </w:pPr>
                  <w:r>
                    <w:rPr>
                      <w:rFonts w:hint="eastAsia"/>
                      <w:lang w:val="en-US" w:eastAsia="zh-CN"/>
                    </w:rPr>
                    <w:t>淋浴间</w:t>
                  </w:r>
                </w:p>
              </w:tc>
              <w:tc>
                <w:tcPr>
                  <w:tcW w:w="1275" w:type="dxa"/>
                  <w:shd w:val="clear" w:color="auto" w:fill="auto"/>
                  <w:vAlign w:val="center"/>
                </w:tcPr>
                <w:p w14:paraId="67753D01">
                  <w:pPr>
                    <w:pStyle w:val="32"/>
                    <w:bidi w:val="0"/>
                    <w:rPr>
                      <w:rFonts w:hint="default"/>
                      <w:lang w:val="en-US" w:eastAsia="zh-CN"/>
                    </w:rPr>
                  </w:pPr>
                  <w:r>
                    <w:rPr>
                      <w:rFonts w:hint="eastAsia"/>
                      <w:lang w:val="en-US" w:eastAsia="zh-CN"/>
                    </w:rPr>
                    <w:t>12.87</w:t>
                  </w:r>
                </w:p>
              </w:tc>
              <w:tc>
                <w:tcPr>
                  <w:tcW w:w="4574" w:type="dxa"/>
                  <w:shd w:val="clear" w:color="auto" w:fill="auto"/>
                  <w:vAlign w:val="center"/>
                </w:tcPr>
                <w:p w14:paraId="7A807101">
                  <w:pPr>
                    <w:pStyle w:val="32"/>
                    <w:bidi w:val="0"/>
                    <w:rPr>
                      <w:rFonts w:hint="default"/>
                      <w:lang w:val="en-US" w:eastAsia="zh-CN"/>
                    </w:rPr>
                  </w:pPr>
                  <w:r>
                    <w:rPr>
                      <w:rFonts w:hint="eastAsia"/>
                      <w:lang w:val="en-US" w:eastAsia="zh-CN"/>
                    </w:rPr>
                    <w:t>2</w:t>
                  </w:r>
                </w:p>
              </w:tc>
              <w:tc>
                <w:tcPr>
                  <w:tcW w:w="1122" w:type="dxa"/>
                  <w:vMerge w:val="continue"/>
                  <w:shd w:val="clear" w:color="auto" w:fill="auto"/>
                  <w:vAlign w:val="center"/>
                </w:tcPr>
                <w:p w14:paraId="504D6DF1">
                  <w:pPr>
                    <w:pStyle w:val="32"/>
                    <w:bidi w:val="0"/>
                    <w:rPr>
                      <w:rFonts w:hint="default"/>
                      <w:lang w:val="en-US" w:eastAsia="zh-CN"/>
                    </w:rPr>
                  </w:pPr>
                </w:p>
              </w:tc>
            </w:tr>
            <w:tr w14:paraId="5D28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02BCF078">
                  <w:pPr>
                    <w:pStyle w:val="32"/>
                    <w:bidi w:val="0"/>
                    <w:rPr>
                      <w:rFonts w:hint="default"/>
                      <w:lang w:val="en-US" w:eastAsia="zh-CN"/>
                    </w:rPr>
                  </w:pPr>
                  <w:r>
                    <w:rPr>
                      <w:rFonts w:hint="eastAsia"/>
                      <w:lang w:val="en-US" w:eastAsia="zh-CN"/>
                    </w:rPr>
                    <w:t>护理站</w:t>
                  </w:r>
                </w:p>
              </w:tc>
              <w:tc>
                <w:tcPr>
                  <w:tcW w:w="1275" w:type="dxa"/>
                  <w:shd w:val="clear" w:color="auto" w:fill="auto"/>
                  <w:vAlign w:val="center"/>
                </w:tcPr>
                <w:p w14:paraId="69AD8327">
                  <w:pPr>
                    <w:pStyle w:val="32"/>
                    <w:bidi w:val="0"/>
                    <w:rPr>
                      <w:rFonts w:hint="default"/>
                      <w:lang w:val="en-US" w:eastAsia="zh-CN"/>
                    </w:rPr>
                  </w:pPr>
                  <w:r>
                    <w:rPr>
                      <w:rFonts w:hint="eastAsia"/>
                      <w:lang w:val="en-US" w:eastAsia="zh-CN"/>
                    </w:rPr>
                    <w:t>12.87</w:t>
                  </w:r>
                </w:p>
              </w:tc>
              <w:tc>
                <w:tcPr>
                  <w:tcW w:w="4574" w:type="dxa"/>
                  <w:shd w:val="clear" w:color="auto" w:fill="auto"/>
                  <w:vAlign w:val="center"/>
                </w:tcPr>
                <w:p w14:paraId="28416FC3">
                  <w:pPr>
                    <w:pStyle w:val="32"/>
                    <w:bidi w:val="0"/>
                    <w:rPr>
                      <w:rFonts w:hint="default"/>
                      <w:lang w:val="en-US" w:eastAsia="zh-CN"/>
                    </w:rPr>
                  </w:pPr>
                  <w:r>
                    <w:rPr>
                      <w:rFonts w:hint="eastAsia"/>
                      <w:lang w:val="en-US" w:eastAsia="zh-CN"/>
                    </w:rPr>
                    <w:t>2</w:t>
                  </w:r>
                </w:p>
              </w:tc>
              <w:tc>
                <w:tcPr>
                  <w:tcW w:w="1122" w:type="dxa"/>
                  <w:vMerge w:val="continue"/>
                  <w:shd w:val="clear" w:color="auto" w:fill="auto"/>
                  <w:vAlign w:val="center"/>
                </w:tcPr>
                <w:p w14:paraId="1B455356">
                  <w:pPr>
                    <w:pStyle w:val="32"/>
                    <w:bidi w:val="0"/>
                    <w:rPr>
                      <w:rFonts w:hint="default"/>
                      <w:lang w:val="en-US" w:eastAsia="zh-CN"/>
                    </w:rPr>
                  </w:pPr>
                </w:p>
              </w:tc>
            </w:tr>
            <w:tr w14:paraId="6D08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672A1F20">
                  <w:pPr>
                    <w:pStyle w:val="32"/>
                    <w:bidi w:val="0"/>
                    <w:rPr>
                      <w:rFonts w:hint="eastAsia"/>
                      <w:lang w:val="en-US" w:eastAsia="zh-CN"/>
                    </w:rPr>
                  </w:pPr>
                  <w:r>
                    <w:rPr>
                      <w:rFonts w:hint="eastAsia"/>
                      <w:lang w:val="en-US" w:eastAsia="zh-CN"/>
                    </w:rPr>
                    <w:t>食品库</w:t>
                  </w:r>
                </w:p>
              </w:tc>
              <w:tc>
                <w:tcPr>
                  <w:tcW w:w="1275" w:type="dxa"/>
                  <w:shd w:val="clear" w:color="auto" w:fill="auto"/>
                  <w:vAlign w:val="center"/>
                </w:tcPr>
                <w:p w14:paraId="0A572491">
                  <w:pPr>
                    <w:pStyle w:val="32"/>
                    <w:bidi w:val="0"/>
                    <w:rPr>
                      <w:rFonts w:hint="eastAsia"/>
                      <w:lang w:val="en-US" w:eastAsia="zh-CN"/>
                    </w:rPr>
                  </w:pPr>
                  <w:r>
                    <w:rPr>
                      <w:rFonts w:hint="eastAsia"/>
                      <w:lang w:val="en-US" w:eastAsia="zh-CN"/>
                    </w:rPr>
                    <w:t>21.76</w:t>
                  </w:r>
                </w:p>
              </w:tc>
              <w:tc>
                <w:tcPr>
                  <w:tcW w:w="4574" w:type="dxa"/>
                  <w:shd w:val="clear" w:color="auto" w:fill="auto"/>
                  <w:vAlign w:val="center"/>
                </w:tcPr>
                <w:p w14:paraId="5716687D">
                  <w:pPr>
                    <w:pStyle w:val="32"/>
                    <w:bidi w:val="0"/>
                    <w:rPr>
                      <w:rFonts w:hint="eastAsia"/>
                      <w:lang w:val="en-US" w:eastAsia="zh-CN"/>
                    </w:rPr>
                  </w:pPr>
                  <w:r>
                    <w:rPr>
                      <w:rFonts w:hint="eastAsia"/>
                      <w:lang w:val="en-US" w:eastAsia="zh-CN"/>
                    </w:rPr>
                    <w:t>1</w:t>
                  </w:r>
                </w:p>
              </w:tc>
              <w:tc>
                <w:tcPr>
                  <w:tcW w:w="1122" w:type="dxa"/>
                  <w:vMerge w:val="restart"/>
                  <w:shd w:val="clear" w:color="auto" w:fill="auto"/>
                  <w:vAlign w:val="center"/>
                </w:tcPr>
                <w:p w14:paraId="3C8B0E4D">
                  <w:pPr>
                    <w:pStyle w:val="32"/>
                    <w:bidi w:val="0"/>
                    <w:rPr>
                      <w:rFonts w:hint="default"/>
                      <w:lang w:val="en-US" w:eastAsia="zh-CN"/>
                    </w:rPr>
                  </w:pPr>
                  <w:r>
                    <w:rPr>
                      <w:rFonts w:hint="eastAsia"/>
                      <w:lang w:val="en-US" w:eastAsia="zh-CN"/>
                    </w:rPr>
                    <w:t>1层</w:t>
                  </w:r>
                </w:p>
              </w:tc>
            </w:tr>
            <w:tr w14:paraId="2E15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7B4CA9F">
                  <w:pPr>
                    <w:pStyle w:val="32"/>
                    <w:bidi w:val="0"/>
                    <w:rPr>
                      <w:rFonts w:hint="eastAsia"/>
                      <w:lang w:val="en-US" w:eastAsia="zh-CN"/>
                    </w:rPr>
                  </w:pPr>
                  <w:r>
                    <w:rPr>
                      <w:rFonts w:hint="eastAsia"/>
                      <w:lang w:val="en-US" w:eastAsia="zh-CN"/>
                    </w:rPr>
                    <w:t>办公室</w:t>
                  </w:r>
                </w:p>
              </w:tc>
              <w:tc>
                <w:tcPr>
                  <w:tcW w:w="1275" w:type="dxa"/>
                  <w:shd w:val="clear" w:color="auto" w:fill="auto"/>
                  <w:vAlign w:val="center"/>
                </w:tcPr>
                <w:p w14:paraId="164761E1">
                  <w:pPr>
                    <w:pStyle w:val="32"/>
                    <w:bidi w:val="0"/>
                    <w:rPr>
                      <w:rFonts w:hint="default"/>
                      <w:lang w:val="en-US" w:eastAsia="zh-CN"/>
                    </w:rPr>
                  </w:pPr>
                  <w:r>
                    <w:rPr>
                      <w:rFonts w:hint="eastAsia"/>
                      <w:lang w:val="en-US" w:eastAsia="zh-CN"/>
                    </w:rPr>
                    <w:t>48.266</w:t>
                  </w:r>
                </w:p>
              </w:tc>
              <w:tc>
                <w:tcPr>
                  <w:tcW w:w="4574" w:type="dxa"/>
                  <w:shd w:val="clear" w:color="auto" w:fill="auto"/>
                  <w:vAlign w:val="center"/>
                </w:tcPr>
                <w:p w14:paraId="67D4EAB5">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7AEEDB5A">
                  <w:pPr>
                    <w:pStyle w:val="32"/>
                    <w:bidi w:val="0"/>
                    <w:rPr>
                      <w:rFonts w:hint="default"/>
                      <w:lang w:val="en-US" w:eastAsia="zh-CN"/>
                    </w:rPr>
                  </w:pPr>
                </w:p>
              </w:tc>
            </w:tr>
            <w:tr w14:paraId="4436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7F95C1B2">
                  <w:pPr>
                    <w:pStyle w:val="32"/>
                    <w:bidi w:val="0"/>
                    <w:rPr>
                      <w:rFonts w:hint="default"/>
                      <w:lang w:val="en-US" w:eastAsia="zh-CN"/>
                    </w:rPr>
                  </w:pPr>
                  <w:r>
                    <w:rPr>
                      <w:rFonts w:hint="eastAsia"/>
                      <w:lang w:val="en-US" w:eastAsia="zh-CN"/>
                    </w:rPr>
                    <w:t>厨房</w:t>
                  </w:r>
                </w:p>
              </w:tc>
              <w:tc>
                <w:tcPr>
                  <w:tcW w:w="1275" w:type="dxa"/>
                  <w:shd w:val="clear" w:color="auto" w:fill="auto"/>
                  <w:vAlign w:val="center"/>
                </w:tcPr>
                <w:p w14:paraId="3079A85C">
                  <w:pPr>
                    <w:pStyle w:val="32"/>
                    <w:bidi w:val="0"/>
                    <w:rPr>
                      <w:rFonts w:hint="default"/>
                      <w:lang w:val="en-US" w:eastAsia="zh-CN"/>
                    </w:rPr>
                  </w:pPr>
                  <w:r>
                    <w:rPr>
                      <w:rFonts w:hint="eastAsia"/>
                      <w:lang w:val="en-US" w:eastAsia="zh-CN"/>
                    </w:rPr>
                    <w:t>210</w:t>
                  </w:r>
                </w:p>
              </w:tc>
              <w:tc>
                <w:tcPr>
                  <w:tcW w:w="4574" w:type="dxa"/>
                  <w:shd w:val="clear" w:color="auto" w:fill="auto"/>
                  <w:vAlign w:val="center"/>
                </w:tcPr>
                <w:p w14:paraId="1C63EF4C">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7C88AA88">
                  <w:pPr>
                    <w:pStyle w:val="32"/>
                    <w:bidi w:val="0"/>
                    <w:rPr>
                      <w:rFonts w:hint="default"/>
                      <w:lang w:val="en-US" w:eastAsia="zh-CN"/>
                    </w:rPr>
                  </w:pPr>
                </w:p>
              </w:tc>
            </w:tr>
            <w:tr w14:paraId="5BE5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091775D0">
                  <w:pPr>
                    <w:pStyle w:val="32"/>
                    <w:bidi w:val="0"/>
                    <w:rPr>
                      <w:rFonts w:hint="default"/>
                      <w:lang w:val="en-US" w:eastAsia="zh-CN"/>
                    </w:rPr>
                  </w:pPr>
                  <w:r>
                    <w:rPr>
                      <w:rFonts w:hint="eastAsia"/>
                      <w:lang w:val="en-US" w:eastAsia="zh-CN"/>
                    </w:rPr>
                    <w:t>餐厅（大）</w:t>
                  </w:r>
                </w:p>
              </w:tc>
              <w:tc>
                <w:tcPr>
                  <w:tcW w:w="1275" w:type="dxa"/>
                  <w:shd w:val="clear" w:color="auto" w:fill="auto"/>
                  <w:vAlign w:val="center"/>
                </w:tcPr>
                <w:p w14:paraId="651449AE">
                  <w:pPr>
                    <w:pStyle w:val="32"/>
                    <w:bidi w:val="0"/>
                    <w:rPr>
                      <w:rFonts w:hint="default"/>
                      <w:lang w:val="en-US" w:eastAsia="zh-CN"/>
                    </w:rPr>
                  </w:pPr>
                  <w:r>
                    <w:rPr>
                      <w:rFonts w:hint="eastAsia"/>
                      <w:lang w:val="en-US" w:eastAsia="zh-CN"/>
                    </w:rPr>
                    <w:t>93.74</w:t>
                  </w:r>
                </w:p>
              </w:tc>
              <w:tc>
                <w:tcPr>
                  <w:tcW w:w="4574" w:type="dxa"/>
                  <w:shd w:val="clear" w:color="auto" w:fill="auto"/>
                  <w:vAlign w:val="center"/>
                </w:tcPr>
                <w:p w14:paraId="4B5516AB">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464C52EE">
                  <w:pPr>
                    <w:pStyle w:val="32"/>
                    <w:bidi w:val="0"/>
                    <w:rPr>
                      <w:rFonts w:hint="default"/>
                      <w:lang w:val="en-US" w:eastAsia="zh-CN"/>
                    </w:rPr>
                  </w:pPr>
                </w:p>
              </w:tc>
            </w:tr>
            <w:tr w14:paraId="7E50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38C5E0A8">
                  <w:pPr>
                    <w:pStyle w:val="32"/>
                    <w:bidi w:val="0"/>
                    <w:rPr>
                      <w:rFonts w:hint="default"/>
                      <w:lang w:val="en-US" w:eastAsia="zh-CN"/>
                    </w:rPr>
                  </w:pPr>
                  <w:r>
                    <w:rPr>
                      <w:rFonts w:hint="eastAsia"/>
                      <w:lang w:val="en-US" w:eastAsia="zh-CN"/>
                    </w:rPr>
                    <w:t>药房</w:t>
                  </w:r>
                </w:p>
              </w:tc>
              <w:tc>
                <w:tcPr>
                  <w:tcW w:w="1275" w:type="dxa"/>
                  <w:shd w:val="clear" w:color="auto" w:fill="auto"/>
                  <w:vAlign w:val="center"/>
                </w:tcPr>
                <w:p w14:paraId="0D416B87">
                  <w:pPr>
                    <w:pStyle w:val="32"/>
                    <w:bidi w:val="0"/>
                    <w:rPr>
                      <w:rFonts w:hint="default"/>
                      <w:lang w:val="en-US" w:eastAsia="zh-CN"/>
                    </w:rPr>
                  </w:pPr>
                  <w:r>
                    <w:rPr>
                      <w:rFonts w:hint="eastAsia"/>
                      <w:lang w:val="en-US" w:eastAsia="zh-CN"/>
                    </w:rPr>
                    <w:t>29.4</w:t>
                  </w:r>
                </w:p>
              </w:tc>
              <w:tc>
                <w:tcPr>
                  <w:tcW w:w="4574" w:type="dxa"/>
                  <w:shd w:val="clear" w:color="auto" w:fill="auto"/>
                  <w:vAlign w:val="center"/>
                </w:tcPr>
                <w:p w14:paraId="4722E489">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0C11ED42">
                  <w:pPr>
                    <w:pStyle w:val="32"/>
                    <w:bidi w:val="0"/>
                    <w:rPr>
                      <w:rFonts w:hint="default"/>
                      <w:lang w:val="en-US" w:eastAsia="zh-CN"/>
                    </w:rPr>
                  </w:pPr>
                </w:p>
              </w:tc>
            </w:tr>
            <w:tr w14:paraId="016A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690771D4">
                  <w:pPr>
                    <w:pStyle w:val="32"/>
                    <w:bidi w:val="0"/>
                    <w:rPr>
                      <w:rFonts w:hint="default"/>
                      <w:lang w:val="en-US" w:eastAsia="zh-CN"/>
                    </w:rPr>
                  </w:pPr>
                  <w:r>
                    <w:rPr>
                      <w:rFonts w:hint="eastAsia"/>
                      <w:lang w:val="en-US" w:eastAsia="zh-CN"/>
                    </w:rPr>
                    <w:t>档案室</w:t>
                  </w:r>
                </w:p>
              </w:tc>
              <w:tc>
                <w:tcPr>
                  <w:tcW w:w="1275" w:type="dxa"/>
                  <w:shd w:val="clear" w:color="auto" w:fill="auto"/>
                  <w:vAlign w:val="center"/>
                </w:tcPr>
                <w:p w14:paraId="1A22083A">
                  <w:pPr>
                    <w:pStyle w:val="32"/>
                    <w:bidi w:val="0"/>
                    <w:rPr>
                      <w:rFonts w:hint="default"/>
                      <w:lang w:val="en-US" w:eastAsia="zh-CN"/>
                    </w:rPr>
                  </w:pPr>
                  <w:r>
                    <w:rPr>
                      <w:rFonts w:hint="eastAsia"/>
                      <w:lang w:val="en-US" w:eastAsia="zh-CN"/>
                    </w:rPr>
                    <w:t>27.3</w:t>
                  </w:r>
                </w:p>
              </w:tc>
              <w:tc>
                <w:tcPr>
                  <w:tcW w:w="4574" w:type="dxa"/>
                  <w:shd w:val="clear" w:color="auto" w:fill="auto"/>
                  <w:vAlign w:val="center"/>
                </w:tcPr>
                <w:p w14:paraId="1A8BEC86">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509435F7">
                  <w:pPr>
                    <w:pStyle w:val="32"/>
                    <w:bidi w:val="0"/>
                    <w:rPr>
                      <w:rFonts w:hint="default"/>
                      <w:lang w:val="en-US" w:eastAsia="zh-CN"/>
                    </w:rPr>
                  </w:pPr>
                </w:p>
              </w:tc>
            </w:tr>
            <w:tr w14:paraId="7E75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7171CE12">
                  <w:pPr>
                    <w:pStyle w:val="32"/>
                    <w:bidi w:val="0"/>
                    <w:rPr>
                      <w:rFonts w:hint="default"/>
                      <w:lang w:val="en-US" w:eastAsia="zh-CN"/>
                    </w:rPr>
                  </w:pPr>
                  <w:r>
                    <w:rPr>
                      <w:rFonts w:hint="eastAsia"/>
                      <w:lang w:val="en-US" w:eastAsia="zh-CN"/>
                    </w:rPr>
                    <w:t>体检室</w:t>
                  </w:r>
                </w:p>
              </w:tc>
              <w:tc>
                <w:tcPr>
                  <w:tcW w:w="1275" w:type="dxa"/>
                  <w:shd w:val="clear" w:color="auto" w:fill="auto"/>
                  <w:vAlign w:val="center"/>
                </w:tcPr>
                <w:p w14:paraId="29752F95">
                  <w:pPr>
                    <w:pStyle w:val="32"/>
                    <w:bidi w:val="0"/>
                    <w:rPr>
                      <w:rFonts w:hint="default"/>
                      <w:lang w:val="en-US" w:eastAsia="zh-CN"/>
                    </w:rPr>
                  </w:pPr>
                  <w:r>
                    <w:rPr>
                      <w:rFonts w:hint="eastAsia"/>
                      <w:lang w:val="en-US" w:eastAsia="zh-CN"/>
                    </w:rPr>
                    <w:t>39.22</w:t>
                  </w:r>
                </w:p>
              </w:tc>
              <w:tc>
                <w:tcPr>
                  <w:tcW w:w="4574" w:type="dxa"/>
                  <w:shd w:val="clear" w:color="auto" w:fill="auto"/>
                  <w:vAlign w:val="center"/>
                </w:tcPr>
                <w:p w14:paraId="492C6D86">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718C7858">
                  <w:pPr>
                    <w:pStyle w:val="32"/>
                    <w:bidi w:val="0"/>
                    <w:rPr>
                      <w:rFonts w:hint="default"/>
                      <w:lang w:val="en-US" w:eastAsia="zh-CN"/>
                    </w:rPr>
                  </w:pPr>
                </w:p>
              </w:tc>
            </w:tr>
            <w:tr w14:paraId="5E6C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3AE3696">
                  <w:pPr>
                    <w:pStyle w:val="32"/>
                    <w:bidi w:val="0"/>
                    <w:rPr>
                      <w:rFonts w:hint="default"/>
                      <w:lang w:val="en-US" w:eastAsia="zh-CN"/>
                    </w:rPr>
                  </w:pPr>
                  <w:r>
                    <w:rPr>
                      <w:rFonts w:hint="eastAsia"/>
                      <w:lang w:val="en-US" w:eastAsia="zh-CN"/>
                    </w:rPr>
                    <w:t>工疗室</w:t>
                  </w:r>
                </w:p>
              </w:tc>
              <w:tc>
                <w:tcPr>
                  <w:tcW w:w="1275" w:type="dxa"/>
                  <w:shd w:val="clear" w:color="auto" w:fill="auto"/>
                  <w:vAlign w:val="center"/>
                </w:tcPr>
                <w:p w14:paraId="1E8D2359">
                  <w:pPr>
                    <w:pStyle w:val="32"/>
                    <w:bidi w:val="0"/>
                    <w:rPr>
                      <w:rFonts w:hint="default"/>
                      <w:lang w:val="en-US" w:eastAsia="zh-CN"/>
                    </w:rPr>
                  </w:pPr>
                  <w:r>
                    <w:rPr>
                      <w:rFonts w:hint="eastAsia"/>
                      <w:lang w:val="en-US" w:eastAsia="zh-CN"/>
                    </w:rPr>
                    <w:t>64.02</w:t>
                  </w:r>
                </w:p>
              </w:tc>
              <w:tc>
                <w:tcPr>
                  <w:tcW w:w="4574" w:type="dxa"/>
                  <w:shd w:val="clear" w:color="auto" w:fill="auto"/>
                  <w:vAlign w:val="center"/>
                </w:tcPr>
                <w:p w14:paraId="406609BB">
                  <w:pPr>
                    <w:pStyle w:val="32"/>
                    <w:bidi w:val="0"/>
                    <w:rPr>
                      <w:rFonts w:hint="default"/>
                      <w:lang w:val="en-US" w:eastAsia="zh-CN"/>
                    </w:rPr>
                  </w:pPr>
                  <w:r>
                    <w:rPr>
                      <w:rFonts w:hint="eastAsia"/>
                      <w:lang w:val="en-US" w:eastAsia="zh-CN"/>
                    </w:rPr>
                    <w:t>1</w:t>
                  </w:r>
                </w:p>
              </w:tc>
              <w:tc>
                <w:tcPr>
                  <w:tcW w:w="1122" w:type="dxa"/>
                  <w:vMerge w:val="restart"/>
                  <w:shd w:val="clear" w:color="auto" w:fill="auto"/>
                  <w:vAlign w:val="center"/>
                </w:tcPr>
                <w:p w14:paraId="70E7B501">
                  <w:pPr>
                    <w:pStyle w:val="32"/>
                    <w:bidi w:val="0"/>
                    <w:rPr>
                      <w:rFonts w:hint="default"/>
                      <w:lang w:val="en-US" w:eastAsia="zh-CN"/>
                    </w:rPr>
                  </w:pPr>
                  <w:r>
                    <w:rPr>
                      <w:rFonts w:hint="eastAsia"/>
                      <w:lang w:val="en-US" w:eastAsia="zh-CN"/>
                    </w:rPr>
                    <w:t>2层</w:t>
                  </w:r>
                </w:p>
              </w:tc>
            </w:tr>
            <w:tr w14:paraId="22B2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3681F7BA">
                  <w:pPr>
                    <w:pStyle w:val="32"/>
                    <w:bidi w:val="0"/>
                    <w:rPr>
                      <w:rFonts w:hint="default"/>
                      <w:lang w:val="en-US" w:eastAsia="zh-CN"/>
                    </w:rPr>
                  </w:pPr>
                  <w:r>
                    <w:rPr>
                      <w:rFonts w:hint="eastAsia"/>
                      <w:lang w:val="en-US" w:eastAsia="zh-CN"/>
                    </w:rPr>
                    <w:t>体疗室</w:t>
                  </w:r>
                </w:p>
              </w:tc>
              <w:tc>
                <w:tcPr>
                  <w:tcW w:w="1275" w:type="dxa"/>
                  <w:shd w:val="clear" w:color="auto" w:fill="auto"/>
                  <w:vAlign w:val="center"/>
                </w:tcPr>
                <w:p w14:paraId="3DE55C61">
                  <w:pPr>
                    <w:pStyle w:val="32"/>
                    <w:bidi w:val="0"/>
                    <w:rPr>
                      <w:rFonts w:hint="default"/>
                      <w:lang w:val="en-US" w:eastAsia="zh-CN"/>
                    </w:rPr>
                  </w:pPr>
                  <w:r>
                    <w:rPr>
                      <w:rFonts w:hint="eastAsia"/>
                      <w:lang w:val="en-US" w:eastAsia="zh-CN"/>
                    </w:rPr>
                    <w:t>64.02</w:t>
                  </w:r>
                </w:p>
              </w:tc>
              <w:tc>
                <w:tcPr>
                  <w:tcW w:w="4574" w:type="dxa"/>
                  <w:shd w:val="clear" w:color="auto" w:fill="auto"/>
                  <w:vAlign w:val="center"/>
                </w:tcPr>
                <w:p w14:paraId="7865B8F2">
                  <w:pPr>
                    <w:pStyle w:val="32"/>
                    <w:bidi w:val="0"/>
                    <w:rPr>
                      <w:rFonts w:hint="default"/>
                      <w:lang w:val="en-US" w:eastAsia="zh-CN"/>
                    </w:rPr>
                  </w:pPr>
                  <w:r>
                    <w:rPr>
                      <w:rFonts w:hint="eastAsia"/>
                      <w:lang w:val="en-US" w:eastAsia="zh-CN"/>
                    </w:rPr>
                    <w:t>3</w:t>
                  </w:r>
                </w:p>
              </w:tc>
              <w:tc>
                <w:tcPr>
                  <w:tcW w:w="1122" w:type="dxa"/>
                  <w:vMerge w:val="continue"/>
                  <w:shd w:val="clear" w:color="auto" w:fill="auto"/>
                  <w:vAlign w:val="center"/>
                </w:tcPr>
                <w:p w14:paraId="1AE3B239">
                  <w:pPr>
                    <w:pStyle w:val="32"/>
                    <w:bidi w:val="0"/>
                    <w:rPr>
                      <w:rFonts w:hint="eastAsia"/>
                      <w:lang w:val="en-US" w:eastAsia="zh-CN"/>
                    </w:rPr>
                  </w:pPr>
                </w:p>
              </w:tc>
            </w:tr>
            <w:tr w14:paraId="0FB7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0AE64AFC">
                  <w:pPr>
                    <w:pStyle w:val="32"/>
                    <w:bidi w:val="0"/>
                    <w:rPr>
                      <w:rFonts w:hint="default"/>
                      <w:lang w:val="en-US" w:eastAsia="zh-CN"/>
                    </w:rPr>
                  </w:pPr>
                  <w:r>
                    <w:rPr>
                      <w:rFonts w:hint="eastAsia"/>
                      <w:lang w:val="en-US" w:eastAsia="zh-CN"/>
                    </w:rPr>
                    <w:t>康复室</w:t>
                  </w:r>
                </w:p>
              </w:tc>
              <w:tc>
                <w:tcPr>
                  <w:tcW w:w="1275" w:type="dxa"/>
                  <w:shd w:val="clear" w:color="auto" w:fill="auto"/>
                  <w:vAlign w:val="center"/>
                </w:tcPr>
                <w:p w14:paraId="088EBE9A">
                  <w:pPr>
                    <w:pStyle w:val="32"/>
                    <w:bidi w:val="0"/>
                    <w:rPr>
                      <w:rFonts w:hint="eastAsia"/>
                      <w:lang w:val="en-US" w:eastAsia="zh-CN"/>
                    </w:rPr>
                  </w:pPr>
                  <w:r>
                    <w:rPr>
                      <w:rFonts w:hint="eastAsia"/>
                      <w:lang w:val="en-US" w:eastAsia="zh-CN"/>
                    </w:rPr>
                    <w:t>27.3</w:t>
                  </w:r>
                </w:p>
              </w:tc>
              <w:tc>
                <w:tcPr>
                  <w:tcW w:w="4574" w:type="dxa"/>
                  <w:shd w:val="clear" w:color="auto" w:fill="auto"/>
                  <w:vAlign w:val="center"/>
                </w:tcPr>
                <w:p w14:paraId="14988E30">
                  <w:pPr>
                    <w:pStyle w:val="32"/>
                    <w:bidi w:val="0"/>
                    <w:rPr>
                      <w:rFonts w:hint="eastAsia"/>
                      <w:lang w:val="en-US" w:eastAsia="zh-CN"/>
                    </w:rPr>
                  </w:pPr>
                  <w:r>
                    <w:rPr>
                      <w:rFonts w:hint="eastAsia"/>
                      <w:lang w:val="en-US" w:eastAsia="zh-CN"/>
                    </w:rPr>
                    <w:t>1</w:t>
                  </w:r>
                </w:p>
              </w:tc>
              <w:tc>
                <w:tcPr>
                  <w:tcW w:w="1122" w:type="dxa"/>
                  <w:vMerge w:val="continue"/>
                  <w:shd w:val="clear" w:color="auto" w:fill="auto"/>
                  <w:vAlign w:val="center"/>
                </w:tcPr>
                <w:p w14:paraId="2EFE05C8">
                  <w:pPr>
                    <w:pStyle w:val="32"/>
                    <w:bidi w:val="0"/>
                    <w:rPr>
                      <w:rFonts w:hint="eastAsia"/>
                      <w:lang w:val="en-US" w:eastAsia="zh-CN"/>
                    </w:rPr>
                  </w:pPr>
                </w:p>
              </w:tc>
            </w:tr>
            <w:tr w14:paraId="24E0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2A970CE6">
                  <w:pPr>
                    <w:pStyle w:val="32"/>
                    <w:bidi w:val="0"/>
                    <w:rPr>
                      <w:rFonts w:hint="default"/>
                      <w:lang w:val="en-US" w:eastAsia="zh-CN"/>
                    </w:rPr>
                  </w:pPr>
                  <w:r>
                    <w:rPr>
                      <w:rFonts w:hint="eastAsia"/>
                      <w:lang w:val="en-US" w:eastAsia="zh-CN"/>
                    </w:rPr>
                    <w:t>风机房</w:t>
                  </w:r>
                </w:p>
              </w:tc>
              <w:tc>
                <w:tcPr>
                  <w:tcW w:w="1275" w:type="dxa"/>
                  <w:shd w:val="clear" w:color="auto" w:fill="auto"/>
                  <w:vAlign w:val="center"/>
                </w:tcPr>
                <w:p w14:paraId="195C4979">
                  <w:pPr>
                    <w:pStyle w:val="32"/>
                    <w:bidi w:val="0"/>
                    <w:rPr>
                      <w:rFonts w:hint="default"/>
                      <w:lang w:val="en-US" w:eastAsia="zh-CN"/>
                    </w:rPr>
                  </w:pPr>
                  <w:r>
                    <w:rPr>
                      <w:rFonts w:hint="eastAsia"/>
                      <w:lang w:val="en-US" w:eastAsia="zh-CN"/>
                    </w:rPr>
                    <w:t>29.4</w:t>
                  </w:r>
                </w:p>
              </w:tc>
              <w:tc>
                <w:tcPr>
                  <w:tcW w:w="4574" w:type="dxa"/>
                  <w:shd w:val="clear" w:color="auto" w:fill="auto"/>
                  <w:vAlign w:val="center"/>
                </w:tcPr>
                <w:p w14:paraId="7D373B29">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114C14BD">
                  <w:pPr>
                    <w:pStyle w:val="32"/>
                    <w:bidi w:val="0"/>
                    <w:rPr>
                      <w:rFonts w:hint="eastAsia"/>
                      <w:lang w:val="en-US" w:eastAsia="zh-CN"/>
                    </w:rPr>
                  </w:pPr>
                </w:p>
              </w:tc>
            </w:tr>
            <w:tr w14:paraId="7676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03213BE5">
                  <w:pPr>
                    <w:pStyle w:val="32"/>
                    <w:bidi w:val="0"/>
                    <w:rPr>
                      <w:rFonts w:hint="default"/>
                      <w:lang w:val="en-US" w:eastAsia="zh-CN"/>
                    </w:rPr>
                  </w:pPr>
                  <w:r>
                    <w:rPr>
                      <w:rFonts w:hint="eastAsia"/>
                      <w:lang w:val="en-US" w:eastAsia="zh-CN"/>
                    </w:rPr>
                    <w:t>弱电机房</w:t>
                  </w:r>
                </w:p>
              </w:tc>
              <w:tc>
                <w:tcPr>
                  <w:tcW w:w="1275" w:type="dxa"/>
                  <w:shd w:val="clear" w:color="auto" w:fill="auto"/>
                  <w:vAlign w:val="center"/>
                </w:tcPr>
                <w:p w14:paraId="7B41E4E8">
                  <w:pPr>
                    <w:pStyle w:val="32"/>
                    <w:bidi w:val="0"/>
                    <w:rPr>
                      <w:rFonts w:hint="eastAsia"/>
                      <w:lang w:val="en-US" w:eastAsia="zh-CN"/>
                    </w:rPr>
                  </w:pPr>
                  <w:r>
                    <w:rPr>
                      <w:rFonts w:hint="eastAsia"/>
                      <w:lang w:val="en-US" w:eastAsia="zh-CN"/>
                    </w:rPr>
                    <w:t>39.22</w:t>
                  </w:r>
                </w:p>
              </w:tc>
              <w:tc>
                <w:tcPr>
                  <w:tcW w:w="4574" w:type="dxa"/>
                  <w:shd w:val="clear" w:color="auto" w:fill="auto"/>
                  <w:vAlign w:val="center"/>
                </w:tcPr>
                <w:p w14:paraId="538DE310">
                  <w:pPr>
                    <w:pStyle w:val="32"/>
                    <w:bidi w:val="0"/>
                    <w:rPr>
                      <w:rFonts w:hint="eastAsia"/>
                      <w:lang w:val="en-US" w:eastAsia="zh-CN"/>
                    </w:rPr>
                  </w:pPr>
                  <w:r>
                    <w:rPr>
                      <w:rFonts w:hint="eastAsia"/>
                      <w:lang w:val="en-US" w:eastAsia="zh-CN"/>
                    </w:rPr>
                    <w:t>1</w:t>
                  </w:r>
                </w:p>
              </w:tc>
              <w:tc>
                <w:tcPr>
                  <w:tcW w:w="1122" w:type="dxa"/>
                  <w:vMerge w:val="continue"/>
                  <w:shd w:val="clear" w:color="auto" w:fill="auto"/>
                  <w:vAlign w:val="center"/>
                </w:tcPr>
                <w:p w14:paraId="4972EAD6">
                  <w:pPr>
                    <w:pStyle w:val="32"/>
                    <w:bidi w:val="0"/>
                    <w:rPr>
                      <w:rFonts w:hint="eastAsia"/>
                      <w:lang w:val="en-US" w:eastAsia="zh-CN"/>
                    </w:rPr>
                  </w:pPr>
                </w:p>
              </w:tc>
            </w:tr>
            <w:tr w14:paraId="3964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356313E5">
                  <w:pPr>
                    <w:pStyle w:val="32"/>
                    <w:bidi w:val="0"/>
                    <w:rPr>
                      <w:rFonts w:hint="default"/>
                      <w:lang w:val="en-US" w:eastAsia="zh-CN"/>
                    </w:rPr>
                  </w:pPr>
                  <w:r>
                    <w:rPr>
                      <w:rFonts w:hint="eastAsia"/>
                      <w:lang w:val="en-US" w:eastAsia="zh-CN"/>
                    </w:rPr>
                    <w:t>图书馆</w:t>
                  </w:r>
                </w:p>
              </w:tc>
              <w:tc>
                <w:tcPr>
                  <w:tcW w:w="1275" w:type="dxa"/>
                  <w:shd w:val="clear" w:color="auto" w:fill="auto"/>
                  <w:vAlign w:val="center"/>
                </w:tcPr>
                <w:p w14:paraId="5D60EA94">
                  <w:pPr>
                    <w:pStyle w:val="32"/>
                    <w:bidi w:val="0"/>
                    <w:rPr>
                      <w:rFonts w:hint="eastAsia"/>
                      <w:lang w:val="en-US" w:eastAsia="zh-CN"/>
                    </w:rPr>
                  </w:pPr>
                  <w:r>
                    <w:rPr>
                      <w:rFonts w:hint="eastAsia"/>
                      <w:lang w:val="en-US" w:eastAsia="zh-CN"/>
                    </w:rPr>
                    <w:t>64.02</w:t>
                  </w:r>
                </w:p>
              </w:tc>
              <w:tc>
                <w:tcPr>
                  <w:tcW w:w="4574" w:type="dxa"/>
                  <w:shd w:val="clear" w:color="auto" w:fill="auto"/>
                  <w:vAlign w:val="center"/>
                </w:tcPr>
                <w:p w14:paraId="1E6A2654">
                  <w:pPr>
                    <w:pStyle w:val="32"/>
                    <w:bidi w:val="0"/>
                    <w:rPr>
                      <w:rFonts w:hint="eastAsia"/>
                      <w:lang w:val="en-US" w:eastAsia="zh-CN"/>
                    </w:rPr>
                  </w:pPr>
                  <w:r>
                    <w:rPr>
                      <w:rFonts w:hint="eastAsia"/>
                      <w:lang w:val="en-US" w:eastAsia="zh-CN"/>
                    </w:rPr>
                    <w:t>1</w:t>
                  </w:r>
                </w:p>
              </w:tc>
              <w:tc>
                <w:tcPr>
                  <w:tcW w:w="1122" w:type="dxa"/>
                  <w:vMerge w:val="restart"/>
                  <w:shd w:val="clear" w:color="auto" w:fill="auto"/>
                  <w:vAlign w:val="center"/>
                </w:tcPr>
                <w:p w14:paraId="5E31C44E">
                  <w:pPr>
                    <w:pStyle w:val="32"/>
                    <w:bidi w:val="0"/>
                    <w:rPr>
                      <w:rFonts w:hint="default"/>
                      <w:lang w:val="en-US" w:eastAsia="zh-CN"/>
                    </w:rPr>
                  </w:pPr>
                  <w:r>
                    <w:rPr>
                      <w:rFonts w:hint="eastAsia"/>
                      <w:lang w:val="en-US" w:eastAsia="zh-CN"/>
                    </w:rPr>
                    <w:t>3层</w:t>
                  </w:r>
                </w:p>
              </w:tc>
            </w:tr>
            <w:tr w14:paraId="22C2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CFF0344">
                  <w:pPr>
                    <w:pStyle w:val="32"/>
                    <w:bidi w:val="0"/>
                    <w:rPr>
                      <w:rFonts w:hint="default"/>
                      <w:lang w:val="en-US" w:eastAsia="zh-CN"/>
                    </w:rPr>
                  </w:pPr>
                  <w:r>
                    <w:rPr>
                      <w:rFonts w:hint="eastAsia"/>
                      <w:lang w:val="en-US" w:eastAsia="zh-CN"/>
                    </w:rPr>
                    <w:t>音乐厅</w:t>
                  </w:r>
                </w:p>
              </w:tc>
              <w:tc>
                <w:tcPr>
                  <w:tcW w:w="1275" w:type="dxa"/>
                  <w:shd w:val="clear" w:color="auto" w:fill="auto"/>
                  <w:vAlign w:val="center"/>
                </w:tcPr>
                <w:p w14:paraId="3A5F0ED6">
                  <w:pPr>
                    <w:pStyle w:val="32"/>
                    <w:bidi w:val="0"/>
                    <w:rPr>
                      <w:rFonts w:hint="eastAsia"/>
                      <w:lang w:val="en-US" w:eastAsia="zh-CN"/>
                    </w:rPr>
                  </w:pPr>
                  <w:r>
                    <w:rPr>
                      <w:rFonts w:hint="eastAsia"/>
                      <w:lang w:val="en-US" w:eastAsia="zh-CN"/>
                    </w:rPr>
                    <w:t>64.02</w:t>
                  </w:r>
                </w:p>
              </w:tc>
              <w:tc>
                <w:tcPr>
                  <w:tcW w:w="4574" w:type="dxa"/>
                  <w:shd w:val="clear" w:color="auto" w:fill="auto"/>
                  <w:vAlign w:val="center"/>
                </w:tcPr>
                <w:p w14:paraId="14DD3634">
                  <w:pPr>
                    <w:pStyle w:val="32"/>
                    <w:bidi w:val="0"/>
                    <w:rPr>
                      <w:rFonts w:hint="eastAsia"/>
                      <w:lang w:val="en-US" w:eastAsia="zh-CN"/>
                    </w:rPr>
                  </w:pPr>
                  <w:r>
                    <w:rPr>
                      <w:rFonts w:hint="eastAsia"/>
                      <w:lang w:val="en-US" w:eastAsia="zh-CN"/>
                    </w:rPr>
                    <w:t>1</w:t>
                  </w:r>
                </w:p>
              </w:tc>
              <w:tc>
                <w:tcPr>
                  <w:tcW w:w="1122" w:type="dxa"/>
                  <w:vMerge w:val="continue"/>
                  <w:shd w:val="clear" w:color="auto" w:fill="auto"/>
                  <w:vAlign w:val="center"/>
                </w:tcPr>
                <w:p w14:paraId="4C7CC976">
                  <w:pPr>
                    <w:pStyle w:val="32"/>
                    <w:bidi w:val="0"/>
                    <w:rPr>
                      <w:rFonts w:hint="eastAsia"/>
                      <w:lang w:val="en-US" w:eastAsia="zh-CN"/>
                    </w:rPr>
                  </w:pPr>
                </w:p>
              </w:tc>
            </w:tr>
            <w:tr w14:paraId="7095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089854D0">
                  <w:pPr>
                    <w:pStyle w:val="32"/>
                    <w:bidi w:val="0"/>
                    <w:rPr>
                      <w:rFonts w:hint="default"/>
                      <w:lang w:val="en-US" w:eastAsia="zh-CN"/>
                    </w:rPr>
                  </w:pPr>
                  <w:r>
                    <w:rPr>
                      <w:rFonts w:hint="eastAsia"/>
                      <w:lang w:val="en-US" w:eastAsia="zh-CN"/>
                    </w:rPr>
                    <w:t>多功能室</w:t>
                  </w:r>
                </w:p>
              </w:tc>
              <w:tc>
                <w:tcPr>
                  <w:tcW w:w="1275" w:type="dxa"/>
                  <w:shd w:val="clear" w:color="auto" w:fill="auto"/>
                  <w:vAlign w:val="center"/>
                </w:tcPr>
                <w:p w14:paraId="14C24C0B">
                  <w:pPr>
                    <w:pStyle w:val="32"/>
                    <w:bidi w:val="0"/>
                    <w:rPr>
                      <w:rFonts w:hint="default"/>
                      <w:lang w:val="en-US" w:eastAsia="zh-CN"/>
                    </w:rPr>
                  </w:pPr>
                  <w:r>
                    <w:rPr>
                      <w:rFonts w:hint="eastAsia"/>
                      <w:lang w:val="en-US" w:eastAsia="zh-CN"/>
                    </w:rPr>
                    <w:t>128.04</w:t>
                  </w:r>
                </w:p>
              </w:tc>
              <w:tc>
                <w:tcPr>
                  <w:tcW w:w="4574" w:type="dxa"/>
                  <w:shd w:val="clear" w:color="auto" w:fill="auto"/>
                  <w:vAlign w:val="center"/>
                </w:tcPr>
                <w:p w14:paraId="2374E256">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4BA66F96">
                  <w:pPr>
                    <w:pStyle w:val="32"/>
                    <w:bidi w:val="0"/>
                    <w:rPr>
                      <w:rFonts w:hint="eastAsia"/>
                      <w:lang w:val="en-US" w:eastAsia="zh-CN"/>
                    </w:rPr>
                  </w:pPr>
                </w:p>
              </w:tc>
            </w:tr>
            <w:tr w14:paraId="5863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531AFFDC">
                  <w:pPr>
                    <w:pStyle w:val="32"/>
                    <w:bidi w:val="0"/>
                    <w:rPr>
                      <w:rFonts w:hint="default"/>
                      <w:lang w:val="en-US" w:eastAsia="zh-CN"/>
                    </w:rPr>
                  </w:pPr>
                  <w:r>
                    <w:rPr>
                      <w:rFonts w:hint="eastAsia"/>
                      <w:lang w:val="en-US" w:eastAsia="zh-CN"/>
                    </w:rPr>
                    <w:t>社会工作室</w:t>
                  </w:r>
                </w:p>
              </w:tc>
              <w:tc>
                <w:tcPr>
                  <w:tcW w:w="1275" w:type="dxa"/>
                  <w:shd w:val="clear" w:color="auto" w:fill="auto"/>
                  <w:vAlign w:val="center"/>
                </w:tcPr>
                <w:p w14:paraId="154DD455">
                  <w:pPr>
                    <w:pStyle w:val="32"/>
                    <w:bidi w:val="0"/>
                    <w:rPr>
                      <w:rFonts w:hint="default"/>
                      <w:lang w:val="en-US" w:eastAsia="zh-CN"/>
                    </w:rPr>
                  </w:pPr>
                  <w:r>
                    <w:rPr>
                      <w:rFonts w:hint="eastAsia"/>
                      <w:lang w:val="en-US" w:eastAsia="zh-CN"/>
                    </w:rPr>
                    <w:t>56.7</w:t>
                  </w:r>
                </w:p>
              </w:tc>
              <w:tc>
                <w:tcPr>
                  <w:tcW w:w="4574" w:type="dxa"/>
                  <w:shd w:val="clear" w:color="auto" w:fill="auto"/>
                  <w:vAlign w:val="center"/>
                </w:tcPr>
                <w:p w14:paraId="50A585A2">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7C038414">
                  <w:pPr>
                    <w:pStyle w:val="32"/>
                    <w:bidi w:val="0"/>
                    <w:rPr>
                      <w:rFonts w:hint="eastAsia"/>
                      <w:lang w:val="en-US" w:eastAsia="zh-CN"/>
                    </w:rPr>
                  </w:pPr>
                </w:p>
              </w:tc>
            </w:tr>
            <w:tr w14:paraId="37C3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5B45D10F">
                  <w:pPr>
                    <w:pStyle w:val="32"/>
                    <w:bidi w:val="0"/>
                    <w:rPr>
                      <w:rFonts w:hint="default"/>
                      <w:lang w:val="en-US" w:eastAsia="zh-CN"/>
                    </w:rPr>
                  </w:pPr>
                  <w:r>
                    <w:rPr>
                      <w:rFonts w:hint="eastAsia"/>
                      <w:lang w:val="en-US" w:eastAsia="zh-CN"/>
                    </w:rPr>
                    <w:t>会议室</w:t>
                  </w:r>
                </w:p>
              </w:tc>
              <w:tc>
                <w:tcPr>
                  <w:tcW w:w="1275" w:type="dxa"/>
                  <w:shd w:val="clear" w:color="auto" w:fill="auto"/>
                  <w:vAlign w:val="center"/>
                </w:tcPr>
                <w:p w14:paraId="0DD2C8EC">
                  <w:pPr>
                    <w:pStyle w:val="32"/>
                    <w:bidi w:val="0"/>
                    <w:rPr>
                      <w:rFonts w:hint="default"/>
                      <w:lang w:val="en-US" w:eastAsia="zh-CN"/>
                    </w:rPr>
                  </w:pPr>
                  <w:r>
                    <w:rPr>
                      <w:rFonts w:hint="eastAsia"/>
                      <w:lang w:val="en-US" w:eastAsia="zh-CN"/>
                    </w:rPr>
                    <w:t>82.95</w:t>
                  </w:r>
                </w:p>
              </w:tc>
              <w:tc>
                <w:tcPr>
                  <w:tcW w:w="4574" w:type="dxa"/>
                  <w:shd w:val="clear" w:color="auto" w:fill="auto"/>
                  <w:vAlign w:val="center"/>
                </w:tcPr>
                <w:p w14:paraId="20836E2B">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4BD6985C">
                  <w:pPr>
                    <w:pStyle w:val="32"/>
                    <w:bidi w:val="0"/>
                    <w:rPr>
                      <w:rFonts w:hint="eastAsia"/>
                      <w:lang w:val="en-US" w:eastAsia="zh-CN"/>
                    </w:rPr>
                  </w:pPr>
                </w:p>
              </w:tc>
            </w:tr>
            <w:tr w14:paraId="1B75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FEE51F5">
                  <w:pPr>
                    <w:pStyle w:val="32"/>
                    <w:bidi w:val="0"/>
                    <w:rPr>
                      <w:rFonts w:hint="default"/>
                      <w:lang w:val="en-US" w:eastAsia="zh-CN"/>
                    </w:rPr>
                  </w:pPr>
                  <w:r>
                    <w:rPr>
                      <w:rFonts w:hint="eastAsia"/>
                      <w:lang w:val="en-US" w:eastAsia="zh-CN"/>
                    </w:rPr>
                    <w:t>财务室</w:t>
                  </w:r>
                </w:p>
              </w:tc>
              <w:tc>
                <w:tcPr>
                  <w:tcW w:w="1275" w:type="dxa"/>
                  <w:shd w:val="clear" w:color="auto" w:fill="auto"/>
                  <w:vAlign w:val="center"/>
                </w:tcPr>
                <w:p w14:paraId="2020CCB5">
                  <w:pPr>
                    <w:pStyle w:val="32"/>
                    <w:bidi w:val="0"/>
                    <w:rPr>
                      <w:rFonts w:hint="default"/>
                      <w:lang w:val="en-US" w:eastAsia="zh-CN"/>
                    </w:rPr>
                  </w:pPr>
                  <w:r>
                    <w:rPr>
                      <w:rFonts w:hint="eastAsia"/>
                      <w:lang w:val="en-US" w:eastAsia="zh-CN"/>
                    </w:rPr>
                    <w:t>26.95</w:t>
                  </w:r>
                </w:p>
              </w:tc>
              <w:tc>
                <w:tcPr>
                  <w:tcW w:w="4574" w:type="dxa"/>
                  <w:shd w:val="clear" w:color="auto" w:fill="auto"/>
                  <w:vAlign w:val="center"/>
                </w:tcPr>
                <w:p w14:paraId="761FD656">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5F90F0DA">
                  <w:pPr>
                    <w:pStyle w:val="32"/>
                    <w:bidi w:val="0"/>
                    <w:rPr>
                      <w:rFonts w:hint="eastAsia"/>
                      <w:lang w:val="en-US" w:eastAsia="zh-CN"/>
                    </w:rPr>
                  </w:pPr>
                </w:p>
              </w:tc>
            </w:tr>
            <w:tr w14:paraId="21C7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36DDCF9">
                  <w:pPr>
                    <w:pStyle w:val="32"/>
                    <w:bidi w:val="0"/>
                    <w:rPr>
                      <w:rFonts w:hint="default"/>
                      <w:lang w:val="en-US" w:eastAsia="zh-CN"/>
                    </w:rPr>
                  </w:pPr>
                  <w:r>
                    <w:rPr>
                      <w:rFonts w:hint="eastAsia"/>
                      <w:lang w:val="en-US" w:eastAsia="zh-CN"/>
                    </w:rPr>
                    <w:t>院长室</w:t>
                  </w:r>
                </w:p>
              </w:tc>
              <w:tc>
                <w:tcPr>
                  <w:tcW w:w="1275" w:type="dxa"/>
                  <w:shd w:val="clear" w:color="auto" w:fill="auto"/>
                  <w:vAlign w:val="center"/>
                </w:tcPr>
                <w:p w14:paraId="272FB7D4">
                  <w:pPr>
                    <w:pStyle w:val="32"/>
                    <w:bidi w:val="0"/>
                    <w:rPr>
                      <w:rFonts w:hint="default"/>
                      <w:lang w:val="en-US" w:eastAsia="zh-CN"/>
                    </w:rPr>
                  </w:pPr>
                  <w:r>
                    <w:rPr>
                      <w:rFonts w:hint="eastAsia"/>
                      <w:lang w:val="en-US" w:eastAsia="zh-CN"/>
                    </w:rPr>
                    <w:t>26.95</w:t>
                  </w:r>
                </w:p>
              </w:tc>
              <w:tc>
                <w:tcPr>
                  <w:tcW w:w="4574" w:type="dxa"/>
                  <w:shd w:val="clear" w:color="auto" w:fill="auto"/>
                  <w:vAlign w:val="center"/>
                </w:tcPr>
                <w:p w14:paraId="3FB48F62">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64CEAAAA">
                  <w:pPr>
                    <w:pStyle w:val="32"/>
                    <w:bidi w:val="0"/>
                    <w:rPr>
                      <w:rFonts w:hint="eastAsia"/>
                      <w:lang w:val="en-US" w:eastAsia="zh-CN"/>
                    </w:rPr>
                  </w:pPr>
                </w:p>
              </w:tc>
            </w:tr>
            <w:tr w14:paraId="4745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733F5747">
                  <w:pPr>
                    <w:pStyle w:val="32"/>
                    <w:bidi w:val="0"/>
                    <w:rPr>
                      <w:rFonts w:hint="default"/>
                      <w:lang w:val="en-US" w:eastAsia="zh-CN"/>
                    </w:rPr>
                  </w:pPr>
                  <w:r>
                    <w:rPr>
                      <w:rFonts w:hint="eastAsia"/>
                      <w:lang w:val="en-US" w:eastAsia="zh-CN"/>
                    </w:rPr>
                    <w:t>副院长室</w:t>
                  </w:r>
                </w:p>
              </w:tc>
              <w:tc>
                <w:tcPr>
                  <w:tcW w:w="1275" w:type="dxa"/>
                  <w:shd w:val="clear" w:color="auto" w:fill="auto"/>
                  <w:vAlign w:val="center"/>
                </w:tcPr>
                <w:p w14:paraId="64BE582E">
                  <w:pPr>
                    <w:pStyle w:val="32"/>
                    <w:bidi w:val="0"/>
                    <w:rPr>
                      <w:rFonts w:hint="default"/>
                      <w:lang w:val="en-US" w:eastAsia="zh-CN"/>
                    </w:rPr>
                  </w:pPr>
                  <w:r>
                    <w:rPr>
                      <w:rFonts w:hint="eastAsia"/>
                      <w:lang w:val="en-US" w:eastAsia="zh-CN"/>
                    </w:rPr>
                    <w:t>26.95</w:t>
                  </w:r>
                </w:p>
              </w:tc>
              <w:tc>
                <w:tcPr>
                  <w:tcW w:w="4574" w:type="dxa"/>
                  <w:shd w:val="clear" w:color="auto" w:fill="auto"/>
                  <w:vAlign w:val="center"/>
                </w:tcPr>
                <w:p w14:paraId="0558A279">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4C2BA675">
                  <w:pPr>
                    <w:pStyle w:val="32"/>
                    <w:bidi w:val="0"/>
                    <w:rPr>
                      <w:rFonts w:hint="eastAsia"/>
                      <w:lang w:val="en-US" w:eastAsia="zh-CN"/>
                    </w:rPr>
                  </w:pPr>
                </w:p>
              </w:tc>
            </w:tr>
            <w:tr w14:paraId="2FF9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243035A5">
                  <w:pPr>
                    <w:pStyle w:val="32"/>
                    <w:bidi w:val="0"/>
                    <w:rPr>
                      <w:rFonts w:hint="default"/>
                      <w:lang w:val="en-US" w:eastAsia="zh-CN"/>
                    </w:rPr>
                  </w:pPr>
                  <w:r>
                    <w:rPr>
                      <w:rFonts w:hint="eastAsia"/>
                      <w:lang w:val="en-US" w:eastAsia="zh-CN"/>
                    </w:rPr>
                    <w:t>办公室</w:t>
                  </w:r>
                </w:p>
              </w:tc>
              <w:tc>
                <w:tcPr>
                  <w:tcW w:w="1275" w:type="dxa"/>
                  <w:shd w:val="clear" w:color="auto" w:fill="auto"/>
                  <w:vAlign w:val="center"/>
                </w:tcPr>
                <w:p w14:paraId="2BFAB084">
                  <w:pPr>
                    <w:pStyle w:val="32"/>
                    <w:bidi w:val="0"/>
                    <w:rPr>
                      <w:rFonts w:hint="default"/>
                      <w:lang w:val="en-US" w:eastAsia="zh-CN"/>
                    </w:rPr>
                  </w:pPr>
                  <w:r>
                    <w:rPr>
                      <w:rFonts w:hint="eastAsia"/>
                      <w:lang w:val="en-US" w:eastAsia="zh-CN"/>
                    </w:rPr>
                    <w:t>39.22</w:t>
                  </w:r>
                </w:p>
              </w:tc>
              <w:tc>
                <w:tcPr>
                  <w:tcW w:w="4574" w:type="dxa"/>
                  <w:shd w:val="clear" w:color="auto" w:fill="auto"/>
                  <w:vAlign w:val="center"/>
                </w:tcPr>
                <w:p w14:paraId="62763B14">
                  <w:pPr>
                    <w:pStyle w:val="32"/>
                    <w:bidi w:val="0"/>
                    <w:rPr>
                      <w:rFonts w:hint="default"/>
                      <w:lang w:val="en-US" w:eastAsia="zh-CN"/>
                    </w:rPr>
                  </w:pPr>
                  <w:r>
                    <w:rPr>
                      <w:rFonts w:hint="eastAsia"/>
                      <w:lang w:val="en-US" w:eastAsia="zh-CN"/>
                    </w:rPr>
                    <w:t>1</w:t>
                  </w:r>
                </w:p>
              </w:tc>
              <w:tc>
                <w:tcPr>
                  <w:tcW w:w="1122" w:type="dxa"/>
                  <w:vMerge w:val="continue"/>
                  <w:shd w:val="clear" w:color="auto" w:fill="auto"/>
                  <w:vAlign w:val="center"/>
                </w:tcPr>
                <w:p w14:paraId="14E28C34">
                  <w:pPr>
                    <w:pStyle w:val="32"/>
                    <w:bidi w:val="0"/>
                    <w:rPr>
                      <w:rFonts w:hint="eastAsia"/>
                      <w:lang w:val="en-US" w:eastAsia="zh-CN"/>
                    </w:rPr>
                  </w:pPr>
                </w:p>
              </w:tc>
            </w:tr>
            <w:tr w14:paraId="58C3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7388E4D6">
                  <w:pPr>
                    <w:pStyle w:val="32"/>
                    <w:bidi w:val="0"/>
                    <w:rPr>
                      <w:rFonts w:hint="default"/>
                      <w:lang w:val="en-US" w:eastAsia="zh-CN"/>
                    </w:rPr>
                  </w:pPr>
                  <w:r>
                    <w:rPr>
                      <w:rFonts w:hint="eastAsia"/>
                      <w:lang w:val="en-US" w:eastAsia="zh-CN"/>
                    </w:rPr>
                    <w:t>医废暂存间</w:t>
                  </w:r>
                </w:p>
              </w:tc>
              <w:tc>
                <w:tcPr>
                  <w:tcW w:w="1275" w:type="dxa"/>
                  <w:shd w:val="clear" w:color="auto" w:fill="auto"/>
                  <w:vAlign w:val="center"/>
                </w:tcPr>
                <w:p w14:paraId="6E7B74FE">
                  <w:pPr>
                    <w:pStyle w:val="32"/>
                    <w:bidi w:val="0"/>
                    <w:rPr>
                      <w:rFonts w:hint="default"/>
                      <w:highlight w:val="none"/>
                      <w:lang w:val="en-US" w:eastAsia="zh-CN"/>
                    </w:rPr>
                  </w:pPr>
                  <w:r>
                    <w:rPr>
                      <w:rFonts w:hint="eastAsia"/>
                      <w:highlight w:val="none"/>
                      <w:lang w:val="en-US" w:eastAsia="zh-CN"/>
                    </w:rPr>
                    <w:t>15</w:t>
                  </w:r>
                </w:p>
              </w:tc>
              <w:tc>
                <w:tcPr>
                  <w:tcW w:w="4574" w:type="dxa"/>
                  <w:shd w:val="clear" w:color="auto" w:fill="auto"/>
                  <w:vAlign w:val="center"/>
                </w:tcPr>
                <w:p w14:paraId="39C358D0">
                  <w:pPr>
                    <w:pStyle w:val="32"/>
                    <w:bidi w:val="0"/>
                    <w:rPr>
                      <w:rFonts w:hint="default"/>
                      <w:lang w:val="en-US" w:eastAsia="zh-CN"/>
                    </w:rPr>
                  </w:pPr>
                  <w:r>
                    <w:rPr>
                      <w:rFonts w:hint="eastAsia"/>
                      <w:lang w:val="en-US" w:eastAsia="zh-CN"/>
                    </w:rPr>
                    <w:t>1</w:t>
                  </w:r>
                </w:p>
              </w:tc>
              <w:tc>
                <w:tcPr>
                  <w:tcW w:w="1122" w:type="dxa"/>
                  <w:shd w:val="clear" w:color="auto" w:fill="auto"/>
                  <w:vAlign w:val="center"/>
                </w:tcPr>
                <w:p w14:paraId="4AFA5D46">
                  <w:pPr>
                    <w:pStyle w:val="32"/>
                    <w:bidi w:val="0"/>
                    <w:rPr>
                      <w:rFonts w:hint="default"/>
                      <w:lang w:val="en-US" w:eastAsia="zh-CN"/>
                    </w:rPr>
                  </w:pPr>
                  <w:r>
                    <w:rPr>
                      <w:rFonts w:hint="eastAsia"/>
                      <w:lang w:val="en-US" w:eastAsia="zh-CN"/>
                    </w:rPr>
                    <w:t>/</w:t>
                  </w:r>
                </w:p>
              </w:tc>
            </w:tr>
            <w:tr w14:paraId="2EFA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0496C9F3">
                  <w:pPr>
                    <w:pStyle w:val="32"/>
                    <w:bidi w:val="0"/>
                    <w:rPr>
                      <w:rFonts w:hint="default"/>
                      <w:lang w:val="en-US" w:eastAsia="zh-CN"/>
                    </w:rPr>
                  </w:pPr>
                  <w:r>
                    <w:rPr>
                      <w:rFonts w:hint="eastAsia"/>
                      <w:lang w:val="en-US" w:eastAsia="zh-CN"/>
                    </w:rPr>
                    <w:t>危废暂存间</w:t>
                  </w:r>
                </w:p>
              </w:tc>
              <w:tc>
                <w:tcPr>
                  <w:tcW w:w="1275" w:type="dxa"/>
                  <w:shd w:val="clear" w:color="auto" w:fill="auto"/>
                  <w:vAlign w:val="center"/>
                </w:tcPr>
                <w:p w14:paraId="0B5698E5">
                  <w:pPr>
                    <w:pStyle w:val="32"/>
                    <w:bidi w:val="0"/>
                    <w:rPr>
                      <w:rFonts w:hint="default"/>
                      <w:highlight w:val="none"/>
                      <w:lang w:val="en-US" w:eastAsia="zh-CN"/>
                    </w:rPr>
                  </w:pPr>
                  <w:r>
                    <w:rPr>
                      <w:rFonts w:hint="eastAsia"/>
                      <w:highlight w:val="none"/>
                      <w:lang w:val="en-US" w:eastAsia="zh-CN"/>
                    </w:rPr>
                    <w:t>5</w:t>
                  </w:r>
                </w:p>
              </w:tc>
              <w:tc>
                <w:tcPr>
                  <w:tcW w:w="4574" w:type="dxa"/>
                  <w:shd w:val="clear" w:color="auto" w:fill="auto"/>
                  <w:vAlign w:val="center"/>
                </w:tcPr>
                <w:p w14:paraId="2BBACC99">
                  <w:pPr>
                    <w:pStyle w:val="32"/>
                    <w:bidi w:val="0"/>
                    <w:rPr>
                      <w:rFonts w:hint="default"/>
                      <w:lang w:val="en-US" w:eastAsia="zh-CN"/>
                    </w:rPr>
                  </w:pPr>
                  <w:r>
                    <w:rPr>
                      <w:rFonts w:hint="eastAsia"/>
                      <w:lang w:val="en-US" w:eastAsia="zh-CN"/>
                    </w:rPr>
                    <w:t>1</w:t>
                  </w:r>
                </w:p>
              </w:tc>
              <w:tc>
                <w:tcPr>
                  <w:tcW w:w="1122" w:type="dxa"/>
                  <w:shd w:val="clear" w:color="auto" w:fill="auto"/>
                  <w:vAlign w:val="center"/>
                </w:tcPr>
                <w:p w14:paraId="040E28EC">
                  <w:pPr>
                    <w:pStyle w:val="32"/>
                    <w:bidi w:val="0"/>
                    <w:rPr>
                      <w:rFonts w:hint="default"/>
                      <w:lang w:val="en-US" w:eastAsia="zh-CN"/>
                    </w:rPr>
                  </w:pPr>
                  <w:r>
                    <w:rPr>
                      <w:rFonts w:hint="eastAsia"/>
                      <w:lang w:val="en-US" w:eastAsia="zh-CN"/>
                    </w:rPr>
                    <w:t>/</w:t>
                  </w:r>
                </w:p>
              </w:tc>
            </w:tr>
            <w:tr w14:paraId="513E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4C1630A4">
                  <w:pPr>
                    <w:pStyle w:val="32"/>
                    <w:bidi w:val="0"/>
                    <w:rPr>
                      <w:rFonts w:hint="default"/>
                      <w:lang w:val="en-US" w:eastAsia="zh-CN"/>
                    </w:rPr>
                  </w:pPr>
                  <w:r>
                    <w:rPr>
                      <w:rFonts w:hint="eastAsia"/>
                      <w:lang w:val="en-US" w:eastAsia="zh-CN"/>
                    </w:rPr>
                    <w:t>污水处理站</w:t>
                  </w:r>
                </w:p>
              </w:tc>
              <w:tc>
                <w:tcPr>
                  <w:tcW w:w="1275" w:type="dxa"/>
                  <w:shd w:val="clear" w:color="auto" w:fill="auto"/>
                  <w:vAlign w:val="center"/>
                </w:tcPr>
                <w:p w14:paraId="538074A5">
                  <w:pPr>
                    <w:pStyle w:val="32"/>
                    <w:bidi w:val="0"/>
                    <w:rPr>
                      <w:rFonts w:hint="default"/>
                      <w:lang w:val="en-US" w:eastAsia="zh-CN"/>
                    </w:rPr>
                  </w:pPr>
                  <w:r>
                    <w:rPr>
                      <w:rFonts w:hint="eastAsia"/>
                      <w:lang w:val="en-US" w:eastAsia="zh-CN"/>
                    </w:rPr>
                    <w:t>100</w:t>
                  </w:r>
                </w:p>
              </w:tc>
              <w:tc>
                <w:tcPr>
                  <w:tcW w:w="4574" w:type="dxa"/>
                  <w:shd w:val="clear" w:color="auto" w:fill="auto"/>
                  <w:vAlign w:val="center"/>
                </w:tcPr>
                <w:p w14:paraId="7FAE9AF9">
                  <w:pPr>
                    <w:pStyle w:val="32"/>
                    <w:bidi w:val="0"/>
                    <w:rPr>
                      <w:rFonts w:hint="default"/>
                      <w:lang w:val="en-US" w:eastAsia="zh-CN"/>
                    </w:rPr>
                  </w:pPr>
                  <w:r>
                    <w:rPr>
                      <w:rFonts w:hint="eastAsia"/>
                      <w:lang w:val="en-US" w:eastAsia="zh-CN"/>
                    </w:rPr>
                    <w:t>1</w:t>
                  </w:r>
                </w:p>
              </w:tc>
              <w:tc>
                <w:tcPr>
                  <w:tcW w:w="1122" w:type="dxa"/>
                  <w:shd w:val="clear" w:color="auto" w:fill="auto"/>
                  <w:vAlign w:val="center"/>
                </w:tcPr>
                <w:p w14:paraId="5E9097E7">
                  <w:pPr>
                    <w:pStyle w:val="32"/>
                    <w:bidi w:val="0"/>
                    <w:rPr>
                      <w:rFonts w:hint="default"/>
                      <w:lang w:val="en-US" w:eastAsia="zh-CN"/>
                    </w:rPr>
                  </w:pPr>
                  <w:r>
                    <w:rPr>
                      <w:rFonts w:hint="eastAsia"/>
                      <w:lang w:val="en-US" w:eastAsia="zh-CN"/>
                    </w:rPr>
                    <w:t>地埋式</w:t>
                  </w:r>
                </w:p>
              </w:tc>
            </w:tr>
            <w:tr w14:paraId="63FF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shd w:val="clear" w:color="auto" w:fill="auto"/>
                  <w:vAlign w:val="center"/>
                </w:tcPr>
                <w:p w14:paraId="56D1DC2C">
                  <w:pPr>
                    <w:pStyle w:val="32"/>
                    <w:bidi w:val="0"/>
                    <w:rPr>
                      <w:rFonts w:hint="eastAsia"/>
                      <w:lang w:val="en-US" w:eastAsia="zh-CN"/>
                    </w:rPr>
                  </w:pPr>
                  <w:r>
                    <w:rPr>
                      <w:rFonts w:hint="eastAsia"/>
                      <w:highlight w:val="none"/>
                      <w:lang w:val="en-US" w:eastAsia="zh-CN"/>
                    </w:rPr>
                    <w:t>污水站消毒间</w:t>
                  </w:r>
                </w:p>
              </w:tc>
              <w:tc>
                <w:tcPr>
                  <w:tcW w:w="1275" w:type="dxa"/>
                  <w:shd w:val="clear" w:color="auto" w:fill="auto"/>
                  <w:vAlign w:val="center"/>
                </w:tcPr>
                <w:p w14:paraId="2A570C99">
                  <w:pPr>
                    <w:pStyle w:val="32"/>
                    <w:bidi w:val="0"/>
                    <w:rPr>
                      <w:rFonts w:hint="default"/>
                      <w:lang w:val="en-US" w:eastAsia="zh-CN"/>
                    </w:rPr>
                  </w:pPr>
                  <w:r>
                    <w:rPr>
                      <w:rFonts w:hint="eastAsia"/>
                      <w:lang w:val="en-US" w:eastAsia="zh-CN"/>
                    </w:rPr>
                    <w:t>22.5</w:t>
                  </w:r>
                </w:p>
              </w:tc>
              <w:tc>
                <w:tcPr>
                  <w:tcW w:w="4574" w:type="dxa"/>
                  <w:shd w:val="clear" w:color="auto" w:fill="auto"/>
                  <w:vAlign w:val="center"/>
                </w:tcPr>
                <w:p w14:paraId="203D7627">
                  <w:pPr>
                    <w:pStyle w:val="32"/>
                    <w:bidi w:val="0"/>
                    <w:rPr>
                      <w:rFonts w:hint="default"/>
                      <w:lang w:val="en-US" w:eastAsia="zh-CN"/>
                    </w:rPr>
                  </w:pPr>
                  <w:r>
                    <w:rPr>
                      <w:rFonts w:hint="eastAsia"/>
                      <w:lang w:val="en-US" w:eastAsia="zh-CN"/>
                    </w:rPr>
                    <w:t>1</w:t>
                  </w:r>
                </w:p>
              </w:tc>
              <w:tc>
                <w:tcPr>
                  <w:tcW w:w="1122" w:type="dxa"/>
                  <w:shd w:val="clear" w:color="auto" w:fill="auto"/>
                  <w:vAlign w:val="center"/>
                </w:tcPr>
                <w:p w14:paraId="39AE95F8">
                  <w:pPr>
                    <w:pStyle w:val="32"/>
                    <w:bidi w:val="0"/>
                    <w:rPr>
                      <w:rFonts w:hint="default"/>
                      <w:lang w:val="en-US" w:eastAsia="zh-CN"/>
                    </w:rPr>
                  </w:pPr>
                  <w:r>
                    <w:rPr>
                      <w:rFonts w:hint="eastAsia"/>
                      <w:lang w:val="en-US" w:eastAsia="zh-CN"/>
                    </w:rPr>
                    <w:t>/</w:t>
                  </w:r>
                </w:p>
              </w:tc>
            </w:tr>
          </w:tbl>
          <w:p w14:paraId="72417BE5">
            <w:pPr>
              <w:bidi w:val="0"/>
              <w:rPr>
                <w:rFonts w:hint="default"/>
                <w:b/>
                <w:bCs/>
                <w:lang w:val="en-US" w:eastAsia="zh-CN"/>
              </w:rPr>
            </w:pPr>
            <w:r>
              <w:rPr>
                <w:rFonts w:hint="eastAsia"/>
                <w:b/>
                <w:bCs/>
                <w:lang w:val="en-US" w:eastAsia="zh-CN"/>
              </w:rPr>
              <w:t>3、床位设置情况</w:t>
            </w:r>
          </w:p>
          <w:p w14:paraId="1A8E6453">
            <w:pPr>
              <w:ind w:firstLine="480"/>
              <w:rPr>
                <w:rFonts w:hint="default"/>
                <w:color w:val="auto"/>
                <w:highlight w:val="none"/>
                <w:lang w:val="en-US"/>
              </w:rPr>
            </w:pPr>
            <w:r>
              <w:rPr>
                <w:rFonts w:hint="eastAsia"/>
                <w:color w:val="auto"/>
                <w:highlight w:val="none"/>
                <w:lang w:val="en-US" w:eastAsia="zh-CN"/>
              </w:rPr>
              <w:t>本项目设置床位270张，具体情况见下表。</w:t>
            </w:r>
          </w:p>
          <w:p w14:paraId="42E11F13">
            <w:pPr>
              <w:pStyle w:val="41"/>
              <w:bidi w:val="0"/>
              <w:rPr>
                <w:rFonts w:hint="eastAsia"/>
              </w:rPr>
            </w:pPr>
          </w:p>
          <w:p w14:paraId="75A83C89">
            <w:pPr>
              <w:pStyle w:val="41"/>
              <w:bidi w:val="0"/>
              <w:rPr>
                <w:rFonts w:hint="eastAsia"/>
              </w:rPr>
            </w:pPr>
          </w:p>
          <w:p w14:paraId="7F886E39">
            <w:pPr>
              <w:pStyle w:val="41"/>
              <w:bidi w:val="0"/>
              <w:rPr>
                <w:rFonts w:hint="eastAsia"/>
              </w:rPr>
            </w:pPr>
            <w:r>
              <w:rPr>
                <w:rFonts w:hint="eastAsia"/>
              </w:rPr>
              <w:t>表2-</w:t>
            </w:r>
            <w:r>
              <w:rPr>
                <w:rFonts w:hint="eastAsia"/>
                <w:lang w:val="en-US" w:eastAsia="zh-CN"/>
              </w:rPr>
              <w:t>5</w:t>
            </w:r>
            <w:r>
              <w:rPr>
                <w:rFonts w:hint="eastAsia"/>
              </w:rPr>
              <w:t xml:space="preserve"> </w:t>
            </w:r>
            <w:r>
              <w:rPr>
                <w:rFonts w:hint="eastAsia"/>
                <w:lang w:val="en-US" w:eastAsia="zh-CN"/>
              </w:rPr>
              <w:t xml:space="preserve"> 床位设置情况</w:t>
            </w:r>
            <w:r>
              <w:rPr>
                <w:rFonts w:hint="eastAsia"/>
              </w:rPr>
              <w:t>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5"/>
              <w:gridCol w:w="1056"/>
              <w:gridCol w:w="1250"/>
              <w:gridCol w:w="1934"/>
              <w:gridCol w:w="2116"/>
              <w:gridCol w:w="587"/>
            </w:tblGrid>
            <w:tr w14:paraId="6914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10" w:type="pct"/>
                  <w:shd w:val="clear" w:color="auto" w:fill="auto"/>
                  <w:vAlign w:val="center"/>
                </w:tcPr>
                <w:p w14:paraId="5243678F">
                  <w:pPr>
                    <w:pStyle w:val="39"/>
                    <w:bidi w:val="0"/>
                    <w:jc w:val="center"/>
                    <w:rPr>
                      <w:rFonts w:hint="eastAsia"/>
                      <w:b/>
                      <w:bCs/>
                    </w:rPr>
                  </w:pPr>
                  <w:r>
                    <w:rPr>
                      <w:rFonts w:hint="eastAsia"/>
                      <w:b/>
                      <w:bCs/>
                      <w:lang w:val="en-US" w:eastAsia="zh-CN"/>
                    </w:rPr>
                    <w:t>序号</w:t>
                  </w:r>
                </w:p>
              </w:tc>
              <w:tc>
                <w:tcPr>
                  <w:tcW w:w="622" w:type="pct"/>
                  <w:shd w:val="clear" w:color="auto" w:fill="auto"/>
                  <w:vAlign w:val="center"/>
                </w:tcPr>
                <w:p w14:paraId="5CBF6424">
                  <w:pPr>
                    <w:pStyle w:val="39"/>
                    <w:bidi w:val="0"/>
                    <w:jc w:val="center"/>
                    <w:rPr>
                      <w:rFonts w:hint="eastAsia" w:eastAsia="宋体"/>
                      <w:b/>
                      <w:bCs/>
                      <w:lang w:val="en-US" w:eastAsia="zh-CN"/>
                    </w:rPr>
                  </w:pPr>
                  <w:r>
                    <w:rPr>
                      <w:rFonts w:hint="eastAsia"/>
                      <w:b/>
                      <w:bCs/>
                      <w:lang w:val="en-US" w:eastAsia="zh-CN"/>
                    </w:rPr>
                    <w:t>名称</w:t>
                  </w:r>
                </w:p>
              </w:tc>
              <w:tc>
                <w:tcPr>
                  <w:tcW w:w="736" w:type="pct"/>
                  <w:shd w:val="clear" w:color="auto" w:fill="auto"/>
                  <w:vAlign w:val="center"/>
                </w:tcPr>
                <w:p w14:paraId="7E4500EB">
                  <w:pPr>
                    <w:pStyle w:val="39"/>
                    <w:bidi w:val="0"/>
                    <w:jc w:val="center"/>
                    <w:rPr>
                      <w:rFonts w:hint="eastAsia"/>
                      <w:b/>
                      <w:bCs/>
                    </w:rPr>
                  </w:pPr>
                  <w:r>
                    <w:rPr>
                      <w:rFonts w:hint="eastAsia"/>
                      <w:b/>
                      <w:bCs/>
                      <w:lang w:val="en-US" w:eastAsia="zh-CN"/>
                    </w:rPr>
                    <w:t>数量</w:t>
                  </w:r>
                </w:p>
              </w:tc>
              <w:tc>
                <w:tcPr>
                  <w:tcW w:w="1139" w:type="pct"/>
                  <w:shd w:val="clear" w:color="auto" w:fill="auto"/>
                  <w:vAlign w:val="center"/>
                </w:tcPr>
                <w:p w14:paraId="357CB0EB">
                  <w:pPr>
                    <w:pStyle w:val="39"/>
                    <w:bidi w:val="0"/>
                    <w:jc w:val="center"/>
                    <w:rPr>
                      <w:rFonts w:hint="default"/>
                      <w:b/>
                      <w:bCs/>
                      <w:lang w:val="en-US" w:eastAsia="zh-CN"/>
                    </w:rPr>
                  </w:pPr>
                  <w:r>
                    <w:rPr>
                      <w:rFonts w:hint="eastAsia"/>
                      <w:b/>
                      <w:bCs/>
                      <w:lang w:val="en-US" w:eastAsia="zh-CN"/>
                    </w:rPr>
                    <w:t>单位</w:t>
                  </w:r>
                </w:p>
              </w:tc>
              <w:tc>
                <w:tcPr>
                  <w:tcW w:w="1246" w:type="pct"/>
                  <w:shd w:val="clear" w:color="auto" w:fill="auto"/>
                  <w:vAlign w:val="center"/>
                </w:tcPr>
                <w:p w14:paraId="42582002">
                  <w:pPr>
                    <w:pStyle w:val="39"/>
                    <w:bidi w:val="0"/>
                    <w:jc w:val="center"/>
                    <w:rPr>
                      <w:rFonts w:hint="eastAsia"/>
                      <w:b/>
                      <w:bCs/>
                      <w:lang w:val="en-US" w:eastAsia="zh-CN"/>
                    </w:rPr>
                  </w:pPr>
                  <w:r>
                    <w:rPr>
                      <w:rFonts w:hint="eastAsia"/>
                      <w:b/>
                      <w:bCs/>
                      <w:lang w:val="en-US" w:eastAsia="zh-CN"/>
                    </w:rPr>
                    <w:t>位置</w:t>
                  </w:r>
                </w:p>
              </w:tc>
              <w:tc>
                <w:tcPr>
                  <w:tcW w:w="345" w:type="pct"/>
                  <w:shd w:val="clear" w:color="auto" w:fill="auto"/>
                  <w:vAlign w:val="center"/>
                </w:tcPr>
                <w:p w14:paraId="7AE5F78E">
                  <w:pPr>
                    <w:pStyle w:val="39"/>
                    <w:bidi w:val="0"/>
                    <w:jc w:val="center"/>
                    <w:rPr>
                      <w:rFonts w:hint="eastAsia"/>
                      <w:b/>
                      <w:bCs/>
                    </w:rPr>
                  </w:pPr>
                  <w:r>
                    <w:rPr>
                      <w:rFonts w:hint="eastAsia"/>
                      <w:b/>
                      <w:bCs/>
                      <w:lang w:val="en-US" w:eastAsia="zh-CN"/>
                    </w:rPr>
                    <w:t>备注</w:t>
                  </w:r>
                </w:p>
              </w:tc>
            </w:tr>
            <w:tr w14:paraId="030D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10" w:type="pct"/>
                  <w:shd w:val="clear" w:color="auto" w:fill="auto"/>
                  <w:vAlign w:val="center"/>
                </w:tcPr>
                <w:p w14:paraId="78A3EDC4">
                  <w:pPr>
                    <w:pStyle w:val="39"/>
                    <w:bidi w:val="0"/>
                    <w:jc w:val="center"/>
                    <w:rPr>
                      <w:rFonts w:hint="default"/>
                      <w:lang w:val="en-US" w:eastAsia="zh-CN"/>
                    </w:rPr>
                  </w:pPr>
                  <w:r>
                    <w:rPr>
                      <w:rFonts w:hint="eastAsia"/>
                      <w:lang w:val="en-US" w:eastAsia="zh-CN"/>
                    </w:rPr>
                    <w:t>1</w:t>
                  </w:r>
                </w:p>
              </w:tc>
              <w:tc>
                <w:tcPr>
                  <w:tcW w:w="622" w:type="pct"/>
                  <w:shd w:val="clear" w:color="auto" w:fill="auto"/>
                  <w:vAlign w:val="center"/>
                </w:tcPr>
                <w:p w14:paraId="70C4C2C5">
                  <w:pPr>
                    <w:pStyle w:val="39"/>
                    <w:bidi w:val="0"/>
                    <w:jc w:val="center"/>
                    <w:rPr>
                      <w:rFonts w:hint="default" w:eastAsia="宋体"/>
                      <w:lang w:val="en-US" w:eastAsia="zh-CN"/>
                    </w:rPr>
                  </w:pPr>
                  <w:r>
                    <w:rPr>
                      <w:rFonts w:hint="eastAsia"/>
                      <w:lang w:val="en-US" w:eastAsia="zh-CN"/>
                    </w:rPr>
                    <w:t>治疗床位</w:t>
                  </w:r>
                </w:p>
              </w:tc>
              <w:tc>
                <w:tcPr>
                  <w:tcW w:w="736" w:type="pct"/>
                  <w:shd w:val="clear" w:color="auto" w:fill="auto"/>
                  <w:vAlign w:val="center"/>
                </w:tcPr>
                <w:p w14:paraId="5657E57D">
                  <w:pPr>
                    <w:pStyle w:val="39"/>
                    <w:bidi w:val="0"/>
                    <w:jc w:val="center"/>
                    <w:rPr>
                      <w:rFonts w:hint="default"/>
                      <w:lang w:val="en-US" w:eastAsia="zh-CN"/>
                    </w:rPr>
                  </w:pPr>
                  <w:r>
                    <w:rPr>
                      <w:rFonts w:hint="eastAsia"/>
                      <w:lang w:val="en-US" w:eastAsia="zh-CN"/>
                    </w:rPr>
                    <w:t>108</w:t>
                  </w:r>
                </w:p>
              </w:tc>
              <w:tc>
                <w:tcPr>
                  <w:tcW w:w="1139" w:type="pct"/>
                  <w:shd w:val="clear" w:color="auto" w:fill="auto"/>
                  <w:vAlign w:val="center"/>
                </w:tcPr>
                <w:p w14:paraId="209BC4F6">
                  <w:pPr>
                    <w:pStyle w:val="39"/>
                    <w:bidi w:val="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张</w:t>
                  </w:r>
                </w:p>
              </w:tc>
              <w:tc>
                <w:tcPr>
                  <w:tcW w:w="1246" w:type="pct"/>
                  <w:shd w:val="clear" w:color="auto" w:fill="auto"/>
                  <w:vAlign w:val="center"/>
                </w:tcPr>
                <w:p w14:paraId="5B32E02C">
                  <w:pPr>
                    <w:pStyle w:val="39"/>
                    <w:bidi w:val="0"/>
                    <w:jc w:val="center"/>
                    <w:rPr>
                      <w:rFonts w:hint="default" w:eastAsia="宋体"/>
                      <w:lang w:val="en-US" w:eastAsia="zh-CN"/>
                    </w:rPr>
                  </w:pPr>
                  <w:r>
                    <w:rPr>
                      <w:rFonts w:hint="eastAsia" w:ascii="Arial" w:hAnsi="Arial" w:cs="Arial"/>
                      <w:i w:val="0"/>
                      <w:iCs w:val="0"/>
                      <w:caps w:val="0"/>
                      <w:color w:val="333333"/>
                      <w:spacing w:val="0"/>
                      <w:sz w:val="21"/>
                      <w:szCs w:val="21"/>
                      <w:shd w:val="clear" w:fill="FFFFFF"/>
                      <w:lang w:val="en-US" w:eastAsia="zh-CN"/>
                    </w:rPr>
                    <w:t>位于</w:t>
                  </w:r>
                  <w:r>
                    <w:rPr>
                      <w:rFonts w:hint="eastAsia" w:cs="Times New Roman"/>
                      <w:kern w:val="2"/>
                      <w:sz w:val="21"/>
                      <w:szCs w:val="24"/>
                      <w:lang w:val="en-US" w:eastAsia="zh-CN" w:bidi="ar-SA"/>
                    </w:rPr>
                    <w:t>精神卫生福利中心主楼2~3层</w:t>
                  </w:r>
                </w:p>
              </w:tc>
              <w:tc>
                <w:tcPr>
                  <w:tcW w:w="345" w:type="pct"/>
                  <w:shd w:val="clear" w:color="auto" w:fill="auto"/>
                  <w:vAlign w:val="center"/>
                </w:tcPr>
                <w:p w14:paraId="20268761">
                  <w:pPr>
                    <w:pStyle w:val="39"/>
                    <w:bidi w:val="0"/>
                    <w:jc w:val="center"/>
                    <w:rPr>
                      <w:rFonts w:hint="default" w:eastAsia="宋体"/>
                      <w:lang w:val="en-US" w:eastAsia="zh-CN"/>
                    </w:rPr>
                  </w:pPr>
                  <w:r>
                    <w:rPr>
                      <w:rFonts w:hint="eastAsia"/>
                      <w:lang w:val="en-US" w:eastAsia="zh-CN"/>
                    </w:rPr>
                    <w:t>/</w:t>
                  </w:r>
                </w:p>
              </w:tc>
            </w:tr>
            <w:tr w14:paraId="6A43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shd w:val="clear" w:color="auto" w:fill="auto"/>
                  <w:vAlign w:val="center"/>
                </w:tcPr>
                <w:p w14:paraId="2D67C058">
                  <w:pPr>
                    <w:pStyle w:val="39"/>
                    <w:bidi w:val="0"/>
                    <w:jc w:val="center"/>
                    <w:rPr>
                      <w:rFonts w:hint="default"/>
                      <w:lang w:val="en-US" w:eastAsia="zh-CN"/>
                    </w:rPr>
                  </w:pPr>
                  <w:r>
                    <w:rPr>
                      <w:rFonts w:hint="eastAsia"/>
                      <w:lang w:val="en-US" w:eastAsia="zh-CN"/>
                    </w:rPr>
                    <w:t>2</w:t>
                  </w:r>
                </w:p>
              </w:tc>
              <w:tc>
                <w:tcPr>
                  <w:tcW w:w="622" w:type="pct"/>
                  <w:shd w:val="clear" w:color="auto" w:fill="auto"/>
                  <w:vAlign w:val="center"/>
                </w:tcPr>
                <w:p w14:paraId="6F5CC7FB">
                  <w:pPr>
                    <w:pStyle w:val="39"/>
                    <w:bidi w:val="0"/>
                    <w:jc w:val="center"/>
                    <w:rPr>
                      <w:rFonts w:hint="default"/>
                      <w:lang w:val="en-US" w:eastAsia="zh-CN"/>
                    </w:rPr>
                  </w:pPr>
                  <w:r>
                    <w:rPr>
                      <w:rFonts w:hint="eastAsia"/>
                      <w:lang w:val="en-US" w:eastAsia="zh-CN"/>
                    </w:rPr>
                    <w:t>康养床位</w:t>
                  </w:r>
                </w:p>
              </w:tc>
              <w:tc>
                <w:tcPr>
                  <w:tcW w:w="736" w:type="pct"/>
                  <w:shd w:val="clear" w:color="auto" w:fill="auto"/>
                  <w:vAlign w:val="center"/>
                </w:tcPr>
                <w:p w14:paraId="04799C87">
                  <w:pPr>
                    <w:pStyle w:val="39"/>
                    <w:bidi w:val="0"/>
                    <w:jc w:val="center"/>
                    <w:rPr>
                      <w:rFonts w:hint="default"/>
                      <w:lang w:val="en-US" w:eastAsia="zh-CN"/>
                    </w:rPr>
                  </w:pPr>
                  <w:r>
                    <w:rPr>
                      <w:rFonts w:hint="eastAsia"/>
                      <w:lang w:val="en-US" w:eastAsia="zh-CN"/>
                    </w:rPr>
                    <w:t>162</w:t>
                  </w:r>
                </w:p>
              </w:tc>
              <w:tc>
                <w:tcPr>
                  <w:tcW w:w="1139" w:type="pct"/>
                  <w:shd w:val="clear" w:color="auto" w:fill="auto"/>
                  <w:vAlign w:val="center"/>
                </w:tcPr>
                <w:p w14:paraId="645597B7">
                  <w:pPr>
                    <w:pStyle w:val="39"/>
                    <w:bidi w:val="0"/>
                    <w:jc w:val="center"/>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张</w:t>
                  </w:r>
                </w:p>
              </w:tc>
              <w:tc>
                <w:tcPr>
                  <w:tcW w:w="1246" w:type="pct"/>
                  <w:shd w:val="clear" w:color="auto" w:fill="auto"/>
                  <w:vAlign w:val="center"/>
                </w:tcPr>
                <w:p w14:paraId="4A38DA2C">
                  <w:pPr>
                    <w:pStyle w:val="39"/>
                    <w:bidi w:val="0"/>
                    <w:jc w:val="center"/>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位于</w:t>
                  </w:r>
                  <w:r>
                    <w:rPr>
                      <w:rFonts w:hint="eastAsia" w:cs="Times New Roman"/>
                      <w:kern w:val="2"/>
                      <w:sz w:val="21"/>
                      <w:szCs w:val="24"/>
                      <w:lang w:val="en-US" w:eastAsia="zh-CN" w:bidi="ar-SA"/>
                    </w:rPr>
                    <w:t>精神卫生福利中心主楼1、4~5层</w:t>
                  </w:r>
                </w:p>
              </w:tc>
              <w:tc>
                <w:tcPr>
                  <w:tcW w:w="345" w:type="pct"/>
                  <w:shd w:val="clear" w:color="auto" w:fill="auto"/>
                  <w:vAlign w:val="center"/>
                </w:tcPr>
                <w:p w14:paraId="66D8B069">
                  <w:pPr>
                    <w:pStyle w:val="39"/>
                    <w:bidi w:val="0"/>
                    <w:jc w:val="center"/>
                    <w:rPr>
                      <w:rFonts w:hint="default"/>
                      <w:lang w:val="en-US" w:eastAsia="zh-CN"/>
                    </w:rPr>
                  </w:pPr>
                  <w:r>
                    <w:rPr>
                      <w:rFonts w:hint="eastAsia"/>
                      <w:lang w:val="en-US" w:eastAsia="zh-CN"/>
                    </w:rPr>
                    <w:t>/</w:t>
                  </w:r>
                </w:p>
              </w:tc>
            </w:tr>
          </w:tbl>
          <w:p w14:paraId="4F2AF2C3">
            <w:pPr>
              <w:numPr>
                <w:ilvl w:val="0"/>
                <w:numId w:val="3"/>
              </w:numPr>
              <w:bidi w:val="0"/>
            </w:pPr>
            <w:r>
              <w:rPr>
                <w:rFonts w:hint="eastAsia"/>
                <w:b/>
                <w:bCs/>
                <w:color w:val="auto"/>
              </w:rPr>
              <w:t>主要生产设备</w:t>
            </w:r>
          </w:p>
          <w:p w14:paraId="2F21A7F8">
            <w:pPr>
              <w:ind w:firstLine="480"/>
              <w:rPr>
                <w:b/>
                <w:bCs/>
                <w:color w:val="auto"/>
              </w:rPr>
            </w:pPr>
            <w:r>
              <w:rPr>
                <w:rFonts w:hint="eastAsia"/>
                <w:color w:val="auto"/>
                <w:lang w:val="en-US" w:eastAsia="zh-CN"/>
              </w:rPr>
              <w:t>本</w:t>
            </w:r>
            <w:r>
              <w:rPr>
                <w:rFonts w:hint="eastAsia"/>
                <w:color w:val="auto"/>
              </w:rPr>
              <w:t>项目</w:t>
            </w:r>
            <w:r>
              <w:rPr>
                <w:color w:val="auto"/>
              </w:rPr>
              <w:t>主要生产及辅助设备见表</w:t>
            </w:r>
            <w:r>
              <w:rPr>
                <w:rFonts w:hint="eastAsia"/>
                <w:color w:val="auto"/>
              </w:rPr>
              <w:t>2</w:t>
            </w:r>
            <w:r>
              <w:rPr>
                <w:color w:val="auto"/>
              </w:rPr>
              <w:t>-</w:t>
            </w:r>
            <w:r>
              <w:rPr>
                <w:rFonts w:hint="eastAsia"/>
                <w:color w:val="auto"/>
                <w:lang w:val="en-US" w:eastAsia="zh-CN"/>
              </w:rPr>
              <w:t>6</w:t>
            </w:r>
            <w:r>
              <w:rPr>
                <w:rFonts w:hint="eastAsia"/>
                <w:color w:val="auto"/>
              </w:rPr>
              <w:t>，项目使用的生产设备均不属于</w:t>
            </w:r>
            <w:r>
              <w:rPr>
                <w:color w:val="auto"/>
              </w:rPr>
              <w:t>《产业结构调整指导目录》（20</w:t>
            </w:r>
            <w:r>
              <w:rPr>
                <w:rFonts w:hint="eastAsia"/>
                <w:color w:val="auto"/>
              </w:rPr>
              <w:t>24</w:t>
            </w:r>
            <w:r>
              <w:rPr>
                <w:color w:val="auto"/>
              </w:rPr>
              <w:t>年本）</w:t>
            </w:r>
            <w:r>
              <w:rPr>
                <w:rFonts w:hint="eastAsia"/>
                <w:color w:val="auto"/>
              </w:rPr>
              <w:t>中限制、淘汰类，符合国家产业政策要求。</w:t>
            </w:r>
          </w:p>
          <w:p w14:paraId="74BB2095">
            <w:pPr>
              <w:pStyle w:val="27"/>
              <w:bidi w:val="0"/>
            </w:pPr>
            <w:r>
              <w:rPr>
                <w:rFonts w:hint="eastAsia"/>
              </w:rPr>
              <w:t>表2-</w:t>
            </w:r>
            <w:r>
              <w:rPr>
                <w:rFonts w:hint="eastAsia"/>
                <w:lang w:val="en-US" w:eastAsia="zh-CN"/>
              </w:rPr>
              <w:t xml:space="preserve">6 </w:t>
            </w:r>
            <w:r>
              <w:rPr>
                <w:rFonts w:hint="eastAsia"/>
              </w:rPr>
              <w:t xml:space="preserve"> 主要设备一览表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2061"/>
              <w:gridCol w:w="1612"/>
              <w:gridCol w:w="1565"/>
              <w:gridCol w:w="1326"/>
              <w:gridCol w:w="1355"/>
            </w:tblGrid>
            <w:tr w14:paraId="560D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5B509039">
                  <w:pPr>
                    <w:pStyle w:val="32"/>
                    <w:bidi w:val="0"/>
                    <w:rPr>
                      <w:rFonts w:hint="default"/>
                      <w:b/>
                      <w:bCs/>
                    </w:rPr>
                  </w:pPr>
                  <w:r>
                    <w:rPr>
                      <w:rFonts w:hint="default"/>
                      <w:b/>
                      <w:bCs/>
                    </w:rPr>
                    <w:t>序号</w:t>
                  </w:r>
                </w:p>
              </w:tc>
              <w:tc>
                <w:tcPr>
                  <w:tcW w:w="1213" w:type="pct"/>
                  <w:noWrap w:val="0"/>
                  <w:vAlign w:val="center"/>
                </w:tcPr>
                <w:p w14:paraId="148EFDFD">
                  <w:pPr>
                    <w:pStyle w:val="32"/>
                    <w:bidi w:val="0"/>
                    <w:rPr>
                      <w:rFonts w:hint="default"/>
                      <w:b/>
                      <w:bCs/>
                    </w:rPr>
                  </w:pPr>
                  <w:r>
                    <w:rPr>
                      <w:rFonts w:hint="default"/>
                      <w:b/>
                      <w:bCs/>
                    </w:rPr>
                    <w:t>设备名称</w:t>
                  </w:r>
                </w:p>
              </w:tc>
              <w:tc>
                <w:tcPr>
                  <w:tcW w:w="949" w:type="pct"/>
                  <w:noWrap w:val="0"/>
                  <w:vAlign w:val="center"/>
                </w:tcPr>
                <w:p w14:paraId="43E2DC29">
                  <w:pPr>
                    <w:pStyle w:val="32"/>
                    <w:bidi w:val="0"/>
                    <w:rPr>
                      <w:rFonts w:hint="default"/>
                      <w:b/>
                      <w:bCs/>
                    </w:rPr>
                  </w:pPr>
                  <w:r>
                    <w:rPr>
                      <w:rFonts w:hint="default"/>
                      <w:b/>
                      <w:bCs/>
                    </w:rPr>
                    <w:t>规格/型号</w:t>
                  </w:r>
                </w:p>
              </w:tc>
              <w:tc>
                <w:tcPr>
                  <w:tcW w:w="921" w:type="pct"/>
                  <w:noWrap w:val="0"/>
                  <w:vAlign w:val="center"/>
                </w:tcPr>
                <w:p w14:paraId="517AE330">
                  <w:pPr>
                    <w:pStyle w:val="32"/>
                    <w:bidi w:val="0"/>
                    <w:rPr>
                      <w:rFonts w:hint="default"/>
                      <w:b/>
                      <w:bCs/>
                    </w:rPr>
                  </w:pPr>
                  <w:r>
                    <w:rPr>
                      <w:rFonts w:hint="default"/>
                      <w:b/>
                      <w:bCs/>
                    </w:rPr>
                    <w:t>单位</w:t>
                  </w:r>
                </w:p>
              </w:tc>
              <w:tc>
                <w:tcPr>
                  <w:tcW w:w="781" w:type="pct"/>
                  <w:noWrap w:val="0"/>
                  <w:vAlign w:val="center"/>
                </w:tcPr>
                <w:p w14:paraId="12901E87">
                  <w:pPr>
                    <w:pStyle w:val="32"/>
                    <w:bidi w:val="0"/>
                    <w:rPr>
                      <w:rFonts w:hint="default"/>
                      <w:b/>
                      <w:bCs/>
                    </w:rPr>
                  </w:pPr>
                  <w:r>
                    <w:rPr>
                      <w:rFonts w:hint="default"/>
                      <w:b/>
                      <w:bCs/>
                    </w:rPr>
                    <w:t>数量</w:t>
                  </w:r>
                </w:p>
              </w:tc>
              <w:tc>
                <w:tcPr>
                  <w:tcW w:w="798" w:type="pct"/>
                  <w:noWrap w:val="0"/>
                  <w:vAlign w:val="center"/>
                </w:tcPr>
                <w:p w14:paraId="73338F11">
                  <w:pPr>
                    <w:pStyle w:val="32"/>
                    <w:bidi w:val="0"/>
                    <w:rPr>
                      <w:rFonts w:hint="default"/>
                      <w:b/>
                      <w:bCs/>
                    </w:rPr>
                  </w:pPr>
                  <w:r>
                    <w:rPr>
                      <w:rFonts w:hint="default"/>
                      <w:b/>
                      <w:bCs/>
                    </w:rPr>
                    <w:t>备注</w:t>
                  </w:r>
                </w:p>
              </w:tc>
            </w:tr>
            <w:tr w14:paraId="0ABB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280A1FDF">
                  <w:pPr>
                    <w:pStyle w:val="32"/>
                    <w:bidi w:val="0"/>
                    <w:rPr>
                      <w:rFonts w:hint="eastAsia" w:eastAsia="宋体"/>
                      <w:lang w:val="en-US" w:eastAsia="zh-CN"/>
                    </w:rPr>
                  </w:pPr>
                  <w:r>
                    <w:rPr>
                      <w:rFonts w:hint="eastAsia"/>
                      <w:lang w:val="en-US" w:eastAsia="zh-CN"/>
                    </w:rPr>
                    <w:t>1</w:t>
                  </w:r>
                </w:p>
              </w:tc>
              <w:tc>
                <w:tcPr>
                  <w:tcW w:w="1213" w:type="pct"/>
                  <w:shd w:val="clear" w:color="auto" w:fill="auto"/>
                  <w:noWrap w:val="0"/>
                  <w:vAlign w:val="top"/>
                </w:tcPr>
                <w:p w14:paraId="19E5F237">
                  <w:pPr>
                    <w:pStyle w:val="32"/>
                    <w:bidi w:val="0"/>
                    <w:rPr>
                      <w:rFonts w:hint="default"/>
                      <w:lang w:val="en-US" w:eastAsia="zh-CN"/>
                    </w:rPr>
                  </w:pPr>
                  <w:r>
                    <w:rPr>
                      <w:rFonts w:hint="default"/>
                      <w:lang w:val="en-US" w:eastAsia="zh-CN"/>
                    </w:rPr>
                    <w:t>五分类血液分析仪</w:t>
                  </w:r>
                </w:p>
              </w:tc>
              <w:tc>
                <w:tcPr>
                  <w:tcW w:w="949" w:type="pct"/>
                  <w:noWrap w:val="0"/>
                  <w:vAlign w:val="center"/>
                </w:tcPr>
                <w:p w14:paraId="7C626DBE">
                  <w:pPr>
                    <w:pStyle w:val="32"/>
                    <w:bidi w:val="0"/>
                    <w:rPr>
                      <w:rFonts w:hint="default" w:eastAsia="宋体"/>
                      <w:lang w:val="en-US" w:eastAsia="zh-CN"/>
                    </w:rPr>
                  </w:pPr>
                  <w:r>
                    <w:rPr>
                      <w:rFonts w:hint="eastAsia"/>
                      <w:lang w:val="en-US" w:eastAsia="zh-CN"/>
                    </w:rPr>
                    <w:t>BC-5000</w:t>
                  </w:r>
                </w:p>
              </w:tc>
              <w:tc>
                <w:tcPr>
                  <w:tcW w:w="921" w:type="pct"/>
                  <w:noWrap w:val="0"/>
                  <w:vAlign w:val="center"/>
                </w:tcPr>
                <w:p w14:paraId="690FCC20">
                  <w:pPr>
                    <w:pStyle w:val="32"/>
                    <w:bidi w:val="0"/>
                    <w:rPr>
                      <w:rFonts w:hint="default" w:eastAsia="宋体"/>
                      <w:lang w:val="en-US" w:eastAsia="zh-CN"/>
                    </w:rPr>
                  </w:pPr>
                  <w:r>
                    <w:rPr>
                      <w:rFonts w:hint="eastAsia"/>
                      <w:lang w:val="en-US" w:eastAsia="zh-CN"/>
                    </w:rPr>
                    <w:t>台</w:t>
                  </w:r>
                </w:p>
              </w:tc>
              <w:tc>
                <w:tcPr>
                  <w:tcW w:w="781" w:type="pct"/>
                  <w:noWrap w:val="0"/>
                  <w:vAlign w:val="center"/>
                </w:tcPr>
                <w:p w14:paraId="6AB7035E">
                  <w:pPr>
                    <w:pStyle w:val="32"/>
                    <w:bidi w:val="0"/>
                    <w:rPr>
                      <w:rFonts w:hint="eastAsia" w:eastAsia="宋体"/>
                      <w:lang w:val="en-US" w:eastAsia="zh-CN"/>
                    </w:rPr>
                  </w:pPr>
                  <w:r>
                    <w:rPr>
                      <w:rFonts w:hint="eastAsia"/>
                      <w:lang w:val="en-US" w:eastAsia="zh-CN"/>
                    </w:rPr>
                    <w:t>1</w:t>
                  </w:r>
                </w:p>
              </w:tc>
              <w:tc>
                <w:tcPr>
                  <w:tcW w:w="798" w:type="pct"/>
                  <w:noWrap w:val="0"/>
                  <w:vAlign w:val="center"/>
                </w:tcPr>
                <w:p w14:paraId="57BB9674">
                  <w:pPr>
                    <w:pStyle w:val="32"/>
                    <w:bidi w:val="0"/>
                    <w:rPr>
                      <w:rFonts w:hint="default"/>
                    </w:rPr>
                  </w:pPr>
                </w:p>
              </w:tc>
            </w:tr>
            <w:tr w14:paraId="1A1A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05E54F97">
                  <w:pPr>
                    <w:pStyle w:val="32"/>
                    <w:bidi w:val="0"/>
                    <w:rPr>
                      <w:rFonts w:hint="eastAsia" w:eastAsia="宋体"/>
                      <w:lang w:val="en-US" w:eastAsia="zh-CN"/>
                    </w:rPr>
                  </w:pPr>
                  <w:r>
                    <w:rPr>
                      <w:rFonts w:hint="eastAsia"/>
                      <w:lang w:val="en-US" w:eastAsia="zh-CN"/>
                    </w:rPr>
                    <w:t>2</w:t>
                  </w:r>
                </w:p>
              </w:tc>
              <w:tc>
                <w:tcPr>
                  <w:tcW w:w="1213" w:type="pct"/>
                  <w:shd w:val="clear" w:color="auto" w:fill="auto"/>
                  <w:noWrap w:val="0"/>
                  <w:vAlign w:val="top"/>
                </w:tcPr>
                <w:p w14:paraId="537126FC">
                  <w:pPr>
                    <w:pStyle w:val="32"/>
                    <w:bidi w:val="0"/>
                    <w:rPr>
                      <w:rFonts w:hint="default"/>
                      <w:lang w:val="en-US" w:eastAsia="zh-CN"/>
                    </w:rPr>
                  </w:pPr>
                  <w:r>
                    <w:rPr>
                      <w:rFonts w:hint="default"/>
                      <w:lang w:val="en-US" w:eastAsia="zh-CN"/>
                    </w:rPr>
                    <w:t>全自动生化仪</w:t>
                  </w:r>
                </w:p>
              </w:tc>
              <w:tc>
                <w:tcPr>
                  <w:tcW w:w="949" w:type="pct"/>
                  <w:noWrap w:val="0"/>
                  <w:vAlign w:val="center"/>
                </w:tcPr>
                <w:p w14:paraId="2BD6D644">
                  <w:pPr>
                    <w:pStyle w:val="32"/>
                    <w:bidi w:val="0"/>
                    <w:rPr>
                      <w:rFonts w:hint="default" w:eastAsia="宋体"/>
                      <w:lang w:val="en-US" w:eastAsia="zh-CN"/>
                    </w:rPr>
                  </w:pPr>
                  <w:r>
                    <w:rPr>
                      <w:rFonts w:hint="eastAsia"/>
                      <w:lang w:val="en-US" w:eastAsia="zh-CN"/>
                    </w:rPr>
                    <w:t>PUS-2018G</w:t>
                  </w:r>
                </w:p>
              </w:tc>
              <w:tc>
                <w:tcPr>
                  <w:tcW w:w="921" w:type="pct"/>
                  <w:noWrap w:val="0"/>
                  <w:vAlign w:val="center"/>
                </w:tcPr>
                <w:p w14:paraId="74CA7A9C">
                  <w:pPr>
                    <w:pStyle w:val="32"/>
                    <w:bidi w:val="0"/>
                    <w:ind w:firstLine="0" w:firstLineChars="0"/>
                    <w:rPr>
                      <w:rFonts w:hint="default"/>
                    </w:rPr>
                  </w:pPr>
                  <w:r>
                    <w:rPr>
                      <w:rFonts w:hint="eastAsia"/>
                      <w:lang w:val="en-US" w:eastAsia="zh-CN"/>
                    </w:rPr>
                    <w:t>台</w:t>
                  </w:r>
                </w:p>
              </w:tc>
              <w:tc>
                <w:tcPr>
                  <w:tcW w:w="781" w:type="pct"/>
                  <w:noWrap w:val="0"/>
                  <w:vAlign w:val="center"/>
                </w:tcPr>
                <w:p w14:paraId="0965EE49">
                  <w:pPr>
                    <w:pStyle w:val="32"/>
                    <w:bidi w:val="0"/>
                    <w:ind w:firstLine="0" w:firstLineChars="0"/>
                    <w:rPr>
                      <w:rFonts w:hint="default"/>
                    </w:rPr>
                  </w:pPr>
                  <w:r>
                    <w:rPr>
                      <w:rFonts w:hint="eastAsia"/>
                      <w:lang w:val="en-US" w:eastAsia="zh-CN"/>
                    </w:rPr>
                    <w:t>1</w:t>
                  </w:r>
                </w:p>
              </w:tc>
              <w:tc>
                <w:tcPr>
                  <w:tcW w:w="798" w:type="pct"/>
                  <w:noWrap w:val="0"/>
                  <w:vAlign w:val="center"/>
                </w:tcPr>
                <w:p w14:paraId="119BFE61">
                  <w:pPr>
                    <w:pStyle w:val="32"/>
                    <w:bidi w:val="0"/>
                    <w:rPr>
                      <w:rFonts w:hint="default"/>
                    </w:rPr>
                  </w:pPr>
                </w:p>
              </w:tc>
            </w:tr>
            <w:tr w14:paraId="18CC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4618163F">
                  <w:pPr>
                    <w:pStyle w:val="32"/>
                    <w:bidi w:val="0"/>
                    <w:rPr>
                      <w:rFonts w:hint="eastAsia" w:eastAsia="宋体"/>
                      <w:lang w:val="en-US" w:eastAsia="zh-CN"/>
                    </w:rPr>
                  </w:pPr>
                  <w:r>
                    <w:rPr>
                      <w:rFonts w:hint="eastAsia"/>
                      <w:lang w:val="en-US" w:eastAsia="zh-CN"/>
                    </w:rPr>
                    <w:t>3</w:t>
                  </w:r>
                </w:p>
              </w:tc>
              <w:tc>
                <w:tcPr>
                  <w:tcW w:w="1213" w:type="pct"/>
                  <w:shd w:val="clear" w:color="auto" w:fill="auto"/>
                  <w:noWrap w:val="0"/>
                  <w:vAlign w:val="top"/>
                </w:tcPr>
                <w:p w14:paraId="05F6320C">
                  <w:pPr>
                    <w:pStyle w:val="32"/>
                    <w:bidi w:val="0"/>
                    <w:rPr>
                      <w:rFonts w:hint="default"/>
                      <w:lang w:val="en-US" w:eastAsia="zh-CN"/>
                    </w:rPr>
                  </w:pPr>
                  <w:r>
                    <w:rPr>
                      <w:rFonts w:hint="default"/>
                      <w:lang w:val="en-US" w:eastAsia="zh-CN"/>
                    </w:rPr>
                    <w:t>电解质分析仪</w:t>
                  </w:r>
                </w:p>
              </w:tc>
              <w:tc>
                <w:tcPr>
                  <w:tcW w:w="949" w:type="pct"/>
                  <w:noWrap w:val="0"/>
                  <w:vAlign w:val="center"/>
                </w:tcPr>
                <w:p w14:paraId="263C261C">
                  <w:pPr>
                    <w:pStyle w:val="32"/>
                    <w:bidi w:val="0"/>
                    <w:rPr>
                      <w:rFonts w:hint="default" w:eastAsia="宋体"/>
                      <w:lang w:val="en-US" w:eastAsia="zh-CN"/>
                    </w:rPr>
                  </w:pPr>
                  <w:r>
                    <w:rPr>
                      <w:rFonts w:hint="eastAsia"/>
                      <w:lang w:val="en-US" w:eastAsia="zh-CN"/>
                    </w:rPr>
                    <w:t>AC9000</w:t>
                  </w:r>
                </w:p>
              </w:tc>
              <w:tc>
                <w:tcPr>
                  <w:tcW w:w="921" w:type="pct"/>
                  <w:noWrap w:val="0"/>
                  <w:vAlign w:val="center"/>
                </w:tcPr>
                <w:p w14:paraId="50165583">
                  <w:pPr>
                    <w:pStyle w:val="32"/>
                    <w:bidi w:val="0"/>
                    <w:ind w:firstLine="0" w:firstLineChars="0"/>
                    <w:rPr>
                      <w:rFonts w:hint="default"/>
                    </w:rPr>
                  </w:pPr>
                  <w:r>
                    <w:rPr>
                      <w:rFonts w:hint="eastAsia"/>
                      <w:lang w:val="en-US" w:eastAsia="zh-CN"/>
                    </w:rPr>
                    <w:t>台</w:t>
                  </w:r>
                </w:p>
              </w:tc>
              <w:tc>
                <w:tcPr>
                  <w:tcW w:w="781" w:type="pct"/>
                  <w:noWrap w:val="0"/>
                  <w:vAlign w:val="center"/>
                </w:tcPr>
                <w:p w14:paraId="092126F4">
                  <w:pPr>
                    <w:pStyle w:val="32"/>
                    <w:bidi w:val="0"/>
                    <w:ind w:firstLine="0" w:firstLineChars="0"/>
                    <w:rPr>
                      <w:rFonts w:hint="default"/>
                    </w:rPr>
                  </w:pPr>
                  <w:r>
                    <w:rPr>
                      <w:rFonts w:hint="eastAsia"/>
                      <w:lang w:val="en-US" w:eastAsia="zh-CN"/>
                    </w:rPr>
                    <w:t>1</w:t>
                  </w:r>
                </w:p>
              </w:tc>
              <w:tc>
                <w:tcPr>
                  <w:tcW w:w="798" w:type="pct"/>
                  <w:noWrap w:val="0"/>
                  <w:vAlign w:val="center"/>
                </w:tcPr>
                <w:p w14:paraId="18617F9B">
                  <w:pPr>
                    <w:pStyle w:val="32"/>
                    <w:bidi w:val="0"/>
                    <w:rPr>
                      <w:rFonts w:hint="default"/>
                    </w:rPr>
                  </w:pPr>
                </w:p>
              </w:tc>
            </w:tr>
            <w:tr w14:paraId="6DE0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7041B8E2">
                  <w:pPr>
                    <w:pStyle w:val="32"/>
                    <w:bidi w:val="0"/>
                    <w:rPr>
                      <w:rFonts w:hint="eastAsia" w:eastAsia="宋体"/>
                      <w:lang w:val="en-US" w:eastAsia="zh-CN"/>
                    </w:rPr>
                  </w:pPr>
                  <w:r>
                    <w:rPr>
                      <w:rFonts w:hint="eastAsia"/>
                      <w:lang w:val="en-US" w:eastAsia="zh-CN"/>
                    </w:rPr>
                    <w:t>4</w:t>
                  </w:r>
                </w:p>
              </w:tc>
              <w:tc>
                <w:tcPr>
                  <w:tcW w:w="1213" w:type="pct"/>
                  <w:shd w:val="clear" w:color="auto" w:fill="auto"/>
                  <w:noWrap w:val="0"/>
                  <w:vAlign w:val="top"/>
                </w:tcPr>
                <w:p w14:paraId="653408D5">
                  <w:pPr>
                    <w:pStyle w:val="32"/>
                    <w:bidi w:val="0"/>
                    <w:rPr>
                      <w:rFonts w:hint="default"/>
                      <w:lang w:val="en-US" w:eastAsia="zh-CN"/>
                    </w:rPr>
                  </w:pPr>
                  <w:r>
                    <w:rPr>
                      <w:rFonts w:hint="default"/>
                      <w:lang w:val="en-US" w:eastAsia="zh-CN"/>
                    </w:rPr>
                    <w:t>尿液分析仪</w:t>
                  </w:r>
                </w:p>
              </w:tc>
              <w:tc>
                <w:tcPr>
                  <w:tcW w:w="949" w:type="pct"/>
                  <w:noWrap w:val="0"/>
                  <w:vAlign w:val="center"/>
                </w:tcPr>
                <w:p w14:paraId="7789AFA9">
                  <w:pPr>
                    <w:pStyle w:val="32"/>
                    <w:bidi w:val="0"/>
                    <w:rPr>
                      <w:rFonts w:hint="default" w:eastAsia="宋体"/>
                      <w:lang w:val="en-US" w:eastAsia="zh-CN"/>
                    </w:rPr>
                  </w:pPr>
                  <w:r>
                    <w:rPr>
                      <w:rFonts w:hint="eastAsia"/>
                      <w:lang w:val="en-US" w:eastAsia="zh-CN"/>
                    </w:rPr>
                    <w:t>OPM-1560</w:t>
                  </w:r>
                </w:p>
              </w:tc>
              <w:tc>
                <w:tcPr>
                  <w:tcW w:w="921" w:type="pct"/>
                  <w:noWrap w:val="0"/>
                  <w:vAlign w:val="center"/>
                </w:tcPr>
                <w:p w14:paraId="39D3344B">
                  <w:pPr>
                    <w:pStyle w:val="32"/>
                    <w:bidi w:val="0"/>
                    <w:ind w:firstLine="0" w:firstLineChars="0"/>
                    <w:rPr>
                      <w:rFonts w:hint="default"/>
                    </w:rPr>
                  </w:pPr>
                  <w:r>
                    <w:rPr>
                      <w:rFonts w:hint="eastAsia"/>
                      <w:lang w:val="en-US" w:eastAsia="zh-CN"/>
                    </w:rPr>
                    <w:t>台</w:t>
                  </w:r>
                </w:p>
              </w:tc>
              <w:tc>
                <w:tcPr>
                  <w:tcW w:w="781" w:type="pct"/>
                  <w:noWrap w:val="0"/>
                  <w:vAlign w:val="center"/>
                </w:tcPr>
                <w:p w14:paraId="3611B576">
                  <w:pPr>
                    <w:pStyle w:val="32"/>
                    <w:bidi w:val="0"/>
                    <w:ind w:firstLine="0" w:firstLineChars="0"/>
                    <w:rPr>
                      <w:rFonts w:hint="default"/>
                    </w:rPr>
                  </w:pPr>
                  <w:r>
                    <w:rPr>
                      <w:rFonts w:hint="eastAsia"/>
                      <w:lang w:val="en-US" w:eastAsia="zh-CN"/>
                    </w:rPr>
                    <w:t>1</w:t>
                  </w:r>
                </w:p>
              </w:tc>
              <w:tc>
                <w:tcPr>
                  <w:tcW w:w="798" w:type="pct"/>
                  <w:noWrap w:val="0"/>
                  <w:vAlign w:val="center"/>
                </w:tcPr>
                <w:p w14:paraId="2C356691">
                  <w:pPr>
                    <w:pStyle w:val="32"/>
                    <w:bidi w:val="0"/>
                    <w:rPr>
                      <w:rFonts w:hint="default"/>
                    </w:rPr>
                  </w:pPr>
                </w:p>
              </w:tc>
            </w:tr>
            <w:tr w14:paraId="2428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026E99FF">
                  <w:pPr>
                    <w:pStyle w:val="32"/>
                    <w:bidi w:val="0"/>
                    <w:rPr>
                      <w:rFonts w:hint="eastAsia" w:eastAsia="宋体"/>
                      <w:lang w:val="en-US" w:eastAsia="zh-CN"/>
                    </w:rPr>
                  </w:pPr>
                  <w:r>
                    <w:rPr>
                      <w:rFonts w:hint="eastAsia"/>
                      <w:lang w:val="en-US" w:eastAsia="zh-CN"/>
                    </w:rPr>
                    <w:t>5</w:t>
                  </w:r>
                </w:p>
              </w:tc>
              <w:tc>
                <w:tcPr>
                  <w:tcW w:w="1213" w:type="pct"/>
                  <w:shd w:val="clear" w:color="auto" w:fill="auto"/>
                  <w:noWrap w:val="0"/>
                  <w:vAlign w:val="top"/>
                </w:tcPr>
                <w:p w14:paraId="3BDDAEB3">
                  <w:pPr>
                    <w:pStyle w:val="32"/>
                    <w:bidi w:val="0"/>
                    <w:rPr>
                      <w:rFonts w:hint="default"/>
                      <w:lang w:val="en-US" w:eastAsia="zh-CN"/>
                    </w:rPr>
                  </w:pPr>
                  <w:r>
                    <w:rPr>
                      <w:rFonts w:hint="default"/>
                      <w:lang w:val="en-US" w:eastAsia="zh-CN"/>
                    </w:rPr>
                    <w:t>B型超声</w:t>
                  </w:r>
                </w:p>
              </w:tc>
              <w:tc>
                <w:tcPr>
                  <w:tcW w:w="949" w:type="pct"/>
                  <w:noWrap w:val="0"/>
                  <w:vAlign w:val="center"/>
                </w:tcPr>
                <w:p w14:paraId="221A7A7A">
                  <w:pPr>
                    <w:pStyle w:val="32"/>
                    <w:bidi w:val="0"/>
                    <w:rPr>
                      <w:rFonts w:hint="default" w:eastAsia="宋体"/>
                      <w:lang w:val="en-US" w:eastAsia="zh-CN"/>
                    </w:rPr>
                  </w:pPr>
                  <w:r>
                    <w:rPr>
                      <w:rFonts w:hint="eastAsia"/>
                      <w:lang w:val="en-US" w:eastAsia="zh-CN"/>
                    </w:rPr>
                    <w:t>DW-T8</w:t>
                  </w:r>
                </w:p>
              </w:tc>
              <w:tc>
                <w:tcPr>
                  <w:tcW w:w="921" w:type="pct"/>
                  <w:noWrap w:val="0"/>
                  <w:vAlign w:val="center"/>
                </w:tcPr>
                <w:p w14:paraId="467160D8">
                  <w:pPr>
                    <w:pStyle w:val="32"/>
                    <w:bidi w:val="0"/>
                    <w:ind w:firstLine="0" w:firstLineChars="0"/>
                    <w:rPr>
                      <w:rFonts w:hint="default"/>
                    </w:rPr>
                  </w:pPr>
                  <w:r>
                    <w:rPr>
                      <w:rFonts w:hint="eastAsia"/>
                      <w:lang w:val="en-US" w:eastAsia="zh-CN"/>
                    </w:rPr>
                    <w:t>台</w:t>
                  </w:r>
                </w:p>
              </w:tc>
              <w:tc>
                <w:tcPr>
                  <w:tcW w:w="781" w:type="pct"/>
                  <w:noWrap w:val="0"/>
                  <w:vAlign w:val="center"/>
                </w:tcPr>
                <w:p w14:paraId="62F80171">
                  <w:pPr>
                    <w:pStyle w:val="32"/>
                    <w:bidi w:val="0"/>
                    <w:ind w:firstLine="0" w:firstLineChars="0"/>
                    <w:rPr>
                      <w:rFonts w:hint="default"/>
                    </w:rPr>
                  </w:pPr>
                  <w:r>
                    <w:rPr>
                      <w:rFonts w:hint="eastAsia"/>
                      <w:lang w:val="en-US" w:eastAsia="zh-CN"/>
                    </w:rPr>
                    <w:t>1</w:t>
                  </w:r>
                </w:p>
              </w:tc>
              <w:tc>
                <w:tcPr>
                  <w:tcW w:w="798" w:type="pct"/>
                  <w:noWrap w:val="0"/>
                  <w:vAlign w:val="center"/>
                </w:tcPr>
                <w:p w14:paraId="13E5E574">
                  <w:pPr>
                    <w:pStyle w:val="32"/>
                    <w:bidi w:val="0"/>
                    <w:rPr>
                      <w:rFonts w:hint="default"/>
                    </w:rPr>
                  </w:pPr>
                </w:p>
              </w:tc>
            </w:tr>
            <w:tr w14:paraId="42AF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4B90BDD9">
                  <w:pPr>
                    <w:pStyle w:val="32"/>
                    <w:bidi w:val="0"/>
                    <w:rPr>
                      <w:rFonts w:hint="eastAsia" w:eastAsia="宋体"/>
                      <w:lang w:val="en-US" w:eastAsia="zh-CN"/>
                    </w:rPr>
                  </w:pPr>
                  <w:r>
                    <w:rPr>
                      <w:rFonts w:hint="eastAsia"/>
                      <w:lang w:val="en-US" w:eastAsia="zh-CN"/>
                    </w:rPr>
                    <w:t>6</w:t>
                  </w:r>
                </w:p>
              </w:tc>
              <w:tc>
                <w:tcPr>
                  <w:tcW w:w="1213" w:type="pct"/>
                  <w:shd w:val="clear" w:color="auto" w:fill="auto"/>
                  <w:noWrap w:val="0"/>
                  <w:vAlign w:val="top"/>
                </w:tcPr>
                <w:p w14:paraId="3F4AF74D">
                  <w:pPr>
                    <w:pStyle w:val="32"/>
                    <w:bidi w:val="0"/>
                    <w:rPr>
                      <w:rFonts w:hint="default"/>
                      <w:lang w:val="en-US" w:eastAsia="zh-CN"/>
                    </w:rPr>
                  </w:pPr>
                  <w:r>
                    <w:rPr>
                      <w:rFonts w:hint="default"/>
                      <w:lang w:val="en-US" w:eastAsia="zh-CN"/>
                    </w:rPr>
                    <w:t>心电图机</w:t>
                  </w:r>
                </w:p>
              </w:tc>
              <w:tc>
                <w:tcPr>
                  <w:tcW w:w="949" w:type="pct"/>
                  <w:noWrap w:val="0"/>
                  <w:vAlign w:val="center"/>
                </w:tcPr>
                <w:p w14:paraId="460D65FC">
                  <w:pPr>
                    <w:pStyle w:val="32"/>
                    <w:bidi w:val="0"/>
                    <w:rPr>
                      <w:rFonts w:hint="default" w:eastAsia="宋体"/>
                      <w:lang w:val="en-US" w:eastAsia="zh-CN"/>
                    </w:rPr>
                  </w:pPr>
                  <w:r>
                    <w:rPr>
                      <w:rFonts w:hint="eastAsia"/>
                      <w:lang w:val="en-US" w:eastAsia="zh-CN"/>
                    </w:rPr>
                    <w:t>ME-06</w:t>
                  </w:r>
                </w:p>
              </w:tc>
              <w:tc>
                <w:tcPr>
                  <w:tcW w:w="921" w:type="pct"/>
                  <w:noWrap w:val="0"/>
                  <w:vAlign w:val="center"/>
                </w:tcPr>
                <w:p w14:paraId="45CAE908">
                  <w:pPr>
                    <w:pStyle w:val="32"/>
                    <w:bidi w:val="0"/>
                    <w:ind w:firstLine="0" w:firstLineChars="0"/>
                    <w:rPr>
                      <w:rFonts w:hint="default"/>
                    </w:rPr>
                  </w:pPr>
                  <w:r>
                    <w:rPr>
                      <w:rFonts w:hint="eastAsia"/>
                      <w:lang w:val="en-US" w:eastAsia="zh-CN"/>
                    </w:rPr>
                    <w:t>台</w:t>
                  </w:r>
                </w:p>
              </w:tc>
              <w:tc>
                <w:tcPr>
                  <w:tcW w:w="781" w:type="pct"/>
                  <w:noWrap w:val="0"/>
                  <w:vAlign w:val="center"/>
                </w:tcPr>
                <w:p w14:paraId="7DF97EDE">
                  <w:pPr>
                    <w:pStyle w:val="32"/>
                    <w:bidi w:val="0"/>
                    <w:ind w:firstLine="0" w:firstLineChars="0"/>
                    <w:rPr>
                      <w:rFonts w:hint="default"/>
                    </w:rPr>
                  </w:pPr>
                  <w:r>
                    <w:rPr>
                      <w:rFonts w:hint="eastAsia"/>
                      <w:lang w:val="en-US" w:eastAsia="zh-CN"/>
                    </w:rPr>
                    <w:t>1</w:t>
                  </w:r>
                </w:p>
              </w:tc>
              <w:tc>
                <w:tcPr>
                  <w:tcW w:w="798" w:type="pct"/>
                  <w:noWrap w:val="0"/>
                  <w:vAlign w:val="center"/>
                </w:tcPr>
                <w:p w14:paraId="550A0EAC">
                  <w:pPr>
                    <w:pStyle w:val="32"/>
                    <w:bidi w:val="0"/>
                    <w:rPr>
                      <w:rFonts w:hint="default"/>
                    </w:rPr>
                  </w:pPr>
                </w:p>
              </w:tc>
            </w:tr>
            <w:tr w14:paraId="77DF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447DBF97">
                  <w:pPr>
                    <w:pStyle w:val="32"/>
                    <w:bidi w:val="0"/>
                    <w:rPr>
                      <w:rFonts w:hint="eastAsia" w:eastAsia="宋体"/>
                      <w:lang w:val="en-US" w:eastAsia="zh-CN"/>
                    </w:rPr>
                  </w:pPr>
                  <w:r>
                    <w:rPr>
                      <w:rFonts w:hint="eastAsia"/>
                      <w:lang w:val="en-US" w:eastAsia="zh-CN"/>
                    </w:rPr>
                    <w:t>7</w:t>
                  </w:r>
                </w:p>
              </w:tc>
              <w:tc>
                <w:tcPr>
                  <w:tcW w:w="1213" w:type="pct"/>
                  <w:shd w:val="clear" w:color="auto" w:fill="auto"/>
                  <w:noWrap w:val="0"/>
                  <w:vAlign w:val="top"/>
                </w:tcPr>
                <w:p w14:paraId="365D2118">
                  <w:pPr>
                    <w:pStyle w:val="32"/>
                    <w:bidi w:val="0"/>
                    <w:rPr>
                      <w:rFonts w:hint="default"/>
                      <w:lang w:val="en-US" w:eastAsia="zh-CN"/>
                    </w:rPr>
                  </w:pPr>
                  <w:r>
                    <w:rPr>
                      <w:rFonts w:hint="default"/>
                      <w:lang w:val="en-US" w:eastAsia="zh-CN"/>
                    </w:rPr>
                    <w:t>生物反馈仪</w:t>
                  </w:r>
                </w:p>
              </w:tc>
              <w:tc>
                <w:tcPr>
                  <w:tcW w:w="949" w:type="pct"/>
                  <w:noWrap w:val="0"/>
                  <w:vAlign w:val="center"/>
                </w:tcPr>
                <w:p w14:paraId="1CA68E2C">
                  <w:pPr>
                    <w:pStyle w:val="32"/>
                    <w:bidi w:val="0"/>
                    <w:rPr>
                      <w:rFonts w:hint="eastAsia" w:eastAsia="宋体"/>
                      <w:lang w:val="en-US" w:eastAsia="zh-CN"/>
                    </w:rPr>
                  </w:pPr>
                  <w:r>
                    <w:rPr>
                      <w:rFonts w:hint="eastAsia"/>
                      <w:lang w:val="en-US" w:eastAsia="zh-CN"/>
                    </w:rPr>
                    <w:t>/</w:t>
                  </w:r>
                </w:p>
              </w:tc>
              <w:tc>
                <w:tcPr>
                  <w:tcW w:w="921" w:type="pct"/>
                  <w:noWrap w:val="0"/>
                  <w:vAlign w:val="center"/>
                </w:tcPr>
                <w:p w14:paraId="0F97E64A">
                  <w:pPr>
                    <w:pStyle w:val="32"/>
                    <w:bidi w:val="0"/>
                    <w:ind w:firstLine="0" w:firstLineChars="0"/>
                    <w:rPr>
                      <w:rFonts w:hint="default"/>
                    </w:rPr>
                  </w:pPr>
                  <w:r>
                    <w:rPr>
                      <w:rFonts w:hint="eastAsia"/>
                      <w:lang w:val="en-US" w:eastAsia="zh-CN"/>
                    </w:rPr>
                    <w:t>台</w:t>
                  </w:r>
                </w:p>
              </w:tc>
              <w:tc>
                <w:tcPr>
                  <w:tcW w:w="781" w:type="pct"/>
                  <w:noWrap w:val="0"/>
                  <w:vAlign w:val="center"/>
                </w:tcPr>
                <w:p w14:paraId="19933EF7">
                  <w:pPr>
                    <w:pStyle w:val="32"/>
                    <w:bidi w:val="0"/>
                    <w:ind w:firstLine="0" w:firstLineChars="0"/>
                    <w:rPr>
                      <w:rFonts w:hint="default"/>
                    </w:rPr>
                  </w:pPr>
                  <w:r>
                    <w:rPr>
                      <w:rFonts w:hint="eastAsia"/>
                      <w:lang w:val="en-US" w:eastAsia="zh-CN"/>
                    </w:rPr>
                    <w:t>1</w:t>
                  </w:r>
                </w:p>
              </w:tc>
              <w:tc>
                <w:tcPr>
                  <w:tcW w:w="798" w:type="pct"/>
                  <w:noWrap w:val="0"/>
                  <w:vAlign w:val="center"/>
                </w:tcPr>
                <w:p w14:paraId="635D5439">
                  <w:pPr>
                    <w:pStyle w:val="32"/>
                    <w:bidi w:val="0"/>
                    <w:rPr>
                      <w:rFonts w:hint="default"/>
                    </w:rPr>
                  </w:pPr>
                </w:p>
              </w:tc>
            </w:tr>
            <w:tr w14:paraId="13B6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15C2FEDC">
                  <w:pPr>
                    <w:pStyle w:val="32"/>
                    <w:bidi w:val="0"/>
                    <w:rPr>
                      <w:rFonts w:hint="eastAsia" w:eastAsia="宋体"/>
                      <w:lang w:val="en-US" w:eastAsia="zh-CN"/>
                    </w:rPr>
                  </w:pPr>
                  <w:r>
                    <w:rPr>
                      <w:rFonts w:hint="eastAsia"/>
                      <w:lang w:val="en-US" w:eastAsia="zh-CN"/>
                    </w:rPr>
                    <w:t>8</w:t>
                  </w:r>
                </w:p>
              </w:tc>
              <w:tc>
                <w:tcPr>
                  <w:tcW w:w="1213" w:type="pct"/>
                  <w:shd w:val="clear" w:color="auto" w:fill="auto"/>
                  <w:noWrap w:val="0"/>
                  <w:vAlign w:val="top"/>
                </w:tcPr>
                <w:p w14:paraId="76A9B5BA">
                  <w:pPr>
                    <w:pStyle w:val="32"/>
                    <w:bidi w:val="0"/>
                    <w:rPr>
                      <w:rFonts w:hint="default"/>
                      <w:lang w:val="en-US" w:eastAsia="zh-CN"/>
                    </w:rPr>
                  </w:pPr>
                  <w:r>
                    <w:rPr>
                      <w:rFonts w:hint="default"/>
                      <w:lang w:val="en-US" w:eastAsia="zh-CN"/>
                    </w:rPr>
                    <w:t>脑电地型图仪</w:t>
                  </w:r>
                </w:p>
              </w:tc>
              <w:tc>
                <w:tcPr>
                  <w:tcW w:w="949" w:type="pct"/>
                  <w:noWrap w:val="0"/>
                  <w:vAlign w:val="center"/>
                </w:tcPr>
                <w:p w14:paraId="443595B9">
                  <w:pPr>
                    <w:pStyle w:val="32"/>
                    <w:bidi w:val="0"/>
                    <w:rPr>
                      <w:rFonts w:hint="default" w:eastAsia="宋体"/>
                      <w:lang w:val="en-US" w:eastAsia="zh-CN"/>
                    </w:rPr>
                  </w:pPr>
                  <w:r>
                    <w:rPr>
                      <w:rFonts w:hint="eastAsia"/>
                      <w:lang w:val="en-US" w:eastAsia="zh-CN"/>
                    </w:rPr>
                    <w:t>PN-NET</w:t>
                  </w:r>
                </w:p>
              </w:tc>
              <w:tc>
                <w:tcPr>
                  <w:tcW w:w="921" w:type="pct"/>
                  <w:noWrap w:val="0"/>
                  <w:vAlign w:val="center"/>
                </w:tcPr>
                <w:p w14:paraId="56E27040">
                  <w:pPr>
                    <w:pStyle w:val="32"/>
                    <w:bidi w:val="0"/>
                    <w:ind w:firstLine="0" w:firstLineChars="0"/>
                    <w:rPr>
                      <w:rFonts w:hint="default"/>
                    </w:rPr>
                  </w:pPr>
                  <w:r>
                    <w:rPr>
                      <w:rFonts w:hint="eastAsia"/>
                      <w:lang w:val="en-US" w:eastAsia="zh-CN"/>
                    </w:rPr>
                    <w:t>台</w:t>
                  </w:r>
                </w:p>
              </w:tc>
              <w:tc>
                <w:tcPr>
                  <w:tcW w:w="781" w:type="pct"/>
                  <w:noWrap w:val="0"/>
                  <w:vAlign w:val="center"/>
                </w:tcPr>
                <w:p w14:paraId="2B6A68CA">
                  <w:pPr>
                    <w:pStyle w:val="32"/>
                    <w:bidi w:val="0"/>
                    <w:ind w:firstLine="0" w:firstLineChars="0"/>
                    <w:rPr>
                      <w:rFonts w:hint="default"/>
                    </w:rPr>
                  </w:pPr>
                  <w:r>
                    <w:rPr>
                      <w:rFonts w:hint="eastAsia"/>
                      <w:lang w:val="en-US" w:eastAsia="zh-CN"/>
                    </w:rPr>
                    <w:t>1</w:t>
                  </w:r>
                </w:p>
              </w:tc>
              <w:tc>
                <w:tcPr>
                  <w:tcW w:w="798" w:type="pct"/>
                  <w:noWrap w:val="0"/>
                  <w:vAlign w:val="center"/>
                </w:tcPr>
                <w:p w14:paraId="45AD6F08">
                  <w:pPr>
                    <w:pStyle w:val="32"/>
                    <w:bidi w:val="0"/>
                    <w:rPr>
                      <w:rFonts w:hint="default"/>
                    </w:rPr>
                  </w:pPr>
                </w:p>
              </w:tc>
            </w:tr>
            <w:tr w14:paraId="641A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1BAF69A9">
                  <w:pPr>
                    <w:pStyle w:val="32"/>
                    <w:bidi w:val="0"/>
                    <w:rPr>
                      <w:rFonts w:hint="eastAsia" w:eastAsia="宋体"/>
                      <w:lang w:val="en-US" w:eastAsia="zh-CN"/>
                    </w:rPr>
                  </w:pPr>
                  <w:r>
                    <w:rPr>
                      <w:rFonts w:hint="eastAsia"/>
                      <w:lang w:val="en-US" w:eastAsia="zh-CN"/>
                    </w:rPr>
                    <w:t>9</w:t>
                  </w:r>
                </w:p>
              </w:tc>
              <w:tc>
                <w:tcPr>
                  <w:tcW w:w="1213" w:type="pct"/>
                  <w:shd w:val="clear" w:color="auto" w:fill="auto"/>
                  <w:noWrap w:val="0"/>
                  <w:vAlign w:val="top"/>
                </w:tcPr>
                <w:p w14:paraId="49928EB9">
                  <w:pPr>
                    <w:pStyle w:val="32"/>
                    <w:bidi w:val="0"/>
                    <w:rPr>
                      <w:rFonts w:hint="default"/>
                      <w:lang w:val="en-US" w:eastAsia="zh-CN"/>
                    </w:rPr>
                  </w:pPr>
                  <w:r>
                    <w:rPr>
                      <w:rFonts w:hint="eastAsia"/>
                      <w:lang w:val="en-US" w:eastAsia="zh-CN"/>
                    </w:rPr>
                    <w:t>污水处理站设备</w:t>
                  </w:r>
                </w:p>
              </w:tc>
              <w:tc>
                <w:tcPr>
                  <w:tcW w:w="949" w:type="pct"/>
                  <w:noWrap w:val="0"/>
                  <w:vAlign w:val="center"/>
                </w:tcPr>
                <w:p w14:paraId="7BB965FB">
                  <w:pPr>
                    <w:pStyle w:val="32"/>
                    <w:bidi w:val="0"/>
                    <w:rPr>
                      <w:rFonts w:hint="default" w:eastAsia="宋体"/>
                      <w:lang w:val="en-US" w:eastAsia="zh-CN"/>
                    </w:rPr>
                  </w:pPr>
                  <w:r>
                    <w:rPr>
                      <w:rFonts w:hint="eastAsia"/>
                      <w:lang w:val="en-US" w:eastAsia="zh-CN"/>
                    </w:rPr>
                    <w:t>/</w:t>
                  </w:r>
                </w:p>
              </w:tc>
              <w:tc>
                <w:tcPr>
                  <w:tcW w:w="921" w:type="pct"/>
                  <w:noWrap w:val="0"/>
                  <w:vAlign w:val="center"/>
                </w:tcPr>
                <w:p w14:paraId="0D6B69C3">
                  <w:pPr>
                    <w:pStyle w:val="32"/>
                    <w:bidi w:val="0"/>
                    <w:rPr>
                      <w:rFonts w:hint="eastAsia" w:eastAsia="宋体"/>
                      <w:lang w:val="en-US" w:eastAsia="zh-CN"/>
                    </w:rPr>
                  </w:pPr>
                  <w:r>
                    <w:rPr>
                      <w:rFonts w:hint="eastAsia"/>
                      <w:lang w:val="en-US" w:eastAsia="zh-CN"/>
                    </w:rPr>
                    <w:t>套</w:t>
                  </w:r>
                </w:p>
              </w:tc>
              <w:tc>
                <w:tcPr>
                  <w:tcW w:w="781" w:type="pct"/>
                  <w:noWrap w:val="0"/>
                  <w:vAlign w:val="center"/>
                </w:tcPr>
                <w:p w14:paraId="3E1091FD">
                  <w:pPr>
                    <w:pStyle w:val="32"/>
                    <w:bidi w:val="0"/>
                    <w:rPr>
                      <w:rFonts w:hint="eastAsia" w:eastAsia="宋体"/>
                      <w:lang w:val="en-US" w:eastAsia="zh-CN"/>
                    </w:rPr>
                  </w:pPr>
                  <w:r>
                    <w:rPr>
                      <w:rFonts w:hint="eastAsia"/>
                      <w:lang w:val="en-US" w:eastAsia="zh-CN"/>
                    </w:rPr>
                    <w:t>1</w:t>
                  </w:r>
                </w:p>
              </w:tc>
              <w:tc>
                <w:tcPr>
                  <w:tcW w:w="798" w:type="pct"/>
                  <w:noWrap w:val="0"/>
                  <w:vAlign w:val="center"/>
                </w:tcPr>
                <w:p w14:paraId="799D8380">
                  <w:pPr>
                    <w:pStyle w:val="32"/>
                    <w:bidi w:val="0"/>
                    <w:rPr>
                      <w:rFonts w:hint="default"/>
                    </w:rPr>
                  </w:pPr>
                </w:p>
              </w:tc>
            </w:tr>
            <w:tr w14:paraId="6AC3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6018C464">
                  <w:pPr>
                    <w:pStyle w:val="32"/>
                    <w:bidi w:val="0"/>
                    <w:rPr>
                      <w:rFonts w:hint="default" w:eastAsia="宋体"/>
                      <w:lang w:val="en-US" w:eastAsia="zh-CN"/>
                    </w:rPr>
                  </w:pPr>
                  <w:r>
                    <w:rPr>
                      <w:rFonts w:hint="eastAsia"/>
                      <w:lang w:val="en-US" w:eastAsia="zh-CN"/>
                    </w:rPr>
                    <w:t>10</w:t>
                  </w:r>
                </w:p>
              </w:tc>
              <w:tc>
                <w:tcPr>
                  <w:tcW w:w="1213" w:type="pct"/>
                  <w:shd w:val="clear" w:color="auto" w:fill="auto"/>
                  <w:noWrap w:val="0"/>
                  <w:vAlign w:val="top"/>
                </w:tcPr>
                <w:p w14:paraId="3359B25D">
                  <w:pPr>
                    <w:pStyle w:val="32"/>
                    <w:bidi w:val="0"/>
                    <w:rPr>
                      <w:rFonts w:hint="default"/>
                      <w:lang w:val="en-US" w:eastAsia="zh-CN"/>
                    </w:rPr>
                  </w:pPr>
                  <w:r>
                    <w:rPr>
                      <w:rFonts w:hint="eastAsia"/>
                      <w:lang w:val="en-US" w:eastAsia="zh-CN"/>
                    </w:rPr>
                    <w:t>在线监测系统</w:t>
                  </w:r>
                </w:p>
              </w:tc>
              <w:tc>
                <w:tcPr>
                  <w:tcW w:w="949" w:type="pct"/>
                  <w:noWrap w:val="0"/>
                  <w:vAlign w:val="center"/>
                </w:tcPr>
                <w:p w14:paraId="6B6CB8B9">
                  <w:pPr>
                    <w:pStyle w:val="32"/>
                    <w:bidi w:val="0"/>
                    <w:rPr>
                      <w:rFonts w:hint="eastAsia" w:eastAsia="宋体"/>
                      <w:lang w:val="en-US" w:eastAsia="zh-CN"/>
                    </w:rPr>
                  </w:pPr>
                  <w:r>
                    <w:rPr>
                      <w:rFonts w:hint="eastAsia"/>
                      <w:lang w:val="en-US" w:eastAsia="zh-CN"/>
                    </w:rPr>
                    <w:t>/</w:t>
                  </w:r>
                </w:p>
              </w:tc>
              <w:tc>
                <w:tcPr>
                  <w:tcW w:w="921" w:type="pct"/>
                  <w:noWrap w:val="0"/>
                  <w:vAlign w:val="center"/>
                </w:tcPr>
                <w:p w14:paraId="3A6086AE">
                  <w:pPr>
                    <w:pStyle w:val="32"/>
                    <w:bidi w:val="0"/>
                    <w:rPr>
                      <w:rFonts w:hint="eastAsia" w:eastAsia="宋体"/>
                      <w:lang w:val="en-US" w:eastAsia="zh-CN"/>
                    </w:rPr>
                  </w:pPr>
                  <w:r>
                    <w:rPr>
                      <w:rFonts w:hint="eastAsia"/>
                      <w:lang w:val="en-US" w:eastAsia="zh-CN"/>
                    </w:rPr>
                    <w:t>台</w:t>
                  </w:r>
                </w:p>
              </w:tc>
              <w:tc>
                <w:tcPr>
                  <w:tcW w:w="781" w:type="pct"/>
                  <w:noWrap w:val="0"/>
                  <w:vAlign w:val="center"/>
                </w:tcPr>
                <w:p w14:paraId="3F966091">
                  <w:pPr>
                    <w:pStyle w:val="32"/>
                    <w:bidi w:val="0"/>
                    <w:rPr>
                      <w:rFonts w:hint="eastAsia" w:eastAsia="宋体"/>
                      <w:lang w:val="en-US" w:eastAsia="zh-CN"/>
                    </w:rPr>
                  </w:pPr>
                  <w:r>
                    <w:rPr>
                      <w:rFonts w:hint="eastAsia"/>
                      <w:lang w:val="en-US" w:eastAsia="zh-CN"/>
                    </w:rPr>
                    <w:t>1</w:t>
                  </w:r>
                </w:p>
              </w:tc>
              <w:tc>
                <w:tcPr>
                  <w:tcW w:w="798" w:type="pct"/>
                  <w:noWrap w:val="0"/>
                  <w:vAlign w:val="center"/>
                </w:tcPr>
                <w:p w14:paraId="670CB488">
                  <w:pPr>
                    <w:pStyle w:val="32"/>
                    <w:bidi w:val="0"/>
                    <w:rPr>
                      <w:rFonts w:hint="default"/>
                    </w:rPr>
                  </w:pPr>
                </w:p>
              </w:tc>
            </w:tr>
            <w:tr w14:paraId="1320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6C8822FE">
                  <w:pPr>
                    <w:pStyle w:val="32"/>
                    <w:bidi w:val="0"/>
                    <w:rPr>
                      <w:rFonts w:hint="default"/>
                      <w:lang w:val="en-US" w:eastAsia="zh-CN"/>
                    </w:rPr>
                  </w:pPr>
                  <w:r>
                    <w:rPr>
                      <w:rFonts w:hint="eastAsia"/>
                      <w:lang w:val="en-US" w:eastAsia="zh-CN"/>
                    </w:rPr>
                    <w:t>11</w:t>
                  </w:r>
                </w:p>
              </w:tc>
              <w:tc>
                <w:tcPr>
                  <w:tcW w:w="1213" w:type="pct"/>
                  <w:shd w:val="clear" w:color="auto" w:fill="auto"/>
                  <w:noWrap w:val="0"/>
                  <w:vAlign w:val="top"/>
                </w:tcPr>
                <w:p w14:paraId="39CCACC3">
                  <w:pPr>
                    <w:pStyle w:val="32"/>
                    <w:bidi w:val="0"/>
                    <w:rPr>
                      <w:rFonts w:hint="default"/>
                      <w:lang w:val="en-US" w:eastAsia="zh-CN"/>
                    </w:rPr>
                  </w:pPr>
                  <w:r>
                    <w:rPr>
                      <w:rFonts w:hint="eastAsia"/>
                      <w:lang w:val="en-US" w:eastAsia="zh-CN"/>
                    </w:rPr>
                    <w:t>二级活性炭设备</w:t>
                  </w:r>
                </w:p>
              </w:tc>
              <w:tc>
                <w:tcPr>
                  <w:tcW w:w="949" w:type="pct"/>
                  <w:noWrap w:val="0"/>
                  <w:vAlign w:val="center"/>
                </w:tcPr>
                <w:p w14:paraId="1D82F00C">
                  <w:pPr>
                    <w:pStyle w:val="32"/>
                    <w:bidi w:val="0"/>
                    <w:rPr>
                      <w:rFonts w:hint="eastAsia" w:eastAsia="宋体"/>
                      <w:lang w:val="en-US" w:eastAsia="zh-CN"/>
                    </w:rPr>
                  </w:pPr>
                  <w:r>
                    <w:rPr>
                      <w:rFonts w:hint="eastAsia"/>
                      <w:lang w:val="en-US" w:eastAsia="zh-CN"/>
                    </w:rPr>
                    <w:t>/</w:t>
                  </w:r>
                </w:p>
              </w:tc>
              <w:tc>
                <w:tcPr>
                  <w:tcW w:w="921" w:type="pct"/>
                  <w:noWrap w:val="0"/>
                  <w:vAlign w:val="center"/>
                </w:tcPr>
                <w:p w14:paraId="774F3EA7">
                  <w:pPr>
                    <w:pStyle w:val="32"/>
                    <w:bidi w:val="0"/>
                    <w:rPr>
                      <w:rFonts w:hint="eastAsia" w:eastAsia="宋体"/>
                      <w:lang w:val="en-US" w:eastAsia="zh-CN"/>
                    </w:rPr>
                  </w:pPr>
                  <w:r>
                    <w:rPr>
                      <w:rFonts w:hint="eastAsia"/>
                      <w:lang w:val="en-US" w:eastAsia="zh-CN"/>
                    </w:rPr>
                    <w:t>套</w:t>
                  </w:r>
                </w:p>
              </w:tc>
              <w:tc>
                <w:tcPr>
                  <w:tcW w:w="781" w:type="pct"/>
                  <w:noWrap w:val="0"/>
                  <w:vAlign w:val="center"/>
                </w:tcPr>
                <w:p w14:paraId="27F89EB6">
                  <w:pPr>
                    <w:pStyle w:val="32"/>
                    <w:bidi w:val="0"/>
                    <w:rPr>
                      <w:rFonts w:hint="eastAsia" w:eastAsia="宋体"/>
                      <w:lang w:val="en-US" w:eastAsia="zh-CN"/>
                    </w:rPr>
                  </w:pPr>
                  <w:r>
                    <w:rPr>
                      <w:rFonts w:hint="eastAsia"/>
                      <w:lang w:val="en-US" w:eastAsia="zh-CN"/>
                    </w:rPr>
                    <w:t>1</w:t>
                  </w:r>
                </w:p>
              </w:tc>
              <w:tc>
                <w:tcPr>
                  <w:tcW w:w="798" w:type="pct"/>
                  <w:noWrap w:val="0"/>
                  <w:vAlign w:val="center"/>
                </w:tcPr>
                <w:p w14:paraId="372CC25D">
                  <w:pPr>
                    <w:pStyle w:val="32"/>
                    <w:bidi w:val="0"/>
                    <w:rPr>
                      <w:rFonts w:hint="default"/>
                    </w:rPr>
                  </w:pPr>
                </w:p>
              </w:tc>
            </w:tr>
            <w:tr w14:paraId="4BDC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335" w:type="pct"/>
                  <w:noWrap w:val="0"/>
                  <w:vAlign w:val="center"/>
                </w:tcPr>
                <w:p w14:paraId="10ED15CB">
                  <w:pPr>
                    <w:pStyle w:val="32"/>
                    <w:bidi w:val="0"/>
                    <w:rPr>
                      <w:rFonts w:hint="default"/>
                      <w:lang w:val="en-US" w:eastAsia="zh-CN"/>
                    </w:rPr>
                  </w:pPr>
                  <w:r>
                    <w:rPr>
                      <w:rFonts w:hint="eastAsia"/>
                      <w:lang w:val="en-US" w:eastAsia="zh-CN"/>
                    </w:rPr>
                    <w:t>12</w:t>
                  </w:r>
                </w:p>
              </w:tc>
              <w:tc>
                <w:tcPr>
                  <w:tcW w:w="1213" w:type="pct"/>
                  <w:shd w:val="clear" w:color="auto" w:fill="auto"/>
                  <w:noWrap w:val="0"/>
                  <w:vAlign w:val="top"/>
                </w:tcPr>
                <w:p w14:paraId="645AF6E4">
                  <w:pPr>
                    <w:pStyle w:val="32"/>
                    <w:bidi w:val="0"/>
                    <w:rPr>
                      <w:rFonts w:hint="default"/>
                      <w:lang w:val="en-US" w:eastAsia="zh-CN"/>
                    </w:rPr>
                  </w:pPr>
                  <w:r>
                    <w:rPr>
                      <w:rFonts w:hint="eastAsia"/>
                      <w:lang w:val="en-US" w:eastAsia="zh-CN"/>
                    </w:rPr>
                    <w:t>叠螺脱水机</w:t>
                  </w:r>
                </w:p>
              </w:tc>
              <w:tc>
                <w:tcPr>
                  <w:tcW w:w="949" w:type="pct"/>
                  <w:noWrap w:val="0"/>
                  <w:vAlign w:val="center"/>
                </w:tcPr>
                <w:p w14:paraId="7B3FE4E5">
                  <w:pPr>
                    <w:pStyle w:val="32"/>
                    <w:bidi w:val="0"/>
                    <w:rPr>
                      <w:rFonts w:hint="default"/>
                      <w:lang w:val="en-US" w:eastAsia="zh-CN"/>
                    </w:rPr>
                  </w:pPr>
                  <w:r>
                    <w:rPr>
                      <w:rFonts w:hint="eastAsia"/>
                      <w:lang w:val="en-US" w:eastAsia="zh-CN"/>
                    </w:rPr>
                    <w:t>/</w:t>
                  </w:r>
                </w:p>
              </w:tc>
              <w:tc>
                <w:tcPr>
                  <w:tcW w:w="921" w:type="pct"/>
                  <w:noWrap w:val="0"/>
                  <w:vAlign w:val="center"/>
                </w:tcPr>
                <w:p w14:paraId="6BC560EE">
                  <w:pPr>
                    <w:pStyle w:val="32"/>
                    <w:bidi w:val="0"/>
                    <w:rPr>
                      <w:rFonts w:hint="default"/>
                      <w:lang w:val="en-US" w:eastAsia="zh-CN"/>
                    </w:rPr>
                  </w:pPr>
                  <w:r>
                    <w:rPr>
                      <w:rFonts w:hint="eastAsia"/>
                      <w:lang w:val="en-US" w:eastAsia="zh-CN"/>
                    </w:rPr>
                    <w:t>台</w:t>
                  </w:r>
                </w:p>
              </w:tc>
              <w:tc>
                <w:tcPr>
                  <w:tcW w:w="781" w:type="pct"/>
                  <w:noWrap w:val="0"/>
                  <w:vAlign w:val="center"/>
                </w:tcPr>
                <w:p w14:paraId="045F3A3F">
                  <w:pPr>
                    <w:pStyle w:val="32"/>
                    <w:bidi w:val="0"/>
                    <w:rPr>
                      <w:rFonts w:hint="default"/>
                      <w:lang w:val="en-US" w:eastAsia="zh-CN"/>
                    </w:rPr>
                  </w:pPr>
                  <w:r>
                    <w:rPr>
                      <w:rFonts w:hint="eastAsia"/>
                      <w:lang w:val="en-US" w:eastAsia="zh-CN"/>
                    </w:rPr>
                    <w:t>1</w:t>
                  </w:r>
                </w:p>
              </w:tc>
              <w:tc>
                <w:tcPr>
                  <w:tcW w:w="798" w:type="pct"/>
                  <w:noWrap w:val="0"/>
                  <w:vAlign w:val="center"/>
                </w:tcPr>
                <w:p w14:paraId="3DD0D5CF">
                  <w:pPr>
                    <w:pStyle w:val="32"/>
                    <w:bidi w:val="0"/>
                    <w:rPr>
                      <w:rFonts w:hint="default"/>
                    </w:rPr>
                  </w:pPr>
                </w:p>
              </w:tc>
            </w:tr>
          </w:tbl>
          <w:p w14:paraId="43BF6A6F">
            <w:pPr>
              <w:bidi w:val="0"/>
              <w:rPr>
                <w:b/>
                <w:bCs/>
              </w:rPr>
            </w:pPr>
            <w:r>
              <w:rPr>
                <w:rFonts w:hint="eastAsia"/>
                <w:b/>
                <w:bCs/>
              </w:rPr>
              <w:t>5、原辅材料及能源消耗</w:t>
            </w:r>
          </w:p>
          <w:p w14:paraId="08546D92">
            <w:pPr>
              <w:ind w:firstLine="480"/>
              <w:rPr>
                <w:rFonts w:hint="eastAsia"/>
                <w:color w:val="auto"/>
              </w:rPr>
            </w:pPr>
            <w:r>
              <w:rPr>
                <w:rFonts w:hint="eastAsia"/>
                <w:color w:val="auto"/>
                <w:lang w:val="en-US" w:eastAsia="zh-CN"/>
              </w:rPr>
              <w:t>本项目建设前后</w:t>
            </w:r>
            <w:r>
              <w:rPr>
                <w:rFonts w:hint="eastAsia"/>
                <w:color w:val="auto"/>
              </w:rPr>
              <w:t>主要原辅材料种类见下表：</w:t>
            </w:r>
          </w:p>
          <w:p w14:paraId="79D5B129">
            <w:pPr>
              <w:pStyle w:val="27"/>
              <w:bidi w:val="0"/>
              <w:rPr>
                <w:rFonts w:hint="eastAsia"/>
              </w:rPr>
            </w:pPr>
            <w:r>
              <w:rPr>
                <w:rFonts w:hint="eastAsia"/>
              </w:rPr>
              <w:t>表2-</w:t>
            </w:r>
            <w:r>
              <w:rPr>
                <w:rFonts w:hint="eastAsia"/>
                <w:lang w:val="en-US" w:eastAsia="zh-CN"/>
              </w:rPr>
              <w:t xml:space="preserve">7  </w:t>
            </w:r>
            <w:r>
              <w:rPr>
                <w:rFonts w:hint="eastAsia"/>
              </w:rPr>
              <w:t>主要原辅材料及能源消耗一览表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75"/>
              <w:gridCol w:w="2083"/>
              <w:gridCol w:w="834"/>
              <w:gridCol w:w="1000"/>
              <w:gridCol w:w="1466"/>
              <w:gridCol w:w="1267"/>
              <w:gridCol w:w="1143"/>
            </w:tblGrid>
            <w:tr w14:paraId="579DA7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noWrap w:val="0"/>
                  <w:vAlign w:val="center"/>
                </w:tcPr>
                <w:p w14:paraId="05976AC8">
                  <w:pPr>
                    <w:pStyle w:val="42"/>
                    <w:bidi w:val="0"/>
                    <w:jc w:val="center"/>
                    <w:rPr>
                      <w:rFonts w:hint="default"/>
                      <w:b/>
                      <w:bCs/>
                    </w:rPr>
                  </w:pPr>
                  <w:r>
                    <w:rPr>
                      <w:rFonts w:hint="default"/>
                      <w:b/>
                      <w:bCs/>
                    </w:rPr>
                    <w:t>类别</w:t>
                  </w:r>
                </w:p>
              </w:tc>
              <w:tc>
                <w:tcPr>
                  <w:tcW w:w="1229" w:type="pct"/>
                  <w:noWrap w:val="0"/>
                  <w:vAlign w:val="center"/>
                </w:tcPr>
                <w:p w14:paraId="140BA258">
                  <w:pPr>
                    <w:pStyle w:val="42"/>
                    <w:bidi w:val="0"/>
                    <w:jc w:val="center"/>
                    <w:rPr>
                      <w:rFonts w:hint="default"/>
                      <w:b/>
                      <w:bCs/>
                    </w:rPr>
                  </w:pPr>
                  <w:r>
                    <w:rPr>
                      <w:rFonts w:hint="default"/>
                      <w:b/>
                      <w:bCs/>
                    </w:rPr>
                    <w:t>名称</w:t>
                  </w:r>
                </w:p>
              </w:tc>
              <w:tc>
                <w:tcPr>
                  <w:tcW w:w="492" w:type="pct"/>
                  <w:noWrap w:val="0"/>
                  <w:vAlign w:val="center"/>
                </w:tcPr>
                <w:p w14:paraId="7C724DB4">
                  <w:pPr>
                    <w:pStyle w:val="42"/>
                    <w:bidi w:val="0"/>
                    <w:jc w:val="center"/>
                    <w:rPr>
                      <w:rFonts w:hint="default"/>
                      <w:b/>
                      <w:bCs/>
                    </w:rPr>
                  </w:pPr>
                  <w:r>
                    <w:rPr>
                      <w:rFonts w:hint="default"/>
                      <w:b/>
                      <w:bCs/>
                    </w:rPr>
                    <w:t>单位</w:t>
                  </w:r>
                </w:p>
              </w:tc>
              <w:tc>
                <w:tcPr>
                  <w:tcW w:w="590" w:type="pct"/>
                  <w:noWrap w:val="0"/>
                  <w:vAlign w:val="center"/>
                </w:tcPr>
                <w:p w14:paraId="2BEB26F3">
                  <w:pPr>
                    <w:pStyle w:val="42"/>
                    <w:bidi w:val="0"/>
                    <w:jc w:val="center"/>
                    <w:rPr>
                      <w:rFonts w:hint="default"/>
                      <w:b/>
                      <w:bCs/>
                    </w:rPr>
                  </w:pPr>
                  <w:r>
                    <w:rPr>
                      <w:rFonts w:hint="default"/>
                      <w:b/>
                      <w:bCs/>
                    </w:rPr>
                    <w:t>年用量</w:t>
                  </w:r>
                </w:p>
              </w:tc>
              <w:tc>
                <w:tcPr>
                  <w:tcW w:w="865" w:type="pct"/>
                  <w:tcBorders>
                    <w:right w:val="single" w:color="auto" w:sz="4" w:space="0"/>
                  </w:tcBorders>
                  <w:noWrap w:val="0"/>
                  <w:vAlign w:val="center"/>
                </w:tcPr>
                <w:p w14:paraId="14AD6D18">
                  <w:pPr>
                    <w:pStyle w:val="42"/>
                    <w:bidi w:val="0"/>
                    <w:jc w:val="center"/>
                    <w:rPr>
                      <w:rFonts w:hint="default" w:eastAsia="宋体"/>
                      <w:b/>
                      <w:bCs/>
                      <w:lang w:val="en-US" w:eastAsia="zh-CN"/>
                    </w:rPr>
                  </w:pPr>
                  <w:r>
                    <w:rPr>
                      <w:rFonts w:hint="eastAsia"/>
                      <w:b/>
                      <w:bCs/>
                      <w:lang w:val="en-US" w:eastAsia="zh-CN"/>
                    </w:rPr>
                    <w:t>包装规格</w:t>
                  </w:r>
                </w:p>
              </w:tc>
              <w:tc>
                <w:tcPr>
                  <w:tcW w:w="748" w:type="pct"/>
                  <w:tcBorders>
                    <w:right w:val="single" w:color="auto" w:sz="4" w:space="0"/>
                  </w:tcBorders>
                  <w:noWrap w:val="0"/>
                  <w:vAlign w:val="center"/>
                </w:tcPr>
                <w:p w14:paraId="24CE36D2">
                  <w:pPr>
                    <w:pStyle w:val="42"/>
                    <w:bidi w:val="0"/>
                    <w:jc w:val="center"/>
                    <w:rPr>
                      <w:rFonts w:hint="default"/>
                      <w:b/>
                      <w:bCs/>
                    </w:rPr>
                  </w:pPr>
                  <w:r>
                    <w:rPr>
                      <w:rFonts w:hint="default"/>
                      <w:b/>
                      <w:bCs/>
                    </w:rPr>
                    <w:t>最大储存量</w:t>
                  </w:r>
                </w:p>
              </w:tc>
              <w:tc>
                <w:tcPr>
                  <w:tcW w:w="674" w:type="pct"/>
                  <w:tcBorders>
                    <w:left w:val="single" w:color="auto" w:sz="4" w:space="0"/>
                  </w:tcBorders>
                  <w:noWrap w:val="0"/>
                  <w:vAlign w:val="center"/>
                </w:tcPr>
                <w:p w14:paraId="5A7C1D72">
                  <w:pPr>
                    <w:pStyle w:val="42"/>
                    <w:bidi w:val="0"/>
                    <w:jc w:val="center"/>
                    <w:rPr>
                      <w:rFonts w:hint="default"/>
                      <w:b/>
                      <w:bCs/>
                    </w:rPr>
                  </w:pPr>
                  <w:r>
                    <w:rPr>
                      <w:rFonts w:hint="default"/>
                      <w:b/>
                      <w:bCs/>
                    </w:rPr>
                    <w:t>备注</w:t>
                  </w:r>
                </w:p>
              </w:tc>
            </w:tr>
            <w:tr w14:paraId="7AB2CD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restart"/>
                  <w:noWrap w:val="0"/>
                  <w:vAlign w:val="center"/>
                </w:tcPr>
                <w:p w14:paraId="3591D900">
                  <w:pPr>
                    <w:pStyle w:val="42"/>
                    <w:bidi w:val="0"/>
                    <w:jc w:val="center"/>
                    <w:rPr>
                      <w:rFonts w:hint="eastAsia" w:eastAsia="宋体"/>
                      <w:lang w:val="en-US" w:eastAsia="zh-CN"/>
                    </w:rPr>
                  </w:pPr>
                  <w:r>
                    <w:rPr>
                      <w:rFonts w:hint="eastAsia"/>
                      <w:lang w:val="en-US" w:eastAsia="zh-CN"/>
                    </w:rPr>
                    <w:t>医疗</w:t>
                  </w:r>
                </w:p>
              </w:tc>
              <w:tc>
                <w:tcPr>
                  <w:tcW w:w="1229" w:type="pct"/>
                  <w:noWrap w:val="0"/>
                  <w:vAlign w:val="center"/>
                </w:tcPr>
                <w:p w14:paraId="095FAEA4">
                  <w:pPr>
                    <w:pStyle w:val="42"/>
                    <w:bidi w:val="0"/>
                    <w:jc w:val="center"/>
                    <w:rPr>
                      <w:rFonts w:hint="default"/>
                    </w:rPr>
                  </w:pPr>
                  <w:r>
                    <w:rPr>
                      <w:rFonts w:hint="default"/>
                    </w:rPr>
                    <w:t>一次性手套</w:t>
                  </w:r>
                </w:p>
              </w:tc>
              <w:tc>
                <w:tcPr>
                  <w:tcW w:w="492" w:type="pct"/>
                  <w:noWrap w:val="0"/>
                  <w:vAlign w:val="center"/>
                </w:tcPr>
                <w:p w14:paraId="1209119F">
                  <w:pPr>
                    <w:pStyle w:val="42"/>
                    <w:bidi w:val="0"/>
                    <w:jc w:val="center"/>
                    <w:rPr>
                      <w:rFonts w:hint="default" w:eastAsia="宋体"/>
                      <w:lang w:val="en-US" w:eastAsia="zh-CN"/>
                    </w:rPr>
                  </w:pPr>
                  <w:r>
                    <w:rPr>
                      <w:rFonts w:hint="eastAsia"/>
                      <w:lang w:val="en-US" w:eastAsia="zh-CN"/>
                    </w:rPr>
                    <w:t>袋</w:t>
                  </w:r>
                </w:p>
              </w:tc>
              <w:tc>
                <w:tcPr>
                  <w:tcW w:w="590" w:type="pct"/>
                  <w:noWrap w:val="0"/>
                  <w:vAlign w:val="center"/>
                </w:tcPr>
                <w:p w14:paraId="37E96D02">
                  <w:pPr>
                    <w:pStyle w:val="42"/>
                    <w:bidi w:val="0"/>
                    <w:jc w:val="center"/>
                    <w:rPr>
                      <w:rFonts w:hint="eastAsia" w:eastAsia="宋体"/>
                      <w:lang w:val="en-US" w:eastAsia="zh-CN"/>
                    </w:rPr>
                  </w:pPr>
                  <w:r>
                    <w:rPr>
                      <w:rFonts w:hint="eastAsia"/>
                      <w:lang w:val="en-US" w:eastAsia="zh-CN"/>
                    </w:rPr>
                    <w:t>900</w:t>
                  </w:r>
                </w:p>
              </w:tc>
              <w:tc>
                <w:tcPr>
                  <w:tcW w:w="865" w:type="pct"/>
                  <w:tcBorders>
                    <w:right w:val="single" w:color="auto" w:sz="4" w:space="0"/>
                  </w:tcBorders>
                  <w:noWrap w:val="0"/>
                  <w:vAlign w:val="center"/>
                </w:tcPr>
                <w:p w14:paraId="4CAE031B">
                  <w:pPr>
                    <w:pStyle w:val="42"/>
                    <w:bidi w:val="0"/>
                    <w:jc w:val="center"/>
                    <w:rPr>
                      <w:rFonts w:hint="default" w:eastAsia="宋体"/>
                      <w:lang w:val="en-US" w:eastAsia="zh-CN"/>
                    </w:rPr>
                  </w:pPr>
                  <w:r>
                    <w:rPr>
                      <w:rFonts w:hint="eastAsia"/>
                      <w:lang w:val="en-US" w:eastAsia="zh-CN"/>
                    </w:rPr>
                    <w:t>20双/袋</w:t>
                  </w:r>
                </w:p>
              </w:tc>
              <w:tc>
                <w:tcPr>
                  <w:tcW w:w="748" w:type="pct"/>
                  <w:tcBorders>
                    <w:right w:val="single" w:color="auto" w:sz="4" w:space="0"/>
                  </w:tcBorders>
                  <w:noWrap w:val="0"/>
                  <w:vAlign w:val="center"/>
                </w:tcPr>
                <w:p w14:paraId="698637B1">
                  <w:pPr>
                    <w:pStyle w:val="42"/>
                    <w:bidi w:val="0"/>
                    <w:jc w:val="center"/>
                    <w:rPr>
                      <w:rFonts w:hint="default" w:eastAsia="宋体"/>
                      <w:lang w:val="en-US" w:eastAsia="zh-CN"/>
                    </w:rPr>
                  </w:pPr>
                  <w:r>
                    <w:rPr>
                      <w:rFonts w:hint="eastAsia"/>
                      <w:lang w:val="en-US" w:eastAsia="zh-CN"/>
                    </w:rPr>
                    <w:t>200</w:t>
                  </w:r>
                </w:p>
              </w:tc>
              <w:tc>
                <w:tcPr>
                  <w:tcW w:w="674" w:type="pct"/>
                  <w:vMerge w:val="restart"/>
                  <w:tcBorders>
                    <w:left w:val="single" w:color="auto" w:sz="4" w:space="0"/>
                  </w:tcBorders>
                  <w:noWrap w:val="0"/>
                  <w:vAlign w:val="center"/>
                </w:tcPr>
                <w:p w14:paraId="7C6593C2">
                  <w:pPr>
                    <w:pStyle w:val="42"/>
                    <w:bidi w:val="0"/>
                    <w:jc w:val="center"/>
                    <w:rPr>
                      <w:rFonts w:hint="default" w:eastAsia="宋体"/>
                      <w:lang w:val="en-US" w:eastAsia="zh-CN"/>
                    </w:rPr>
                  </w:pPr>
                  <w:r>
                    <w:rPr>
                      <w:rFonts w:hint="eastAsia"/>
                      <w:lang w:val="en-US" w:eastAsia="zh-CN"/>
                    </w:rPr>
                    <w:t>药房</w:t>
                  </w:r>
                </w:p>
              </w:tc>
            </w:tr>
            <w:tr w14:paraId="4DE4BA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29D1D873">
                  <w:pPr>
                    <w:pStyle w:val="42"/>
                    <w:bidi w:val="0"/>
                    <w:jc w:val="center"/>
                    <w:rPr>
                      <w:rFonts w:hint="default"/>
                    </w:rPr>
                  </w:pPr>
                </w:p>
              </w:tc>
              <w:tc>
                <w:tcPr>
                  <w:tcW w:w="1229" w:type="pct"/>
                  <w:noWrap w:val="0"/>
                  <w:vAlign w:val="center"/>
                </w:tcPr>
                <w:p w14:paraId="1DE9D0D5">
                  <w:pPr>
                    <w:pStyle w:val="42"/>
                    <w:bidi w:val="0"/>
                    <w:jc w:val="center"/>
                    <w:rPr>
                      <w:rFonts w:hint="default"/>
                    </w:rPr>
                  </w:pPr>
                  <w:r>
                    <w:rPr>
                      <w:rFonts w:hint="default"/>
                    </w:rPr>
                    <w:t>一次性注射器</w:t>
                  </w:r>
                </w:p>
              </w:tc>
              <w:tc>
                <w:tcPr>
                  <w:tcW w:w="492" w:type="pct"/>
                  <w:noWrap w:val="0"/>
                  <w:vAlign w:val="center"/>
                </w:tcPr>
                <w:p w14:paraId="6DDFFCF9">
                  <w:pPr>
                    <w:pStyle w:val="42"/>
                    <w:bidi w:val="0"/>
                    <w:jc w:val="center"/>
                    <w:rPr>
                      <w:rFonts w:hint="eastAsia" w:eastAsia="宋体"/>
                      <w:lang w:val="en-US" w:eastAsia="zh-CN"/>
                    </w:rPr>
                  </w:pPr>
                  <w:r>
                    <w:rPr>
                      <w:rFonts w:hint="eastAsia"/>
                      <w:lang w:val="en-US" w:eastAsia="zh-CN"/>
                    </w:rPr>
                    <w:t>套</w:t>
                  </w:r>
                </w:p>
              </w:tc>
              <w:tc>
                <w:tcPr>
                  <w:tcW w:w="590" w:type="pct"/>
                  <w:noWrap w:val="0"/>
                  <w:vAlign w:val="center"/>
                </w:tcPr>
                <w:p w14:paraId="0BFB192F">
                  <w:pPr>
                    <w:pStyle w:val="42"/>
                    <w:bidi w:val="0"/>
                    <w:jc w:val="center"/>
                    <w:rPr>
                      <w:rFonts w:hint="default" w:eastAsia="宋体"/>
                      <w:lang w:val="en-US" w:eastAsia="zh-CN"/>
                    </w:rPr>
                  </w:pPr>
                  <w:r>
                    <w:rPr>
                      <w:rFonts w:hint="eastAsia"/>
                      <w:lang w:val="en-US" w:eastAsia="zh-CN"/>
                    </w:rPr>
                    <w:t>3000</w:t>
                  </w:r>
                </w:p>
              </w:tc>
              <w:tc>
                <w:tcPr>
                  <w:tcW w:w="865" w:type="pct"/>
                  <w:tcBorders>
                    <w:right w:val="single" w:color="auto" w:sz="4" w:space="0"/>
                  </w:tcBorders>
                  <w:noWrap w:val="0"/>
                  <w:vAlign w:val="center"/>
                </w:tcPr>
                <w:p w14:paraId="74E09923">
                  <w:pPr>
                    <w:pStyle w:val="42"/>
                    <w:bidi w:val="0"/>
                    <w:jc w:val="center"/>
                    <w:rPr>
                      <w:rFonts w:hint="default" w:eastAsia="宋体"/>
                      <w:lang w:val="en-US" w:eastAsia="zh-CN"/>
                    </w:rPr>
                  </w:pPr>
                  <w:r>
                    <w:rPr>
                      <w:rFonts w:hint="eastAsia"/>
                      <w:lang w:val="en-US" w:eastAsia="zh-CN"/>
                    </w:rPr>
                    <w:t>20ml</w:t>
                  </w:r>
                </w:p>
              </w:tc>
              <w:tc>
                <w:tcPr>
                  <w:tcW w:w="748" w:type="pct"/>
                  <w:tcBorders>
                    <w:right w:val="single" w:color="auto" w:sz="4" w:space="0"/>
                  </w:tcBorders>
                  <w:noWrap w:val="0"/>
                  <w:vAlign w:val="center"/>
                </w:tcPr>
                <w:p w14:paraId="2F753893">
                  <w:pPr>
                    <w:pStyle w:val="42"/>
                    <w:bidi w:val="0"/>
                    <w:jc w:val="center"/>
                    <w:rPr>
                      <w:rFonts w:hint="default" w:eastAsia="宋体"/>
                      <w:lang w:val="en-US" w:eastAsia="zh-CN"/>
                    </w:rPr>
                  </w:pPr>
                  <w:r>
                    <w:rPr>
                      <w:rFonts w:hint="eastAsia"/>
                      <w:lang w:val="en-US" w:eastAsia="zh-CN"/>
                    </w:rPr>
                    <w:t>300</w:t>
                  </w:r>
                </w:p>
              </w:tc>
              <w:tc>
                <w:tcPr>
                  <w:tcW w:w="674" w:type="pct"/>
                  <w:vMerge w:val="continue"/>
                  <w:tcBorders>
                    <w:left w:val="single" w:color="auto" w:sz="4" w:space="0"/>
                  </w:tcBorders>
                  <w:noWrap w:val="0"/>
                  <w:vAlign w:val="center"/>
                </w:tcPr>
                <w:p w14:paraId="2AB199D2">
                  <w:pPr>
                    <w:pStyle w:val="42"/>
                    <w:bidi w:val="0"/>
                    <w:jc w:val="center"/>
                    <w:rPr>
                      <w:rFonts w:hint="eastAsia" w:eastAsia="宋体"/>
                      <w:lang w:val="en-US" w:eastAsia="zh-CN"/>
                    </w:rPr>
                  </w:pPr>
                </w:p>
              </w:tc>
            </w:tr>
            <w:tr w14:paraId="1ECEA6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4A192EA5">
                  <w:pPr>
                    <w:pStyle w:val="42"/>
                    <w:bidi w:val="0"/>
                    <w:jc w:val="center"/>
                    <w:rPr>
                      <w:rFonts w:hint="default"/>
                    </w:rPr>
                  </w:pPr>
                </w:p>
              </w:tc>
              <w:tc>
                <w:tcPr>
                  <w:tcW w:w="1229" w:type="pct"/>
                  <w:noWrap w:val="0"/>
                  <w:vAlign w:val="center"/>
                </w:tcPr>
                <w:p w14:paraId="7DAEF5D6">
                  <w:pPr>
                    <w:pStyle w:val="42"/>
                    <w:bidi w:val="0"/>
                    <w:jc w:val="center"/>
                    <w:rPr>
                      <w:rFonts w:hint="default"/>
                    </w:rPr>
                  </w:pPr>
                  <w:r>
                    <w:rPr>
                      <w:rFonts w:hint="default"/>
                    </w:rPr>
                    <w:t>医用棉签</w:t>
                  </w:r>
                </w:p>
              </w:tc>
              <w:tc>
                <w:tcPr>
                  <w:tcW w:w="492" w:type="pct"/>
                  <w:noWrap w:val="0"/>
                  <w:vAlign w:val="center"/>
                </w:tcPr>
                <w:p w14:paraId="4C6E80DE">
                  <w:pPr>
                    <w:pStyle w:val="42"/>
                    <w:bidi w:val="0"/>
                    <w:jc w:val="center"/>
                    <w:rPr>
                      <w:rFonts w:hint="eastAsia" w:eastAsia="宋体"/>
                      <w:lang w:val="en-US" w:eastAsia="zh-CN"/>
                    </w:rPr>
                  </w:pPr>
                  <w:r>
                    <w:rPr>
                      <w:rFonts w:hint="eastAsia"/>
                      <w:lang w:val="en-US" w:eastAsia="zh-CN"/>
                    </w:rPr>
                    <w:t>袋</w:t>
                  </w:r>
                </w:p>
              </w:tc>
              <w:tc>
                <w:tcPr>
                  <w:tcW w:w="590" w:type="pct"/>
                  <w:noWrap w:val="0"/>
                  <w:vAlign w:val="center"/>
                </w:tcPr>
                <w:p w14:paraId="7D7CE6B3">
                  <w:pPr>
                    <w:pStyle w:val="42"/>
                    <w:bidi w:val="0"/>
                    <w:jc w:val="center"/>
                    <w:rPr>
                      <w:rFonts w:hint="default" w:eastAsia="宋体"/>
                      <w:lang w:val="en-US" w:eastAsia="zh-CN"/>
                    </w:rPr>
                  </w:pPr>
                  <w:r>
                    <w:rPr>
                      <w:rFonts w:hint="eastAsia"/>
                      <w:lang w:val="en-US" w:eastAsia="zh-CN"/>
                    </w:rPr>
                    <w:t>600</w:t>
                  </w:r>
                </w:p>
              </w:tc>
              <w:tc>
                <w:tcPr>
                  <w:tcW w:w="865" w:type="pct"/>
                  <w:tcBorders>
                    <w:right w:val="single" w:color="auto" w:sz="4" w:space="0"/>
                  </w:tcBorders>
                  <w:noWrap w:val="0"/>
                  <w:vAlign w:val="center"/>
                </w:tcPr>
                <w:p w14:paraId="75B006F9">
                  <w:pPr>
                    <w:pStyle w:val="42"/>
                    <w:bidi w:val="0"/>
                    <w:jc w:val="center"/>
                    <w:rPr>
                      <w:rFonts w:hint="default" w:eastAsia="宋体"/>
                      <w:lang w:val="en-US" w:eastAsia="zh-CN"/>
                    </w:rPr>
                  </w:pPr>
                  <w:r>
                    <w:rPr>
                      <w:rFonts w:hint="eastAsia"/>
                      <w:lang w:val="en-US" w:eastAsia="zh-CN"/>
                    </w:rPr>
                    <w:t>20根/袋</w:t>
                  </w:r>
                </w:p>
              </w:tc>
              <w:tc>
                <w:tcPr>
                  <w:tcW w:w="748" w:type="pct"/>
                  <w:tcBorders>
                    <w:right w:val="single" w:color="auto" w:sz="4" w:space="0"/>
                  </w:tcBorders>
                  <w:noWrap w:val="0"/>
                  <w:vAlign w:val="center"/>
                </w:tcPr>
                <w:p w14:paraId="2C484B22">
                  <w:pPr>
                    <w:pStyle w:val="42"/>
                    <w:bidi w:val="0"/>
                    <w:jc w:val="center"/>
                    <w:rPr>
                      <w:rFonts w:hint="default" w:eastAsia="宋体"/>
                      <w:lang w:val="en-US" w:eastAsia="zh-CN"/>
                    </w:rPr>
                  </w:pPr>
                  <w:r>
                    <w:rPr>
                      <w:rFonts w:hint="eastAsia"/>
                      <w:lang w:val="en-US" w:eastAsia="zh-CN"/>
                    </w:rPr>
                    <w:t>150</w:t>
                  </w:r>
                </w:p>
              </w:tc>
              <w:tc>
                <w:tcPr>
                  <w:tcW w:w="674" w:type="pct"/>
                  <w:vMerge w:val="continue"/>
                  <w:tcBorders>
                    <w:left w:val="single" w:color="auto" w:sz="4" w:space="0"/>
                  </w:tcBorders>
                  <w:noWrap w:val="0"/>
                  <w:vAlign w:val="center"/>
                </w:tcPr>
                <w:p w14:paraId="1C33EF70">
                  <w:pPr>
                    <w:pStyle w:val="42"/>
                    <w:bidi w:val="0"/>
                    <w:jc w:val="center"/>
                    <w:rPr>
                      <w:rFonts w:hint="eastAsia" w:eastAsia="宋体"/>
                      <w:lang w:val="en-US" w:eastAsia="zh-CN"/>
                    </w:rPr>
                  </w:pPr>
                </w:p>
              </w:tc>
            </w:tr>
            <w:tr w14:paraId="215611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7E176C3A">
                  <w:pPr>
                    <w:pStyle w:val="42"/>
                    <w:bidi w:val="0"/>
                    <w:jc w:val="center"/>
                    <w:rPr>
                      <w:rFonts w:hint="default"/>
                    </w:rPr>
                  </w:pPr>
                </w:p>
              </w:tc>
              <w:tc>
                <w:tcPr>
                  <w:tcW w:w="1229" w:type="pct"/>
                  <w:noWrap w:val="0"/>
                  <w:vAlign w:val="center"/>
                </w:tcPr>
                <w:p w14:paraId="3DDB015F">
                  <w:pPr>
                    <w:pStyle w:val="42"/>
                    <w:bidi w:val="0"/>
                    <w:jc w:val="center"/>
                    <w:rPr>
                      <w:rFonts w:hint="default"/>
                    </w:rPr>
                  </w:pPr>
                  <w:r>
                    <w:rPr>
                      <w:rFonts w:hint="default"/>
                    </w:rPr>
                    <w:t>84消毒液</w:t>
                  </w:r>
                </w:p>
              </w:tc>
              <w:tc>
                <w:tcPr>
                  <w:tcW w:w="492" w:type="pct"/>
                  <w:noWrap w:val="0"/>
                  <w:vAlign w:val="center"/>
                </w:tcPr>
                <w:p w14:paraId="28465975">
                  <w:pPr>
                    <w:pStyle w:val="42"/>
                    <w:bidi w:val="0"/>
                    <w:jc w:val="center"/>
                    <w:rPr>
                      <w:rFonts w:hint="eastAsia" w:eastAsia="宋体"/>
                      <w:lang w:val="en-US" w:eastAsia="zh-CN"/>
                    </w:rPr>
                  </w:pPr>
                  <w:r>
                    <w:rPr>
                      <w:rFonts w:hint="eastAsia"/>
                      <w:lang w:val="en-US" w:eastAsia="zh-CN"/>
                    </w:rPr>
                    <w:t>瓶</w:t>
                  </w:r>
                </w:p>
              </w:tc>
              <w:tc>
                <w:tcPr>
                  <w:tcW w:w="590" w:type="pct"/>
                  <w:noWrap w:val="0"/>
                  <w:vAlign w:val="center"/>
                </w:tcPr>
                <w:p w14:paraId="101CD3A9">
                  <w:pPr>
                    <w:pStyle w:val="42"/>
                    <w:bidi w:val="0"/>
                    <w:jc w:val="center"/>
                    <w:rPr>
                      <w:rFonts w:hint="default" w:eastAsia="宋体"/>
                      <w:lang w:val="en-US" w:eastAsia="zh-CN"/>
                    </w:rPr>
                  </w:pPr>
                  <w:r>
                    <w:rPr>
                      <w:rFonts w:hint="eastAsia"/>
                      <w:lang w:val="en-US" w:eastAsia="zh-CN"/>
                    </w:rPr>
                    <w:t>200</w:t>
                  </w:r>
                </w:p>
              </w:tc>
              <w:tc>
                <w:tcPr>
                  <w:tcW w:w="865" w:type="pct"/>
                  <w:tcBorders>
                    <w:right w:val="single" w:color="auto" w:sz="4" w:space="0"/>
                  </w:tcBorders>
                  <w:noWrap w:val="0"/>
                  <w:vAlign w:val="center"/>
                </w:tcPr>
                <w:p w14:paraId="72C337CB">
                  <w:pPr>
                    <w:pStyle w:val="42"/>
                    <w:bidi w:val="0"/>
                    <w:jc w:val="center"/>
                    <w:rPr>
                      <w:rFonts w:hint="default" w:eastAsia="宋体"/>
                      <w:lang w:val="en-US" w:eastAsia="zh-CN"/>
                    </w:rPr>
                  </w:pPr>
                  <w:r>
                    <w:rPr>
                      <w:rFonts w:hint="eastAsia"/>
                      <w:lang w:val="en-US" w:eastAsia="zh-CN"/>
                    </w:rPr>
                    <w:t>500ml/瓶</w:t>
                  </w:r>
                </w:p>
              </w:tc>
              <w:tc>
                <w:tcPr>
                  <w:tcW w:w="748" w:type="pct"/>
                  <w:tcBorders>
                    <w:right w:val="single" w:color="auto" w:sz="4" w:space="0"/>
                  </w:tcBorders>
                  <w:noWrap w:val="0"/>
                  <w:vAlign w:val="center"/>
                </w:tcPr>
                <w:p w14:paraId="5066F9F5">
                  <w:pPr>
                    <w:pStyle w:val="42"/>
                    <w:bidi w:val="0"/>
                    <w:jc w:val="center"/>
                    <w:rPr>
                      <w:rFonts w:hint="default" w:eastAsia="宋体"/>
                      <w:lang w:val="en-US" w:eastAsia="zh-CN"/>
                    </w:rPr>
                  </w:pPr>
                  <w:r>
                    <w:rPr>
                      <w:rFonts w:hint="eastAsia"/>
                      <w:lang w:val="en-US" w:eastAsia="zh-CN"/>
                    </w:rPr>
                    <w:t>50</w:t>
                  </w:r>
                </w:p>
              </w:tc>
              <w:tc>
                <w:tcPr>
                  <w:tcW w:w="674" w:type="pct"/>
                  <w:vMerge w:val="continue"/>
                  <w:tcBorders>
                    <w:left w:val="single" w:color="auto" w:sz="4" w:space="0"/>
                  </w:tcBorders>
                  <w:noWrap w:val="0"/>
                  <w:vAlign w:val="center"/>
                </w:tcPr>
                <w:p w14:paraId="39957795">
                  <w:pPr>
                    <w:pStyle w:val="42"/>
                    <w:bidi w:val="0"/>
                    <w:jc w:val="center"/>
                    <w:rPr>
                      <w:rFonts w:hint="eastAsia" w:eastAsia="宋体"/>
                      <w:lang w:val="en-US" w:eastAsia="zh-CN"/>
                    </w:rPr>
                  </w:pPr>
                </w:p>
              </w:tc>
            </w:tr>
            <w:tr w14:paraId="3D4B98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2686212C">
                  <w:pPr>
                    <w:pStyle w:val="42"/>
                    <w:bidi w:val="0"/>
                    <w:jc w:val="center"/>
                    <w:rPr>
                      <w:rFonts w:hint="default"/>
                    </w:rPr>
                  </w:pPr>
                </w:p>
              </w:tc>
              <w:tc>
                <w:tcPr>
                  <w:tcW w:w="1229" w:type="pct"/>
                  <w:noWrap w:val="0"/>
                  <w:vAlign w:val="center"/>
                </w:tcPr>
                <w:p w14:paraId="5FD64E17">
                  <w:pPr>
                    <w:pStyle w:val="42"/>
                    <w:bidi w:val="0"/>
                    <w:jc w:val="center"/>
                    <w:rPr>
                      <w:rFonts w:hint="default"/>
                    </w:rPr>
                  </w:pPr>
                  <w:r>
                    <w:rPr>
                      <w:rFonts w:hint="default"/>
                    </w:rPr>
                    <w:t>5%葡萄糖注射液</w:t>
                  </w:r>
                </w:p>
              </w:tc>
              <w:tc>
                <w:tcPr>
                  <w:tcW w:w="492" w:type="pct"/>
                  <w:noWrap w:val="0"/>
                  <w:vAlign w:val="center"/>
                </w:tcPr>
                <w:p w14:paraId="457BFE23">
                  <w:pPr>
                    <w:pStyle w:val="32"/>
                    <w:bidi w:val="0"/>
                    <w:jc w:val="center"/>
                    <w:rPr>
                      <w:rFonts w:hint="default"/>
                    </w:rPr>
                  </w:pPr>
                  <w:r>
                    <w:rPr>
                      <w:rFonts w:hint="eastAsia"/>
                      <w:lang w:val="en-US" w:eastAsia="zh-CN"/>
                    </w:rPr>
                    <w:t>瓶</w:t>
                  </w:r>
                </w:p>
              </w:tc>
              <w:tc>
                <w:tcPr>
                  <w:tcW w:w="590" w:type="pct"/>
                  <w:noWrap w:val="0"/>
                  <w:vAlign w:val="center"/>
                </w:tcPr>
                <w:p w14:paraId="793E8232">
                  <w:pPr>
                    <w:pStyle w:val="42"/>
                    <w:bidi w:val="0"/>
                    <w:jc w:val="center"/>
                    <w:rPr>
                      <w:rFonts w:hint="default" w:eastAsia="宋体"/>
                      <w:lang w:val="en-US" w:eastAsia="zh-CN"/>
                    </w:rPr>
                  </w:pPr>
                  <w:r>
                    <w:rPr>
                      <w:rFonts w:hint="eastAsia"/>
                      <w:lang w:val="en-US" w:eastAsia="zh-CN"/>
                    </w:rPr>
                    <w:t>3000</w:t>
                  </w:r>
                </w:p>
              </w:tc>
              <w:tc>
                <w:tcPr>
                  <w:tcW w:w="865" w:type="pct"/>
                  <w:tcBorders>
                    <w:right w:val="single" w:color="auto" w:sz="4" w:space="0"/>
                  </w:tcBorders>
                  <w:noWrap w:val="0"/>
                  <w:vAlign w:val="center"/>
                </w:tcPr>
                <w:p w14:paraId="2A35F267">
                  <w:pPr>
                    <w:pStyle w:val="42"/>
                    <w:bidi w:val="0"/>
                    <w:jc w:val="center"/>
                    <w:rPr>
                      <w:rFonts w:hint="default" w:eastAsia="宋体"/>
                      <w:lang w:val="en-US" w:eastAsia="zh-CN"/>
                    </w:rPr>
                  </w:pPr>
                  <w:r>
                    <w:rPr>
                      <w:rFonts w:hint="eastAsia"/>
                      <w:lang w:val="en-US" w:eastAsia="zh-CN"/>
                    </w:rPr>
                    <w:t>100ml/瓶</w:t>
                  </w:r>
                </w:p>
              </w:tc>
              <w:tc>
                <w:tcPr>
                  <w:tcW w:w="748" w:type="pct"/>
                  <w:tcBorders>
                    <w:right w:val="single" w:color="auto" w:sz="4" w:space="0"/>
                  </w:tcBorders>
                  <w:noWrap w:val="0"/>
                  <w:vAlign w:val="center"/>
                </w:tcPr>
                <w:p w14:paraId="4C6C560D">
                  <w:pPr>
                    <w:pStyle w:val="42"/>
                    <w:bidi w:val="0"/>
                    <w:jc w:val="center"/>
                    <w:rPr>
                      <w:rFonts w:hint="default" w:eastAsia="宋体"/>
                      <w:lang w:val="en-US" w:eastAsia="zh-CN"/>
                    </w:rPr>
                  </w:pPr>
                  <w:r>
                    <w:rPr>
                      <w:rFonts w:hint="eastAsia"/>
                      <w:lang w:val="en-US" w:eastAsia="zh-CN"/>
                    </w:rPr>
                    <w:t>500</w:t>
                  </w:r>
                </w:p>
              </w:tc>
              <w:tc>
                <w:tcPr>
                  <w:tcW w:w="674" w:type="pct"/>
                  <w:vMerge w:val="continue"/>
                  <w:tcBorders>
                    <w:left w:val="single" w:color="auto" w:sz="4" w:space="0"/>
                  </w:tcBorders>
                  <w:noWrap w:val="0"/>
                  <w:vAlign w:val="center"/>
                </w:tcPr>
                <w:p w14:paraId="02CC7788">
                  <w:pPr>
                    <w:pStyle w:val="42"/>
                    <w:bidi w:val="0"/>
                    <w:jc w:val="center"/>
                    <w:rPr>
                      <w:rFonts w:hint="eastAsia" w:eastAsia="宋体"/>
                      <w:lang w:val="en-US" w:eastAsia="zh-CN"/>
                    </w:rPr>
                  </w:pPr>
                </w:p>
              </w:tc>
            </w:tr>
            <w:tr w14:paraId="3C6713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1DD3EFE1">
                  <w:pPr>
                    <w:pStyle w:val="42"/>
                    <w:bidi w:val="0"/>
                    <w:jc w:val="center"/>
                    <w:rPr>
                      <w:rFonts w:hint="default"/>
                    </w:rPr>
                  </w:pPr>
                </w:p>
              </w:tc>
              <w:tc>
                <w:tcPr>
                  <w:tcW w:w="1229" w:type="pct"/>
                  <w:noWrap w:val="0"/>
                  <w:vAlign w:val="center"/>
                </w:tcPr>
                <w:p w14:paraId="528240BB">
                  <w:pPr>
                    <w:pStyle w:val="42"/>
                    <w:bidi w:val="0"/>
                    <w:jc w:val="center"/>
                    <w:rPr>
                      <w:rFonts w:hint="default"/>
                    </w:rPr>
                  </w:pPr>
                  <w:r>
                    <w:rPr>
                      <w:rFonts w:hint="default"/>
                    </w:rPr>
                    <w:t>75%医用酒精</w:t>
                  </w:r>
                </w:p>
              </w:tc>
              <w:tc>
                <w:tcPr>
                  <w:tcW w:w="492" w:type="pct"/>
                  <w:noWrap w:val="0"/>
                  <w:vAlign w:val="center"/>
                </w:tcPr>
                <w:p w14:paraId="2DB46F19">
                  <w:pPr>
                    <w:pStyle w:val="32"/>
                    <w:bidi w:val="0"/>
                    <w:jc w:val="center"/>
                    <w:rPr>
                      <w:rFonts w:hint="default"/>
                    </w:rPr>
                  </w:pPr>
                  <w:r>
                    <w:rPr>
                      <w:rFonts w:hint="eastAsia"/>
                      <w:lang w:val="en-US" w:eastAsia="zh-CN"/>
                    </w:rPr>
                    <w:t>瓶</w:t>
                  </w:r>
                </w:p>
              </w:tc>
              <w:tc>
                <w:tcPr>
                  <w:tcW w:w="590" w:type="pct"/>
                  <w:noWrap w:val="0"/>
                  <w:vAlign w:val="center"/>
                </w:tcPr>
                <w:p w14:paraId="4C32C1B7">
                  <w:pPr>
                    <w:pStyle w:val="42"/>
                    <w:bidi w:val="0"/>
                    <w:jc w:val="center"/>
                    <w:rPr>
                      <w:rFonts w:hint="default" w:eastAsia="宋体"/>
                      <w:lang w:val="en-US" w:eastAsia="zh-CN"/>
                    </w:rPr>
                  </w:pPr>
                  <w:r>
                    <w:rPr>
                      <w:rFonts w:hint="eastAsia"/>
                      <w:lang w:val="en-US" w:eastAsia="zh-CN"/>
                    </w:rPr>
                    <w:t>200</w:t>
                  </w:r>
                </w:p>
              </w:tc>
              <w:tc>
                <w:tcPr>
                  <w:tcW w:w="865" w:type="pct"/>
                  <w:tcBorders>
                    <w:right w:val="single" w:color="auto" w:sz="4" w:space="0"/>
                  </w:tcBorders>
                  <w:shd w:val="clear" w:color="auto" w:fill="auto"/>
                  <w:noWrap w:val="0"/>
                  <w:vAlign w:val="center"/>
                </w:tcPr>
                <w:p w14:paraId="0971AB81">
                  <w:pPr>
                    <w:pStyle w:val="42"/>
                    <w:bidi w:val="0"/>
                    <w:ind w:firstLine="0" w:firstLineChars="0"/>
                    <w:jc w:val="center"/>
                    <w:rPr>
                      <w:rFonts w:hint="default" w:ascii="Times New Roman" w:hAnsi="Times New Roman" w:eastAsia="宋体" w:cs="Times New Roman"/>
                      <w:b w:val="0"/>
                      <w:spacing w:val="-2"/>
                      <w:kern w:val="0"/>
                      <w:sz w:val="21"/>
                      <w:szCs w:val="18"/>
                      <w:lang w:val="en-US" w:eastAsia="zh-CN" w:bidi="ar-SA"/>
                    </w:rPr>
                  </w:pPr>
                  <w:r>
                    <w:rPr>
                      <w:rFonts w:hint="eastAsia"/>
                      <w:lang w:val="en-US" w:eastAsia="zh-CN"/>
                    </w:rPr>
                    <w:t>500ml/瓶</w:t>
                  </w:r>
                </w:p>
              </w:tc>
              <w:tc>
                <w:tcPr>
                  <w:tcW w:w="748" w:type="pct"/>
                  <w:tcBorders>
                    <w:right w:val="single" w:color="auto" w:sz="4" w:space="0"/>
                  </w:tcBorders>
                  <w:shd w:val="clear" w:color="auto" w:fill="auto"/>
                  <w:noWrap w:val="0"/>
                  <w:vAlign w:val="center"/>
                </w:tcPr>
                <w:p w14:paraId="15ECA5D4">
                  <w:pPr>
                    <w:pStyle w:val="42"/>
                    <w:bidi w:val="0"/>
                    <w:ind w:firstLine="0" w:firstLineChars="0"/>
                    <w:jc w:val="center"/>
                    <w:rPr>
                      <w:rFonts w:hint="default" w:ascii="Times New Roman" w:hAnsi="Times New Roman" w:eastAsia="宋体" w:cs="Times New Roman"/>
                      <w:b w:val="0"/>
                      <w:spacing w:val="-2"/>
                      <w:kern w:val="0"/>
                      <w:sz w:val="21"/>
                      <w:szCs w:val="18"/>
                      <w:lang w:val="en-US" w:eastAsia="zh-CN" w:bidi="ar-SA"/>
                    </w:rPr>
                  </w:pPr>
                  <w:r>
                    <w:rPr>
                      <w:rFonts w:hint="eastAsia"/>
                      <w:lang w:val="en-US" w:eastAsia="zh-CN"/>
                    </w:rPr>
                    <w:t>50</w:t>
                  </w:r>
                </w:p>
              </w:tc>
              <w:tc>
                <w:tcPr>
                  <w:tcW w:w="674" w:type="pct"/>
                  <w:vMerge w:val="continue"/>
                  <w:tcBorders>
                    <w:left w:val="single" w:color="auto" w:sz="4" w:space="0"/>
                  </w:tcBorders>
                  <w:noWrap w:val="0"/>
                  <w:vAlign w:val="center"/>
                </w:tcPr>
                <w:p w14:paraId="4AC60A02">
                  <w:pPr>
                    <w:pStyle w:val="42"/>
                    <w:bidi w:val="0"/>
                    <w:jc w:val="center"/>
                    <w:rPr>
                      <w:rFonts w:hint="eastAsia" w:eastAsia="宋体"/>
                      <w:lang w:val="en-US" w:eastAsia="zh-CN"/>
                    </w:rPr>
                  </w:pPr>
                </w:p>
              </w:tc>
            </w:tr>
            <w:tr w14:paraId="36838C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7D2DE14F">
                  <w:pPr>
                    <w:pStyle w:val="42"/>
                    <w:bidi w:val="0"/>
                    <w:jc w:val="center"/>
                    <w:rPr>
                      <w:rFonts w:hint="default"/>
                    </w:rPr>
                  </w:pPr>
                </w:p>
              </w:tc>
              <w:tc>
                <w:tcPr>
                  <w:tcW w:w="1229" w:type="pct"/>
                  <w:noWrap w:val="0"/>
                  <w:vAlign w:val="center"/>
                </w:tcPr>
                <w:p w14:paraId="6FCF49BB">
                  <w:pPr>
                    <w:pStyle w:val="42"/>
                    <w:bidi w:val="0"/>
                    <w:jc w:val="center"/>
                    <w:rPr>
                      <w:rFonts w:hint="default"/>
                    </w:rPr>
                  </w:pPr>
                  <w:r>
                    <w:rPr>
                      <w:rFonts w:hint="default"/>
                    </w:rPr>
                    <w:t>0.5%碘伏</w:t>
                  </w:r>
                </w:p>
              </w:tc>
              <w:tc>
                <w:tcPr>
                  <w:tcW w:w="492" w:type="pct"/>
                  <w:noWrap w:val="0"/>
                  <w:vAlign w:val="center"/>
                </w:tcPr>
                <w:p w14:paraId="7B93F95F">
                  <w:pPr>
                    <w:pStyle w:val="42"/>
                    <w:bidi w:val="0"/>
                    <w:jc w:val="center"/>
                    <w:rPr>
                      <w:rFonts w:hint="default"/>
                    </w:rPr>
                  </w:pPr>
                  <w:r>
                    <w:rPr>
                      <w:rFonts w:hint="eastAsia"/>
                      <w:lang w:val="en-US" w:eastAsia="zh-CN"/>
                    </w:rPr>
                    <w:t>瓶</w:t>
                  </w:r>
                </w:p>
              </w:tc>
              <w:tc>
                <w:tcPr>
                  <w:tcW w:w="590" w:type="pct"/>
                  <w:noWrap w:val="0"/>
                  <w:vAlign w:val="center"/>
                </w:tcPr>
                <w:p w14:paraId="63EB147D">
                  <w:pPr>
                    <w:pStyle w:val="42"/>
                    <w:bidi w:val="0"/>
                    <w:jc w:val="center"/>
                    <w:rPr>
                      <w:rFonts w:hint="default" w:eastAsia="宋体"/>
                      <w:lang w:val="en-US" w:eastAsia="zh-CN"/>
                    </w:rPr>
                  </w:pPr>
                  <w:r>
                    <w:rPr>
                      <w:rFonts w:hint="eastAsia"/>
                      <w:lang w:val="en-US" w:eastAsia="zh-CN"/>
                    </w:rPr>
                    <w:t>150</w:t>
                  </w:r>
                </w:p>
              </w:tc>
              <w:tc>
                <w:tcPr>
                  <w:tcW w:w="865" w:type="pct"/>
                  <w:tcBorders>
                    <w:right w:val="single" w:color="auto" w:sz="4" w:space="0"/>
                  </w:tcBorders>
                  <w:shd w:val="clear" w:color="auto" w:fill="auto"/>
                  <w:noWrap w:val="0"/>
                  <w:vAlign w:val="center"/>
                </w:tcPr>
                <w:p w14:paraId="11114087">
                  <w:pPr>
                    <w:pStyle w:val="42"/>
                    <w:bidi w:val="0"/>
                    <w:ind w:firstLine="0" w:firstLineChars="0"/>
                    <w:jc w:val="center"/>
                    <w:rPr>
                      <w:rFonts w:hint="default" w:ascii="Times New Roman" w:hAnsi="Times New Roman" w:eastAsia="宋体" w:cs="Times New Roman"/>
                      <w:b w:val="0"/>
                      <w:spacing w:val="-2"/>
                      <w:kern w:val="0"/>
                      <w:sz w:val="21"/>
                      <w:szCs w:val="18"/>
                      <w:lang w:val="en-US" w:eastAsia="zh-CN" w:bidi="ar-SA"/>
                    </w:rPr>
                  </w:pPr>
                  <w:r>
                    <w:rPr>
                      <w:rFonts w:hint="eastAsia"/>
                      <w:lang w:val="en-US" w:eastAsia="zh-CN"/>
                    </w:rPr>
                    <w:t>500ml/瓶</w:t>
                  </w:r>
                </w:p>
              </w:tc>
              <w:tc>
                <w:tcPr>
                  <w:tcW w:w="748" w:type="pct"/>
                  <w:tcBorders>
                    <w:right w:val="single" w:color="auto" w:sz="4" w:space="0"/>
                  </w:tcBorders>
                  <w:shd w:val="clear" w:color="auto" w:fill="auto"/>
                  <w:noWrap w:val="0"/>
                  <w:vAlign w:val="center"/>
                </w:tcPr>
                <w:p w14:paraId="0C6E0E53">
                  <w:pPr>
                    <w:pStyle w:val="42"/>
                    <w:bidi w:val="0"/>
                    <w:ind w:firstLine="0" w:firstLineChars="0"/>
                    <w:jc w:val="center"/>
                    <w:rPr>
                      <w:rFonts w:hint="default" w:ascii="Times New Roman" w:hAnsi="Times New Roman" w:eastAsia="宋体" w:cs="Times New Roman"/>
                      <w:b w:val="0"/>
                      <w:spacing w:val="-2"/>
                      <w:kern w:val="0"/>
                      <w:sz w:val="21"/>
                      <w:szCs w:val="18"/>
                      <w:lang w:val="en-US" w:eastAsia="zh-CN" w:bidi="ar-SA"/>
                    </w:rPr>
                  </w:pPr>
                  <w:r>
                    <w:rPr>
                      <w:rFonts w:hint="eastAsia"/>
                      <w:lang w:val="en-US" w:eastAsia="zh-CN"/>
                    </w:rPr>
                    <w:t>30</w:t>
                  </w:r>
                </w:p>
              </w:tc>
              <w:tc>
                <w:tcPr>
                  <w:tcW w:w="674" w:type="pct"/>
                  <w:vMerge w:val="continue"/>
                  <w:tcBorders>
                    <w:left w:val="single" w:color="auto" w:sz="4" w:space="0"/>
                  </w:tcBorders>
                  <w:noWrap w:val="0"/>
                  <w:vAlign w:val="center"/>
                </w:tcPr>
                <w:p w14:paraId="52DD0208">
                  <w:pPr>
                    <w:pStyle w:val="42"/>
                    <w:bidi w:val="0"/>
                    <w:jc w:val="center"/>
                    <w:rPr>
                      <w:rFonts w:hint="default"/>
                    </w:rPr>
                  </w:pPr>
                </w:p>
              </w:tc>
            </w:tr>
            <w:tr w14:paraId="5571AA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0DE02A79">
                  <w:pPr>
                    <w:pStyle w:val="42"/>
                    <w:bidi w:val="0"/>
                    <w:jc w:val="center"/>
                    <w:rPr>
                      <w:rFonts w:hint="default"/>
                    </w:rPr>
                  </w:pPr>
                </w:p>
              </w:tc>
              <w:tc>
                <w:tcPr>
                  <w:tcW w:w="1229" w:type="pct"/>
                  <w:noWrap w:val="0"/>
                  <w:vAlign w:val="center"/>
                </w:tcPr>
                <w:p w14:paraId="1E2EFEC6">
                  <w:pPr>
                    <w:pStyle w:val="42"/>
                    <w:bidi w:val="0"/>
                    <w:jc w:val="center"/>
                    <w:rPr>
                      <w:rFonts w:hint="default"/>
                    </w:rPr>
                  </w:pPr>
                  <w:r>
                    <w:rPr>
                      <w:rFonts w:hint="default"/>
                    </w:rPr>
                    <w:t>医用胶带</w:t>
                  </w:r>
                </w:p>
              </w:tc>
              <w:tc>
                <w:tcPr>
                  <w:tcW w:w="492" w:type="pct"/>
                  <w:noWrap w:val="0"/>
                  <w:vAlign w:val="center"/>
                </w:tcPr>
                <w:p w14:paraId="5D999B85">
                  <w:pPr>
                    <w:pStyle w:val="42"/>
                    <w:bidi w:val="0"/>
                    <w:jc w:val="center"/>
                    <w:rPr>
                      <w:rFonts w:hint="eastAsia" w:eastAsia="宋体"/>
                      <w:lang w:val="en-US" w:eastAsia="zh-CN"/>
                    </w:rPr>
                  </w:pPr>
                  <w:r>
                    <w:rPr>
                      <w:rFonts w:hint="eastAsia"/>
                      <w:lang w:val="en-US" w:eastAsia="zh-CN"/>
                    </w:rPr>
                    <w:t>盒</w:t>
                  </w:r>
                </w:p>
              </w:tc>
              <w:tc>
                <w:tcPr>
                  <w:tcW w:w="590" w:type="pct"/>
                  <w:noWrap w:val="0"/>
                  <w:vAlign w:val="center"/>
                </w:tcPr>
                <w:p w14:paraId="245148AE">
                  <w:pPr>
                    <w:pStyle w:val="42"/>
                    <w:bidi w:val="0"/>
                    <w:jc w:val="center"/>
                    <w:rPr>
                      <w:rFonts w:hint="default" w:eastAsia="宋体"/>
                      <w:lang w:val="en-US" w:eastAsia="zh-CN"/>
                    </w:rPr>
                  </w:pPr>
                  <w:r>
                    <w:rPr>
                      <w:rFonts w:hint="eastAsia"/>
                      <w:lang w:val="en-US" w:eastAsia="zh-CN"/>
                    </w:rPr>
                    <w:t>500</w:t>
                  </w:r>
                </w:p>
              </w:tc>
              <w:tc>
                <w:tcPr>
                  <w:tcW w:w="865" w:type="pct"/>
                  <w:tcBorders>
                    <w:right w:val="single" w:color="auto" w:sz="4" w:space="0"/>
                  </w:tcBorders>
                  <w:noWrap w:val="0"/>
                  <w:vAlign w:val="center"/>
                </w:tcPr>
                <w:p w14:paraId="25C5F62A">
                  <w:pPr>
                    <w:pStyle w:val="42"/>
                    <w:bidi w:val="0"/>
                    <w:jc w:val="center"/>
                    <w:rPr>
                      <w:rFonts w:hint="default" w:eastAsia="宋体"/>
                      <w:lang w:val="en-US" w:eastAsia="zh-CN"/>
                    </w:rPr>
                  </w:pPr>
                  <w:r>
                    <w:rPr>
                      <w:rFonts w:hint="eastAsia"/>
                      <w:lang w:val="en-US" w:eastAsia="zh-CN"/>
                    </w:rPr>
                    <w:t>20卷/盒</w:t>
                  </w:r>
                </w:p>
              </w:tc>
              <w:tc>
                <w:tcPr>
                  <w:tcW w:w="748" w:type="pct"/>
                  <w:tcBorders>
                    <w:right w:val="single" w:color="auto" w:sz="4" w:space="0"/>
                  </w:tcBorders>
                  <w:noWrap w:val="0"/>
                  <w:vAlign w:val="center"/>
                </w:tcPr>
                <w:p w14:paraId="0855332E">
                  <w:pPr>
                    <w:pStyle w:val="42"/>
                    <w:bidi w:val="0"/>
                    <w:jc w:val="center"/>
                    <w:rPr>
                      <w:rFonts w:hint="default" w:eastAsia="宋体"/>
                      <w:lang w:val="en-US" w:eastAsia="zh-CN"/>
                    </w:rPr>
                  </w:pPr>
                  <w:r>
                    <w:rPr>
                      <w:rFonts w:hint="eastAsia"/>
                      <w:lang w:val="en-US" w:eastAsia="zh-CN"/>
                    </w:rPr>
                    <w:t>100</w:t>
                  </w:r>
                </w:p>
              </w:tc>
              <w:tc>
                <w:tcPr>
                  <w:tcW w:w="674" w:type="pct"/>
                  <w:vMerge w:val="continue"/>
                  <w:tcBorders>
                    <w:left w:val="single" w:color="auto" w:sz="4" w:space="0"/>
                  </w:tcBorders>
                  <w:noWrap w:val="0"/>
                  <w:vAlign w:val="center"/>
                </w:tcPr>
                <w:p w14:paraId="6E161BFE">
                  <w:pPr>
                    <w:pStyle w:val="42"/>
                    <w:bidi w:val="0"/>
                    <w:jc w:val="center"/>
                    <w:rPr>
                      <w:rFonts w:hint="default"/>
                    </w:rPr>
                  </w:pPr>
                </w:p>
              </w:tc>
            </w:tr>
            <w:tr w14:paraId="461F66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7A0667A7">
                  <w:pPr>
                    <w:pStyle w:val="42"/>
                    <w:bidi w:val="0"/>
                    <w:jc w:val="center"/>
                    <w:rPr>
                      <w:rFonts w:hint="default"/>
                    </w:rPr>
                  </w:pPr>
                </w:p>
              </w:tc>
              <w:tc>
                <w:tcPr>
                  <w:tcW w:w="1229" w:type="pct"/>
                  <w:noWrap w:val="0"/>
                  <w:vAlign w:val="center"/>
                </w:tcPr>
                <w:p w14:paraId="44F31055">
                  <w:pPr>
                    <w:pStyle w:val="32"/>
                    <w:bidi w:val="0"/>
                    <w:jc w:val="center"/>
                    <w:rPr>
                      <w:rFonts w:hint="default"/>
                      <w:lang w:val="en-US" w:eastAsia="zh-CN"/>
                    </w:rPr>
                  </w:pPr>
                  <w:r>
                    <w:rPr>
                      <w:rFonts w:hint="eastAsia"/>
                      <w:lang w:val="en-US" w:eastAsia="zh-CN"/>
                    </w:rPr>
                    <w:t>精神科药品</w:t>
                  </w:r>
                </w:p>
              </w:tc>
              <w:tc>
                <w:tcPr>
                  <w:tcW w:w="492" w:type="pct"/>
                  <w:noWrap w:val="0"/>
                  <w:vAlign w:val="center"/>
                </w:tcPr>
                <w:p w14:paraId="4721F591">
                  <w:pPr>
                    <w:pStyle w:val="32"/>
                    <w:bidi w:val="0"/>
                    <w:jc w:val="center"/>
                    <w:rPr>
                      <w:rFonts w:hint="eastAsia"/>
                      <w:lang w:val="en-US" w:eastAsia="zh-CN"/>
                    </w:rPr>
                  </w:pPr>
                  <w:r>
                    <w:rPr>
                      <w:rFonts w:hint="eastAsia"/>
                      <w:lang w:val="en-US" w:eastAsia="zh-CN"/>
                    </w:rPr>
                    <w:t>盒</w:t>
                  </w:r>
                </w:p>
              </w:tc>
              <w:tc>
                <w:tcPr>
                  <w:tcW w:w="590" w:type="pct"/>
                  <w:noWrap w:val="0"/>
                  <w:vAlign w:val="center"/>
                </w:tcPr>
                <w:p w14:paraId="606C1E52">
                  <w:pPr>
                    <w:pStyle w:val="32"/>
                    <w:bidi w:val="0"/>
                    <w:jc w:val="center"/>
                    <w:rPr>
                      <w:rFonts w:hint="default"/>
                      <w:lang w:val="en-US" w:eastAsia="zh-CN"/>
                    </w:rPr>
                  </w:pPr>
                  <w:r>
                    <w:rPr>
                      <w:rFonts w:hint="eastAsia"/>
                      <w:lang w:val="en-US" w:eastAsia="zh-CN"/>
                    </w:rPr>
                    <w:t>100000</w:t>
                  </w:r>
                </w:p>
              </w:tc>
              <w:tc>
                <w:tcPr>
                  <w:tcW w:w="865" w:type="pct"/>
                  <w:tcBorders>
                    <w:right w:val="single" w:color="auto" w:sz="4" w:space="0"/>
                  </w:tcBorders>
                  <w:noWrap w:val="0"/>
                  <w:vAlign w:val="center"/>
                </w:tcPr>
                <w:p w14:paraId="27F8CDDF">
                  <w:pPr>
                    <w:pStyle w:val="32"/>
                    <w:bidi w:val="0"/>
                    <w:jc w:val="center"/>
                    <w:rPr>
                      <w:rFonts w:hint="eastAsia"/>
                      <w:lang w:val="en-US" w:eastAsia="zh-CN"/>
                    </w:rPr>
                  </w:pPr>
                  <w:r>
                    <w:rPr>
                      <w:rFonts w:hint="eastAsia"/>
                      <w:lang w:val="en-US" w:eastAsia="zh-CN"/>
                    </w:rPr>
                    <w:t>/</w:t>
                  </w:r>
                </w:p>
              </w:tc>
              <w:tc>
                <w:tcPr>
                  <w:tcW w:w="748" w:type="pct"/>
                  <w:tcBorders>
                    <w:right w:val="single" w:color="auto" w:sz="4" w:space="0"/>
                  </w:tcBorders>
                  <w:noWrap w:val="0"/>
                  <w:vAlign w:val="center"/>
                </w:tcPr>
                <w:p w14:paraId="12A75369">
                  <w:pPr>
                    <w:pStyle w:val="32"/>
                    <w:bidi w:val="0"/>
                    <w:jc w:val="center"/>
                    <w:rPr>
                      <w:rFonts w:hint="default"/>
                      <w:lang w:val="en-US" w:eastAsia="zh-CN"/>
                    </w:rPr>
                  </w:pPr>
                  <w:r>
                    <w:rPr>
                      <w:rFonts w:hint="eastAsia"/>
                      <w:lang w:val="en-US" w:eastAsia="zh-CN"/>
                    </w:rPr>
                    <w:t>10000</w:t>
                  </w:r>
                </w:p>
              </w:tc>
              <w:tc>
                <w:tcPr>
                  <w:tcW w:w="674" w:type="pct"/>
                  <w:vMerge w:val="continue"/>
                  <w:tcBorders>
                    <w:left w:val="single" w:color="auto" w:sz="4" w:space="0"/>
                  </w:tcBorders>
                  <w:noWrap w:val="0"/>
                  <w:vAlign w:val="center"/>
                </w:tcPr>
                <w:p w14:paraId="510D5EBB">
                  <w:pPr>
                    <w:pStyle w:val="42"/>
                    <w:bidi w:val="0"/>
                    <w:jc w:val="center"/>
                    <w:rPr>
                      <w:rFonts w:hint="default"/>
                      <w:highlight w:val="yellow"/>
                    </w:rPr>
                  </w:pPr>
                </w:p>
              </w:tc>
            </w:tr>
            <w:tr w14:paraId="098660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restart"/>
                  <w:noWrap w:val="0"/>
                  <w:vAlign w:val="center"/>
                </w:tcPr>
                <w:p w14:paraId="5BA424BA">
                  <w:pPr>
                    <w:pStyle w:val="42"/>
                    <w:bidi w:val="0"/>
                    <w:jc w:val="center"/>
                    <w:rPr>
                      <w:rFonts w:hint="default" w:eastAsia="宋体"/>
                      <w:lang w:val="en-US" w:eastAsia="zh-CN"/>
                    </w:rPr>
                  </w:pPr>
                  <w:r>
                    <w:rPr>
                      <w:rFonts w:hint="eastAsia"/>
                      <w:lang w:val="en-US" w:eastAsia="zh-CN"/>
                    </w:rPr>
                    <w:t>检验科试剂</w:t>
                  </w:r>
                </w:p>
              </w:tc>
              <w:tc>
                <w:tcPr>
                  <w:tcW w:w="1229" w:type="pct"/>
                  <w:noWrap w:val="0"/>
                  <w:vAlign w:val="center"/>
                </w:tcPr>
                <w:p w14:paraId="7C3870EE">
                  <w:pPr>
                    <w:pStyle w:val="32"/>
                    <w:bidi w:val="0"/>
                    <w:jc w:val="center"/>
                    <w:rPr>
                      <w:rFonts w:hint="default"/>
                      <w:lang w:val="en-US" w:eastAsia="zh-CN"/>
                    </w:rPr>
                  </w:pPr>
                  <w:r>
                    <w:rPr>
                      <w:rFonts w:hint="eastAsia"/>
                      <w:lang w:val="en-US" w:eastAsia="zh-CN"/>
                    </w:rPr>
                    <w:t>五分类血球试剂</w:t>
                  </w:r>
                </w:p>
              </w:tc>
              <w:tc>
                <w:tcPr>
                  <w:tcW w:w="492" w:type="pct"/>
                  <w:noWrap w:val="0"/>
                  <w:vAlign w:val="center"/>
                </w:tcPr>
                <w:p w14:paraId="148D052D">
                  <w:pPr>
                    <w:pStyle w:val="32"/>
                    <w:bidi w:val="0"/>
                    <w:jc w:val="center"/>
                    <w:rPr>
                      <w:rFonts w:hint="default"/>
                      <w:lang w:val="en-US" w:eastAsia="zh-CN"/>
                    </w:rPr>
                  </w:pPr>
                  <w:r>
                    <w:rPr>
                      <w:rFonts w:hint="eastAsia"/>
                      <w:lang w:val="en-US" w:eastAsia="zh-CN"/>
                    </w:rPr>
                    <w:t>瓶</w:t>
                  </w:r>
                </w:p>
              </w:tc>
              <w:tc>
                <w:tcPr>
                  <w:tcW w:w="590" w:type="pct"/>
                  <w:noWrap w:val="0"/>
                  <w:vAlign w:val="center"/>
                </w:tcPr>
                <w:p w14:paraId="01F50DDA">
                  <w:pPr>
                    <w:pStyle w:val="32"/>
                    <w:bidi w:val="0"/>
                    <w:jc w:val="center"/>
                    <w:rPr>
                      <w:rFonts w:hint="default"/>
                      <w:lang w:val="en-US" w:eastAsia="zh-CN"/>
                    </w:rPr>
                  </w:pPr>
                  <w:r>
                    <w:rPr>
                      <w:rFonts w:hint="eastAsia"/>
                      <w:lang w:val="en-US" w:eastAsia="zh-CN"/>
                    </w:rPr>
                    <w:t>30000</w:t>
                  </w:r>
                </w:p>
              </w:tc>
              <w:tc>
                <w:tcPr>
                  <w:tcW w:w="865" w:type="pct"/>
                  <w:tcBorders>
                    <w:right w:val="single" w:color="auto" w:sz="4" w:space="0"/>
                  </w:tcBorders>
                  <w:noWrap w:val="0"/>
                  <w:vAlign w:val="center"/>
                </w:tcPr>
                <w:p w14:paraId="737F8925">
                  <w:pPr>
                    <w:pStyle w:val="32"/>
                    <w:bidi w:val="0"/>
                    <w:jc w:val="center"/>
                    <w:rPr>
                      <w:rFonts w:hint="default"/>
                      <w:lang w:val="en-US" w:eastAsia="zh-CN"/>
                    </w:rPr>
                  </w:pPr>
                  <w:r>
                    <w:rPr>
                      <w:rFonts w:hint="eastAsia"/>
                      <w:lang w:val="en-US" w:eastAsia="zh-CN"/>
                    </w:rPr>
                    <w:t>10ml/瓶</w:t>
                  </w:r>
                </w:p>
              </w:tc>
              <w:tc>
                <w:tcPr>
                  <w:tcW w:w="748" w:type="pct"/>
                  <w:tcBorders>
                    <w:right w:val="single" w:color="auto" w:sz="4" w:space="0"/>
                  </w:tcBorders>
                  <w:noWrap w:val="0"/>
                  <w:vAlign w:val="center"/>
                </w:tcPr>
                <w:p w14:paraId="4EF70797">
                  <w:pPr>
                    <w:pStyle w:val="32"/>
                    <w:bidi w:val="0"/>
                    <w:jc w:val="center"/>
                    <w:rPr>
                      <w:rFonts w:hint="default"/>
                      <w:lang w:val="en-US" w:eastAsia="zh-CN"/>
                    </w:rPr>
                  </w:pPr>
                  <w:r>
                    <w:rPr>
                      <w:rFonts w:hint="eastAsia"/>
                      <w:lang w:val="en-US" w:eastAsia="zh-CN"/>
                    </w:rPr>
                    <w:t>5000</w:t>
                  </w:r>
                </w:p>
              </w:tc>
              <w:tc>
                <w:tcPr>
                  <w:tcW w:w="674" w:type="pct"/>
                  <w:vMerge w:val="restart"/>
                  <w:tcBorders>
                    <w:left w:val="single" w:color="auto" w:sz="4" w:space="0"/>
                  </w:tcBorders>
                  <w:noWrap w:val="0"/>
                  <w:vAlign w:val="center"/>
                </w:tcPr>
                <w:p w14:paraId="3A3F976C">
                  <w:pPr>
                    <w:pStyle w:val="42"/>
                    <w:bidi w:val="0"/>
                    <w:jc w:val="center"/>
                    <w:rPr>
                      <w:rFonts w:hint="eastAsia" w:eastAsia="宋体"/>
                      <w:highlight w:val="yellow"/>
                      <w:lang w:val="en-US" w:eastAsia="zh-CN"/>
                    </w:rPr>
                  </w:pPr>
                  <w:r>
                    <w:rPr>
                      <w:rFonts w:hint="eastAsia"/>
                      <w:highlight w:val="none"/>
                      <w:lang w:val="en-US" w:eastAsia="zh-CN"/>
                    </w:rPr>
                    <w:t>检验科</w:t>
                  </w:r>
                </w:p>
              </w:tc>
            </w:tr>
            <w:tr w14:paraId="262025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451B78C9">
                  <w:pPr>
                    <w:pStyle w:val="42"/>
                    <w:bidi w:val="0"/>
                    <w:jc w:val="center"/>
                    <w:rPr>
                      <w:rFonts w:hint="default"/>
                    </w:rPr>
                  </w:pPr>
                </w:p>
              </w:tc>
              <w:tc>
                <w:tcPr>
                  <w:tcW w:w="1229" w:type="pct"/>
                  <w:noWrap w:val="0"/>
                  <w:vAlign w:val="center"/>
                </w:tcPr>
                <w:p w14:paraId="29404EEF">
                  <w:pPr>
                    <w:pStyle w:val="32"/>
                    <w:bidi w:val="0"/>
                    <w:jc w:val="center"/>
                    <w:rPr>
                      <w:rFonts w:hint="default"/>
                      <w:lang w:val="en-US" w:eastAsia="zh-CN"/>
                    </w:rPr>
                  </w:pPr>
                  <w:r>
                    <w:rPr>
                      <w:rFonts w:hint="eastAsia"/>
                      <w:lang w:val="en-US" w:eastAsia="zh-CN"/>
                    </w:rPr>
                    <w:t>生化分析用试剂</w:t>
                  </w:r>
                </w:p>
              </w:tc>
              <w:tc>
                <w:tcPr>
                  <w:tcW w:w="492" w:type="pct"/>
                  <w:shd w:val="clear" w:color="auto" w:fill="auto"/>
                  <w:noWrap w:val="0"/>
                  <w:vAlign w:val="center"/>
                </w:tcPr>
                <w:p w14:paraId="7C5716D0">
                  <w:pPr>
                    <w:pStyle w:val="32"/>
                    <w:bidi w:val="0"/>
                    <w:jc w:val="center"/>
                    <w:rPr>
                      <w:rFonts w:hint="eastAsia"/>
                      <w:lang w:val="en-US" w:eastAsia="zh-CN"/>
                    </w:rPr>
                  </w:pPr>
                  <w:r>
                    <w:rPr>
                      <w:rFonts w:hint="eastAsia"/>
                      <w:lang w:val="en-US" w:eastAsia="zh-CN"/>
                    </w:rPr>
                    <w:t>盒</w:t>
                  </w:r>
                </w:p>
              </w:tc>
              <w:tc>
                <w:tcPr>
                  <w:tcW w:w="590" w:type="pct"/>
                  <w:shd w:val="clear" w:color="auto" w:fill="auto"/>
                  <w:noWrap w:val="0"/>
                  <w:vAlign w:val="center"/>
                </w:tcPr>
                <w:p w14:paraId="748AC012">
                  <w:pPr>
                    <w:pStyle w:val="32"/>
                    <w:bidi w:val="0"/>
                    <w:jc w:val="center"/>
                    <w:rPr>
                      <w:rFonts w:hint="eastAsia"/>
                      <w:lang w:val="en-US" w:eastAsia="zh-CN"/>
                    </w:rPr>
                  </w:pPr>
                  <w:r>
                    <w:rPr>
                      <w:rFonts w:hint="eastAsia"/>
                      <w:lang w:val="en-US" w:eastAsia="zh-CN"/>
                    </w:rPr>
                    <w:t>10000</w:t>
                  </w:r>
                </w:p>
              </w:tc>
              <w:tc>
                <w:tcPr>
                  <w:tcW w:w="865" w:type="pct"/>
                  <w:tcBorders>
                    <w:right w:val="single" w:color="auto" w:sz="4" w:space="0"/>
                  </w:tcBorders>
                  <w:noWrap w:val="0"/>
                  <w:vAlign w:val="center"/>
                </w:tcPr>
                <w:p w14:paraId="30738B94">
                  <w:pPr>
                    <w:pStyle w:val="32"/>
                    <w:bidi w:val="0"/>
                    <w:jc w:val="center"/>
                    <w:rPr>
                      <w:rFonts w:hint="default"/>
                      <w:lang w:val="en-US" w:eastAsia="zh-CN"/>
                    </w:rPr>
                  </w:pPr>
                  <w:r>
                    <w:rPr>
                      <w:rFonts w:hint="eastAsia"/>
                      <w:lang w:val="en-US" w:eastAsia="zh-CN"/>
                    </w:rPr>
                    <w:t>3瓶/盒</w:t>
                  </w:r>
                </w:p>
              </w:tc>
              <w:tc>
                <w:tcPr>
                  <w:tcW w:w="748" w:type="pct"/>
                  <w:tcBorders>
                    <w:right w:val="single" w:color="auto" w:sz="4" w:space="0"/>
                  </w:tcBorders>
                  <w:noWrap w:val="0"/>
                  <w:vAlign w:val="center"/>
                </w:tcPr>
                <w:p w14:paraId="3247DB68">
                  <w:pPr>
                    <w:pStyle w:val="32"/>
                    <w:bidi w:val="0"/>
                    <w:jc w:val="center"/>
                    <w:rPr>
                      <w:rFonts w:hint="default"/>
                      <w:lang w:val="en-US" w:eastAsia="zh-CN"/>
                    </w:rPr>
                  </w:pPr>
                  <w:r>
                    <w:rPr>
                      <w:rFonts w:hint="eastAsia"/>
                      <w:lang w:val="en-US" w:eastAsia="zh-CN"/>
                    </w:rPr>
                    <w:t>2000</w:t>
                  </w:r>
                </w:p>
              </w:tc>
              <w:tc>
                <w:tcPr>
                  <w:tcW w:w="674" w:type="pct"/>
                  <w:vMerge w:val="continue"/>
                  <w:tcBorders>
                    <w:left w:val="single" w:color="auto" w:sz="4" w:space="0"/>
                  </w:tcBorders>
                  <w:noWrap w:val="0"/>
                  <w:vAlign w:val="center"/>
                </w:tcPr>
                <w:p w14:paraId="56A5F238">
                  <w:pPr>
                    <w:pStyle w:val="42"/>
                    <w:bidi w:val="0"/>
                    <w:jc w:val="center"/>
                    <w:rPr>
                      <w:rFonts w:hint="default"/>
                      <w:highlight w:val="yellow"/>
                    </w:rPr>
                  </w:pPr>
                </w:p>
              </w:tc>
            </w:tr>
            <w:tr w14:paraId="0C74DF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0FF060C3">
                  <w:pPr>
                    <w:pStyle w:val="42"/>
                    <w:bidi w:val="0"/>
                    <w:jc w:val="center"/>
                    <w:rPr>
                      <w:rFonts w:hint="default"/>
                    </w:rPr>
                  </w:pPr>
                </w:p>
              </w:tc>
              <w:tc>
                <w:tcPr>
                  <w:tcW w:w="1229" w:type="pct"/>
                  <w:noWrap w:val="0"/>
                  <w:vAlign w:val="center"/>
                </w:tcPr>
                <w:p w14:paraId="6ECF977B">
                  <w:pPr>
                    <w:pStyle w:val="32"/>
                    <w:bidi w:val="0"/>
                    <w:jc w:val="center"/>
                    <w:rPr>
                      <w:rFonts w:hint="default"/>
                      <w:lang w:val="en-US" w:eastAsia="zh-CN"/>
                    </w:rPr>
                  </w:pPr>
                  <w:r>
                    <w:rPr>
                      <w:rFonts w:hint="eastAsia"/>
                      <w:lang w:val="en-US" w:eastAsia="zh-CN"/>
                    </w:rPr>
                    <w:t>H-800专业尿液分析试纸</w:t>
                  </w:r>
                </w:p>
              </w:tc>
              <w:tc>
                <w:tcPr>
                  <w:tcW w:w="492" w:type="pct"/>
                  <w:noWrap w:val="0"/>
                  <w:vAlign w:val="center"/>
                </w:tcPr>
                <w:p w14:paraId="48009CA2">
                  <w:pPr>
                    <w:pStyle w:val="32"/>
                    <w:bidi w:val="0"/>
                    <w:jc w:val="center"/>
                    <w:rPr>
                      <w:rFonts w:hint="default"/>
                      <w:lang w:val="en-US" w:eastAsia="zh-CN"/>
                    </w:rPr>
                  </w:pPr>
                  <w:r>
                    <w:rPr>
                      <w:rFonts w:hint="eastAsia"/>
                      <w:lang w:val="en-US" w:eastAsia="zh-CN"/>
                    </w:rPr>
                    <w:t>筒</w:t>
                  </w:r>
                </w:p>
              </w:tc>
              <w:tc>
                <w:tcPr>
                  <w:tcW w:w="590" w:type="pct"/>
                  <w:noWrap w:val="0"/>
                  <w:vAlign w:val="center"/>
                </w:tcPr>
                <w:p w14:paraId="5B90B720">
                  <w:pPr>
                    <w:pStyle w:val="32"/>
                    <w:bidi w:val="0"/>
                    <w:jc w:val="center"/>
                    <w:rPr>
                      <w:rFonts w:hint="default"/>
                      <w:lang w:val="en-US" w:eastAsia="zh-CN"/>
                    </w:rPr>
                  </w:pPr>
                  <w:r>
                    <w:rPr>
                      <w:rFonts w:hint="eastAsia"/>
                      <w:lang w:val="en-US" w:eastAsia="zh-CN"/>
                    </w:rPr>
                    <w:t>5000</w:t>
                  </w:r>
                </w:p>
              </w:tc>
              <w:tc>
                <w:tcPr>
                  <w:tcW w:w="865" w:type="pct"/>
                  <w:tcBorders>
                    <w:right w:val="single" w:color="auto" w:sz="4" w:space="0"/>
                  </w:tcBorders>
                  <w:noWrap w:val="0"/>
                  <w:vAlign w:val="center"/>
                </w:tcPr>
                <w:p w14:paraId="0B2FBE65">
                  <w:pPr>
                    <w:pStyle w:val="32"/>
                    <w:bidi w:val="0"/>
                    <w:jc w:val="center"/>
                    <w:rPr>
                      <w:rFonts w:hint="default"/>
                      <w:lang w:val="en-US" w:eastAsia="zh-CN"/>
                    </w:rPr>
                  </w:pPr>
                  <w:r>
                    <w:rPr>
                      <w:rFonts w:hint="eastAsia"/>
                      <w:lang w:val="en-US" w:eastAsia="zh-CN"/>
                    </w:rPr>
                    <w:t>100条/筒</w:t>
                  </w:r>
                </w:p>
              </w:tc>
              <w:tc>
                <w:tcPr>
                  <w:tcW w:w="748" w:type="pct"/>
                  <w:tcBorders>
                    <w:right w:val="single" w:color="auto" w:sz="4" w:space="0"/>
                  </w:tcBorders>
                  <w:noWrap w:val="0"/>
                  <w:vAlign w:val="center"/>
                </w:tcPr>
                <w:p w14:paraId="75EBA4BC">
                  <w:pPr>
                    <w:pStyle w:val="32"/>
                    <w:bidi w:val="0"/>
                    <w:jc w:val="center"/>
                    <w:rPr>
                      <w:rFonts w:hint="default"/>
                      <w:lang w:val="en-US" w:eastAsia="zh-CN"/>
                    </w:rPr>
                  </w:pPr>
                  <w:r>
                    <w:rPr>
                      <w:rFonts w:hint="eastAsia"/>
                      <w:lang w:val="en-US" w:eastAsia="zh-CN"/>
                    </w:rPr>
                    <w:t>500</w:t>
                  </w:r>
                </w:p>
              </w:tc>
              <w:tc>
                <w:tcPr>
                  <w:tcW w:w="674" w:type="pct"/>
                  <w:vMerge w:val="continue"/>
                  <w:tcBorders>
                    <w:left w:val="single" w:color="auto" w:sz="4" w:space="0"/>
                  </w:tcBorders>
                  <w:noWrap w:val="0"/>
                  <w:vAlign w:val="center"/>
                </w:tcPr>
                <w:p w14:paraId="4A9C550F">
                  <w:pPr>
                    <w:pStyle w:val="42"/>
                    <w:bidi w:val="0"/>
                    <w:jc w:val="center"/>
                    <w:rPr>
                      <w:rFonts w:hint="default"/>
                      <w:highlight w:val="yellow"/>
                    </w:rPr>
                  </w:pPr>
                </w:p>
              </w:tc>
            </w:tr>
            <w:tr w14:paraId="3C186A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398" w:type="pct"/>
                  <w:vMerge w:val="continue"/>
                  <w:noWrap w:val="0"/>
                  <w:vAlign w:val="center"/>
                </w:tcPr>
                <w:p w14:paraId="02039E6B">
                  <w:pPr>
                    <w:pStyle w:val="42"/>
                    <w:bidi w:val="0"/>
                    <w:jc w:val="center"/>
                    <w:rPr>
                      <w:rFonts w:hint="default"/>
                    </w:rPr>
                  </w:pPr>
                </w:p>
              </w:tc>
              <w:tc>
                <w:tcPr>
                  <w:tcW w:w="1229" w:type="pct"/>
                  <w:noWrap w:val="0"/>
                  <w:vAlign w:val="center"/>
                </w:tcPr>
                <w:p w14:paraId="7E1665D9">
                  <w:pPr>
                    <w:pStyle w:val="42"/>
                    <w:bidi w:val="0"/>
                    <w:jc w:val="center"/>
                    <w:rPr>
                      <w:rFonts w:hint="default"/>
                      <w:lang w:val="en-US" w:eastAsia="zh-CN"/>
                    </w:rPr>
                  </w:pPr>
                  <w:r>
                    <w:rPr>
                      <w:rFonts w:hint="default"/>
                    </w:rPr>
                    <w:t>URIT910</w:t>
                  </w:r>
                  <w:r>
                    <w:rPr>
                      <w:rFonts w:hint="eastAsia"/>
                      <w:lang w:val="en-US" w:eastAsia="zh-CN"/>
                    </w:rPr>
                    <w:t>分析试剂</w:t>
                  </w:r>
                </w:p>
              </w:tc>
              <w:tc>
                <w:tcPr>
                  <w:tcW w:w="492" w:type="pct"/>
                  <w:noWrap w:val="0"/>
                  <w:vAlign w:val="center"/>
                </w:tcPr>
                <w:p w14:paraId="3C691EB4">
                  <w:pPr>
                    <w:pStyle w:val="42"/>
                    <w:bidi w:val="0"/>
                    <w:jc w:val="center"/>
                    <w:rPr>
                      <w:rFonts w:hint="default"/>
                      <w:lang w:val="en-US" w:eastAsia="zh-CN"/>
                    </w:rPr>
                  </w:pPr>
                  <w:r>
                    <w:rPr>
                      <w:rFonts w:hint="eastAsia"/>
                      <w:lang w:val="en-US" w:eastAsia="zh-CN"/>
                    </w:rPr>
                    <w:t>瓶</w:t>
                  </w:r>
                </w:p>
              </w:tc>
              <w:tc>
                <w:tcPr>
                  <w:tcW w:w="590" w:type="pct"/>
                  <w:noWrap w:val="0"/>
                  <w:vAlign w:val="center"/>
                </w:tcPr>
                <w:p w14:paraId="01E1BB94">
                  <w:pPr>
                    <w:pStyle w:val="42"/>
                    <w:bidi w:val="0"/>
                    <w:jc w:val="center"/>
                    <w:rPr>
                      <w:rFonts w:hint="default"/>
                      <w:lang w:val="en-US" w:eastAsia="zh-CN"/>
                    </w:rPr>
                  </w:pPr>
                  <w:r>
                    <w:rPr>
                      <w:rFonts w:hint="eastAsia"/>
                      <w:lang w:val="en-US" w:eastAsia="zh-CN"/>
                    </w:rPr>
                    <w:t>500</w:t>
                  </w:r>
                </w:p>
              </w:tc>
              <w:tc>
                <w:tcPr>
                  <w:tcW w:w="865" w:type="pct"/>
                  <w:tcBorders>
                    <w:right w:val="single" w:color="auto" w:sz="4" w:space="0"/>
                  </w:tcBorders>
                  <w:noWrap w:val="0"/>
                  <w:vAlign w:val="center"/>
                </w:tcPr>
                <w:p w14:paraId="3766A843">
                  <w:pPr>
                    <w:pStyle w:val="42"/>
                    <w:bidi w:val="0"/>
                    <w:jc w:val="center"/>
                    <w:rPr>
                      <w:rFonts w:hint="default"/>
                      <w:lang w:val="en-US" w:eastAsia="zh-CN"/>
                    </w:rPr>
                  </w:pPr>
                  <w:r>
                    <w:rPr>
                      <w:rFonts w:hint="eastAsia"/>
                      <w:lang w:val="en-US" w:eastAsia="zh-CN"/>
                    </w:rPr>
                    <w:t>100ml/瓶</w:t>
                  </w:r>
                </w:p>
              </w:tc>
              <w:tc>
                <w:tcPr>
                  <w:tcW w:w="748" w:type="pct"/>
                  <w:tcBorders>
                    <w:right w:val="single" w:color="auto" w:sz="4" w:space="0"/>
                  </w:tcBorders>
                  <w:noWrap w:val="0"/>
                  <w:vAlign w:val="center"/>
                </w:tcPr>
                <w:p w14:paraId="138F2055">
                  <w:pPr>
                    <w:pStyle w:val="42"/>
                    <w:bidi w:val="0"/>
                    <w:jc w:val="center"/>
                    <w:rPr>
                      <w:rFonts w:hint="default"/>
                      <w:lang w:val="en-US" w:eastAsia="zh-CN"/>
                    </w:rPr>
                  </w:pPr>
                  <w:r>
                    <w:rPr>
                      <w:rFonts w:hint="eastAsia"/>
                      <w:lang w:val="en-US" w:eastAsia="zh-CN"/>
                    </w:rPr>
                    <w:t>100</w:t>
                  </w:r>
                </w:p>
              </w:tc>
              <w:tc>
                <w:tcPr>
                  <w:tcW w:w="674" w:type="pct"/>
                  <w:vMerge w:val="continue"/>
                  <w:tcBorders>
                    <w:left w:val="single" w:color="auto" w:sz="4" w:space="0"/>
                  </w:tcBorders>
                  <w:noWrap w:val="0"/>
                  <w:vAlign w:val="center"/>
                </w:tcPr>
                <w:p w14:paraId="0C951045">
                  <w:pPr>
                    <w:pStyle w:val="42"/>
                    <w:bidi w:val="0"/>
                    <w:jc w:val="center"/>
                    <w:rPr>
                      <w:rFonts w:hint="default"/>
                      <w:highlight w:val="yellow"/>
                    </w:rPr>
                  </w:pPr>
                </w:p>
              </w:tc>
            </w:tr>
            <w:tr w14:paraId="5909E8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8" w:type="pct"/>
                  <w:noWrap w:val="0"/>
                  <w:vAlign w:val="center"/>
                </w:tcPr>
                <w:p w14:paraId="07BFF46E">
                  <w:pPr>
                    <w:pStyle w:val="42"/>
                    <w:bidi w:val="0"/>
                    <w:jc w:val="center"/>
                    <w:rPr>
                      <w:rFonts w:hint="eastAsia" w:eastAsia="宋体"/>
                      <w:lang w:val="en-US" w:eastAsia="zh-CN"/>
                    </w:rPr>
                  </w:pPr>
                  <w:r>
                    <w:rPr>
                      <w:rFonts w:hint="eastAsia"/>
                      <w:lang w:val="en-US" w:eastAsia="zh-CN"/>
                    </w:rPr>
                    <w:t>消毒</w:t>
                  </w:r>
                </w:p>
              </w:tc>
              <w:tc>
                <w:tcPr>
                  <w:tcW w:w="1229" w:type="pct"/>
                  <w:noWrap w:val="0"/>
                  <w:vAlign w:val="center"/>
                </w:tcPr>
                <w:p w14:paraId="0E94CB58">
                  <w:pPr>
                    <w:pStyle w:val="42"/>
                    <w:bidi w:val="0"/>
                    <w:jc w:val="center"/>
                    <w:rPr>
                      <w:rFonts w:hint="eastAsia" w:eastAsia="宋体"/>
                      <w:lang w:eastAsia="zh-CN"/>
                    </w:rPr>
                  </w:pPr>
                  <w:r>
                    <w:rPr>
                      <w:rFonts w:hint="eastAsia"/>
                      <w:lang w:val="en-US" w:eastAsia="zh-CN"/>
                    </w:rPr>
                    <w:t>84消毒液（含次氯酸钠（13%））</w:t>
                  </w:r>
                </w:p>
              </w:tc>
              <w:tc>
                <w:tcPr>
                  <w:tcW w:w="492" w:type="pct"/>
                  <w:noWrap w:val="0"/>
                  <w:vAlign w:val="center"/>
                </w:tcPr>
                <w:p w14:paraId="74D9D906">
                  <w:pPr>
                    <w:pStyle w:val="42"/>
                    <w:bidi w:val="0"/>
                    <w:jc w:val="center"/>
                    <w:rPr>
                      <w:rFonts w:hint="eastAsia" w:eastAsia="宋体"/>
                      <w:lang w:val="en-US" w:eastAsia="zh-CN"/>
                    </w:rPr>
                  </w:pPr>
                  <w:r>
                    <w:rPr>
                      <w:rFonts w:hint="eastAsia"/>
                      <w:lang w:val="en-US" w:eastAsia="zh-CN"/>
                    </w:rPr>
                    <w:t>吨</w:t>
                  </w:r>
                </w:p>
              </w:tc>
              <w:tc>
                <w:tcPr>
                  <w:tcW w:w="590" w:type="pct"/>
                  <w:noWrap w:val="0"/>
                  <w:vAlign w:val="center"/>
                </w:tcPr>
                <w:p w14:paraId="02D969BB">
                  <w:pPr>
                    <w:pStyle w:val="42"/>
                    <w:bidi w:val="0"/>
                    <w:jc w:val="center"/>
                    <w:rPr>
                      <w:rFonts w:hint="default" w:eastAsia="宋体"/>
                      <w:lang w:val="en-US" w:eastAsia="zh-CN"/>
                    </w:rPr>
                  </w:pPr>
                  <w:r>
                    <w:rPr>
                      <w:rFonts w:hint="eastAsia"/>
                      <w:lang w:val="en-US" w:eastAsia="zh-CN"/>
                    </w:rPr>
                    <w:t>3.6</w:t>
                  </w:r>
                </w:p>
              </w:tc>
              <w:tc>
                <w:tcPr>
                  <w:tcW w:w="865" w:type="pct"/>
                  <w:tcBorders>
                    <w:right w:val="single" w:color="auto" w:sz="4" w:space="0"/>
                  </w:tcBorders>
                  <w:noWrap w:val="0"/>
                  <w:vAlign w:val="center"/>
                </w:tcPr>
                <w:p w14:paraId="4F8F0B26">
                  <w:pPr>
                    <w:pStyle w:val="42"/>
                    <w:bidi w:val="0"/>
                    <w:jc w:val="center"/>
                    <w:rPr>
                      <w:rFonts w:hint="default" w:eastAsia="宋体"/>
                      <w:lang w:val="en-US" w:eastAsia="zh-CN"/>
                    </w:rPr>
                  </w:pPr>
                  <w:r>
                    <w:rPr>
                      <w:rFonts w:hint="eastAsia"/>
                      <w:lang w:val="en-US" w:eastAsia="zh-CN"/>
                    </w:rPr>
                    <w:t>20kg/桶</w:t>
                  </w:r>
                </w:p>
              </w:tc>
              <w:tc>
                <w:tcPr>
                  <w:tcW w:w="748" w:type="pct"/>
                  <w:tcBorders>
                    <w:right w:val="single" w:color="auto" w:sz="4" w:space="0"/>
                  </w:tcBorders>
                  <w:noWrap w:val="0"/>
                  <w:vAlign w:val="center"/>
                </w:tcPr>
                <w:p w14:paraId="39FECB27">
                  <w:pPr>
                    <w:pStyle w:val="42"/>
                    <w:bidi w:val="0"/>
                    <w:jc w:val="center"/>
                    <w:rPr>
                      <w:rFonts w:hint="default" w:eastAsia="宋体"/>
                      <w:lang w:val="en-US" w:eastAsia="zh-CN"/>
                    </w:rPr>
                  </w:pPr>
                  <w:r>
                    <w:rPr>
                      <w:rFonts w:hint="eastAsia"/>
                      <w:lang w:val="en-US" w:eastAsia="zh-CN"/>
                    </w:rPr>
                    <w:t>0.3</w:t>
                  </w:r>
                </w:p>
              </w:tc>
              <w:tc>
                <w:tcPr>
                  <w:tcW w:w="674" w:type="pct"/>
                  <w:tcBorders>
                    <w:left w:val="single" w:color="auto" w:sz="4" w:space="0"/>
                  </w:tcBorders>
                  <w:noWrap w:val="0"/>
                  <w:vAlign w:val="center"/>
                </w:tcPr>
                <w:p w14:paraId="20CB189F">
                  <w:pPr>
                    <w:pStyle w:val="42"/>
                    <w:bidi w:val="0"/>
                    <w:jc w:val="center"/>
                    <w:rPr>
                      <w:rFonts w:hint="default" w:eastAsia="宋体"/>
                      <w:lang w:val="en-US" w:eastAsia="zh-CN"/>
                    </w:rPr>
                  </w:pPr>
                  <w:r>
                    <w:rPr>
                      <w:rFonts w:hint="eastAsia"/>
                      <w:lang w:val="en-US" w:eastAsia="zh-CN"/>
                    </w:rPr>
                    <w:t>污水站消毒间</w:t>
                  </w:r>
                </w:p>
              </w:tc>
            </w:tr>
            <w:tr w14:paraId="01267E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4" w:hRule="atLeast"/>
                <w:jc w:val="center"/>
              </w:trPr>
              <w:tc>
                <w:tcPr>
                  <w:tcW w:w="398" w:type="pct"/>
                  <w:vMerge w:val="restart"/>
                  <w:noWrap w:val="0"/>
                  <w:vAlign w:val="center"/>
                </w:tcPr>
                <w:p w14:paraId="41771480">
                  <w:pPr>
                    <w:pStyle w:val="42"/>
                    <w:bidi w:val="0"/>
                    <w:jc w:val="center"/>
                    <w:rPr>
                      <w:rFonts w:hint="default"/>
                    </w:rPr>
                  </w:pPr>
                  <w:r>
                    <w:rPr>
                      <w:rFonts w:hint="default"/>
                    </w:rPr>
                    <w:t>能源消耗</w:t>
                  </w:r>
                </w:p>
              </w:tc>
              <w:tc>
                <w:tcPr>
                  <w:tcW w:w="1229" w:type="pct"/>
                  <w:noWrap w:val="0"/>
                  <w:vAlign w:val="center"/>
                </w:tcPr>
                <w:p w14:paraId="7C518CD7">
                  <w:pPr>
                    <w:pStyle w:val="42"/>
                    <w:bidi w:val="0"/>
                    <w:jc w:val="center"/>
                    <w:rPr>
                      <w:rFonts w:hint="default"/>
                    </w:rPr>
                  </w:pPr>
                  <w:r>
                    <w:rPr>
                      <w:rFonts w:hint="default"/>
                    </w:rPr>
                    <w:t>电</w:t>
                  </w:r>
                </w:p>
              </w:tc>
              <w:tc>
                <w:tcPr>
                  <w:tcW w:w="492" w:type="pct"/>
                  <w:noWrap w:val="0"/>
                  <w:vAlign w:val="center"/>
                </w:tcPr>
                <w:p w14:paraId="46CD121E">
                  <w:pPr>
                    <w:pStyle w:val="42"/>
                    <w:bidi w:val="0"/>
                    <w:jc w:val="center"/>
                    <w:rPr>
                      <w:rFonts w:hint="default" w:eastAsia="宋体"/>
                      <w:lang w:val="en-US" w:eastAsia="zh-CN"/>
                    </w:rPr>
                  </w:pPr>
                  <w:r>
                    <w:rPr>
                      <w:rFonts w:hint="default"/>
                    </w:rPr>
                    <w:t>kw.h</w:t>
                  </w:r>
                  <w:r>
                    <w:rPr>
                      <w:rFonts w:hint="eastAsia"/>
                      <w:lang w:val="en-US" w:eastAsia="zh-CN"/>
                    </w:rPr>
                    <w:t>.a</w:t>
                  </w:r>
                </w:p>
              </w:tc>
              <w:tc>
                <w:tcPr>
                  <w:tcW w:w="2204" w:type="pct"/>
                  <w:gridSpan w:val="3"/>
                  <w:tcBorders>
                    <w:right w:val="single" w:color="auto" w:sz="4" w:space="0"/>
                  </w:tcBorders>
                  <w:noWrap w:val="0"/>
                  <w:vAlign w:val="center"/>
                </w:tcPr>
                <w:p w14:paraId="5C298062">
                  <w:pPr>
                    <w:pStyle w:val="42"/>
                    <w:bidi w:val="0"/>
                    <w:jc w:val="center"/>
                    <w:rPr>
                      <w:rFonts w:hint="default"/>
                      <w:highlight w:val="none"/>
                    </w:rPr>
                  </w:pPr>
                  <w:r>
                    <w:rPr>
                      <w:rFonts w:hint="eastAsia"/>
                      <w:highlight w:val="none"/>
                      <w:lang w:val="en-US" w:eastAsia="zh-CN"/>
                    </w:rPr>
                    <w:t>100</w:t>
                  </w:r>
                  <w:r>
                    <w:rPr>
                      <w:rFonts w:hint="default"/>
                      <w:highlight w:val="none"/>
                    </w:rPr>
                    <w:t>万</w:t>
                  </w:r>
                </w:p>
              </w:tc>
              <w:tc>
                <w:tcPr>
                  <w:tcW w:w="674" w:type="pct"/>
                  <w:tcBorders>
                    <w:left w:val="single" w:color="auto" w:sz="4" w:space="0"/>
                  </w:tcBorders>
                  <w:noWrap w:val="0"/>
                  <w:vAlign w:val="center"/>
                </w:tcPr>
                <w:p w14:paraId="1892D0BF">
                  <w:pPr>
                    <w:pStyle w:val="42"/>
                    <w:bidi w:val="0"/>
                    <w:jc w:val="center"/>
                    <w:rPr>
                      <w:rFonts w:hint="default"/>
                    </w:rPr>
                  </w:pPr>
                  <w:r>
                    <w:rPr>
                      <w:rFonts w:hint="default"/>
                    </w:rPr>
                    <w:t>市政供电网</w:t>
                  </w:r>
                </w:p>
              </w:tc>
            </w:tr>
            <w:tr w14:paraId="2DD2C2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8" w:type="pct"/>
                  <w:vMerge w:val="continue"/>
                  <w:noWrap w:val="0"/>
                  <w:vAlign w:val="center"/>
                </w:tcPr>
                <w:p w14:paraId="5E9CCE77">
                  <w:pPr>
                    <w:pStyle w:val="42"/>
                    <w:bidi w:val="0"/>
                    <w:jc w:val="center"/>
                    <w:rPr>
                      <w:rFonts w:hint="default"/>
                    </w:rPr>
                  </w:pPr>
                </w:p>
              </w:tc>
              <w:tc>
                <w:tcPr>
                  <w:tcW w:w="1229" w:type="pct"/>
                  <w:noWrap w:val="0"/>
                  <w:vAlign w:val="center"/>
                </w:tcPr>
                <w:p w14:paraId="7F9FC003">
                  <w:pPr>
                    <w:pStyle w:val="42"/>
                    <w:bidi w:val="0"/>
                    <w:jc w:val="center"/>
                    <w:rPr>
                      <w:rFonts w:hint="default"/>
                    </w:rPr>
                  </w:pPr>
                  <w:r>
                    <w:rPr>
                      <w:rFonts w:hint="default"/>
                    </w:rPr>
                    <w:t>水</w:t>
                  </w:r>
                </w:p>
              </w:tc>
              <w:tc>
                <w:tcPr>
                  <w:tcW w:w="492" w:type="pct"/>
                  <w:noWrap w:val="0"/>
                  <w:vAlign w:val="center"/>
                </w:tcPr>
                <w:p w14:paraId="18AB7CE2">
                  <w:pPr>
                    <w:pStyle w:val="42"/>
                    <w:bidi w:val="0"/>
                    <w:jc w:val="center"/>
                    <w:rPr>
                      <w:rFonts w:hint="eastAsia" w:eastAsia="宋体"/>
                      <w:lang w:eastAsia="zh-CN"/>
                    </w:rPr>
                  </w:pPr>
                  <w:r>
                    <w:rPr>
                      <w:rFonts w:hint="eastAsia"/>
                      <w:lang w:val="en-US" w:eastAsia="zh-CN"/>
                    </w:rPr>
                    <w:t>m³</w:t>
                  </w:r>
                </w:p>
              </w:tc>
              <w:tc>
                <w:tcPr>
                  <w:tcW w:w="2204" w:type="pct"/>
                  <w:gridSpan w:val="3"/>
                  <w:tcBorders>
                    <w:right w:val="single" w:color="auto" w:sz="4" w:space="0"/>
                  </w:tcBorders>
                  <w:noWrap w:val="0"/>
                  <w:vAlign w:val="center"/>
                </w:tcPr>
                <w:p w14:paraId="3A5C5004">
                  <w:pPr>
                    <w:pStyle w:val="42"/>
                    <w:bidi w:val="0"/>
                    <w:jc w:val="center"/>
                    <w:rPr>
                      <w:rFonts w:hint="default" w:eastAsia="宋体"/>
                      <w:highlight w:val="none"/>
                      <w:lang w:val="en-US" w:eastAsia="zh-CN"/>
                    </w:rPr>
                  </w:pPr>
                  <w:r>
                    <w:rPr>
                      <w:rFonts w:hint="eastAsia"/>
                      <w:highlight w:val="none"/>
                      <w:lang w:val="en-US" w:eastAsia="zh-CN"/>
                    </w:rPr>
                    <w:t>37881</w:t>
                  </w:r>
                </w:p>
              </w:tc>
              <w:tc>
                <w:tcPr>
                  <w:tcW w:w="674" w:type="pct"/>
                  <w:tcBorders>
                    <w:left w:val="single" w:color="auto" w:sz="4" w:space="0"/>
                  </w:tcBorders>
                  <w:noWrap w:val="0"/>
                  <w:vAlign w:val="center"/>
                </w:tcPr>
                <w:p w14:paraId="6F1FFAD1">
                  <w:pPr>
                    <w:pStyle w:val="42"/>
                    <w:bidi w:val="0"/>
                    <w:jc w:val="center"/>
                    <w:rPr>
                      <w:rFonts w:hint="default"/>
                    </w:rPr>
                  </w:pPr>
                  <w:r>
                    <w:rPr>
                      <w:rFonts w:hint="default"/>
                    </w:rPr>
                    <w:t>市政给水管网</w:t>
                  </w:r>
                </w:p>
              </w:tc>
            </w:tr>
          </w:tbl>
          <w:p w14:paraId="3A34A7B3">
            <w:pPr>
              <w:bidi w:val="0"/>
              <w:rPr>
                <w:rFonts w:hint="default"/>
                <w:b/>
                <w:bCs/>
                <w:lang w:val="en-US" w:eastAsia="zh-CN"/>
              </w:rPr>
            </w:pPr>
            <w:r>
              <w:rPr>
                <w:rFonts w:hint="eastAsia"/>
                <w:b/>
                <w:bCs/>
                <w:lang w:val="en-US" w:eastAsia="zh-CN"/>
              </w:rPr>
              <w:t>原辅材料理化性质如下：</w:t>
            </w:r>
          </w:p>
          <w:p w14:paraId="071897C8">
            <w:pPr>
              <w:pStyle w:val="27"/>
              <w:bidi w:val="0"/>
              <w:rPr>
                <w:rFonts w:hint="eastAsia"/>
              </w:rPr>
            </w:pPr>
            <w:r>
              <w:rPr>
                <w:rFonts w:hint="eastAsia"/>
              </w:rPr>
              <w:t>表2-</w:t>
            </w:r>
            <w:r>
              <w:rPr>
                <w:rFonts w:hint="eastAsia"/>
                <w:lang w:val="en-US" w:eastAsia="zh-CN"/>
              </w:rPr>
              <w:t xml:space="preserve">8  </w:t>
            </w:r>
            <w:r>
              <w:rPr>
                <w:rFonts w:hint="eastAsia"/>
              </w:rPr>
              <w:t>主要原辅材料</w:t>
            </w:r>
            <w:r>
              <w:rPr>
                <w:rFonts w:hint="eastAsia"/>
                <w:lang w:val="en-US" w:eastAsia="zh-CN"/>
              </w:rPr>
              <w:t>理化性质</w:t>
            </w:r>
            <w:r>
              <w:rPr>
                <w:rFonts w:hint="eastAsia"/>
              </w:rPr>
              <w:t>一览表</w:t>
            </w:r>
          </w:p>
          <w:tbl>
            <w:tblPr>
              <w:tblStyle w:val="19"/>
              <w:tblW w:w="8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050"/>
              <w:gridCol w:w="3327"/>
              <w:gridCol w:w="1890"/>
              <w:gridCol w:w="1554"/>
            </w:tblGrid>
            <w:tr w14:paraId="5104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3A693EEC">
                  <w:pPr>
                    <w:pStyle w:val="32"/>
                    <w:bidi w:val="0"/>
                    <w:jc w:val="center"/>
                    <w:rPr>
                      <w:rFonts w:hint="default"/>
                      <w:b/>
                      <w:bCs/>
                      <w:lang w:val="en-US" w:eastAsia="zh-CN"/>
                    </w:rPr>
                  </w:pPr>
                  <w:r>
                    <w:rPr>
                      <w:rFonts w:hint="eastAsia"/>
                      <w:b/>
                      <w:bCs/>
                      <w:lang w:val="en-US" w:eastAsia="zh-CN"/>
                    </w:rPr>
                    <w:t>名称</w:t>
                  </w:r>
                </w:p>
              </w:tc>
              <w:tc>
                <w:tcPr>
                  <w:tcW w:w="1050" w:type="dxa"/>
                  <w:vAlign w:val="center"/>
                </w:tcPr>
                <w:p w14:paraId="27941AB2">
                  <w:pPr>
                    <w:pStyle w:val="32"/>
                    <w:bidi w:val="0"/>
                    <w:jc w:val="center"/>
                    <w:rPr>
                      <w:rFonts w:hint="default"/>
                      <w:b/>
                      <w:bCs/>
                      <w:lang w:val="en-US" w:eastAsia="zh-CN"/>
                    </w:rPr>
                  </w:pPr>
                  <w:r>
                    <w:rPr>
                      <w:rFonts w:hint="eastAsia"/>
                      <w:b/>
                      <w:bCs/>
                      <w:lang w:val="en-US" w:eastAsia="zh-CN"/>
                    </w:rPr>
                    <w:t>分子式</w:t>
                  </w:r>
                </w:p>
              </w:tc>
              <w:tc>
                <w:tcPr>
                  <w:tcW w:w="3327" w:type="dxa"/>
                  <w:vAlign w:val="center"/>
                </w:tcPr>
                <w:p w14:paraId="29D57084">
                  <w:pPr>
                    <w:pStyle w:val="32"/>
                    <w:bidi w:val="0"/>
                    <w:jc w:val="center"/>
                    <w:rPr>
                      <w:rFonts w:hint="default"/>
                      <w:b/>
                      <w:bCs/>
                      <w:lang w:val="en-US" w:eastAsia="zh-CN"/>
                    </w:rPr>
                  </w:pPr>
                  <w:r>
                    <w:rPr>
                      <w:rFonts w:hint="eastAsia"/>
                      <w:b/>
                      <w:bCs/>
                      <w:lang w:val="en-US" w:eastAsia="zh-CN"/>
                    </w:rPr>
                    <w:t>理化性质</w:t>
                  </w:r>
                </w:p>
              </w:tc>
              <w:tc>
                <w:tcPr>
                  <w:tcW w:w="1890" w:type="dxa"/>
                  <w:vAlign w:val="center"/>
                </w:tcPr>
                <w:p w14:paraId="66459D85">
                  <w:pPr>
                    <w:pStyle w:val="32"/>
                    <w:bidi w:val="0"/>
                    <w:jc w:val="center"/>
                    <w:rPr>
                      <w:rFonts w:hint="default"/>
                      <w:b/>
                      <w:bCs/>
                      <w:lang w:val="en-US" w:eastAsia="zh-CN"/>
                    </w:rPr>
                  </w:pPr>
                  <w:r>
                    <w:rPr>
                      <w:rFonts w:hint="eastAsia"/>
                      <w:b/>
                      <w:bCs/>
                      <w:lang w:val="en-US" w:eastAsia="zh-CN"/>
                    </w:rPr>
                    <w:t>毒理特性</w:t>
                  </w:r>
                </w:p>
              </w:tc>
              <w:tc>
                <w:tcPr>
                  <w:tcW w:w="1554" w:type="dxa"/>
                  <w:vAlign w:val="center"/>
                </w:tcPr>
                <w:p w14:paraId="04C1020D">
                  <w:pPr>
                    <w:pStyle w:val="32"/>
                    <w:bidi w:val="0"/>
                    <w:jc w:val="center"/>
                    <w:rPr>
                      <w:rFonts w:hint="default"/>
                      <w:b/>
                      <w:bCs/>
                      <w:lang w:val="en-US" w:eastAsia="zh-CN"/>
                    </w:rPr>
                  </w:pPr>
                  <w:r>
                    <w:rPr>
                      <w:rFonts w:hint="eastAsia"/>
                      <w:b/>
                      <w:bCs/>
                      <w:lang w:val="en-US" w:eastAsia="zh-CN"/>
                    </w:rPr>
                    <w:t>燃烧爆炸特性</w:t>
                  </w:r>
                </w:p>
              </w:tc>
            </w:tr>
            <w:tr w14:paraId="68C3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7AFEF209">
                  <w:pPr>
                    <w:pStyle w:val="32"/>
                    <w:bidi w:val="0"/>
                    <w:jc w:val="center"/>
                    <w:rPr>
                      <w:rFonts w:hint="default"/>
                      <w:lang w:val="en-US" w:eastAsia="zh-CN"/>
                    </w:rPr>
                  </w:pPr>
                  <w:r>
                    <w:rPr>
                      <w:rFonts w:hint="eastAsia"/>
                      <w:highlight w:val="none"/>
                      <w:lang w:val="en-US" w:eastAsia="zh-CN"/>
                    </w:rPr>
                    <w:t>酒精</w:t>
                  </w:r>
                </w:p>
              </w:tc>
              <w:tc>
                <w:tcPr>
                  <w:tcW w:w="1050" w:type="dxa"/>
                  <w:vAlign w:val="center"/>
                </w:tcPr>
                <w:p w14:paraId="70BBFEE8">
                  <w:pPr>
                    <w:pStyle w:val="32"/>
                    <w:bidi w:val="0"/>
                    <w:jc w:val="center"/>
                    <w:rPr>
                      <w:rFonts w:hint="default"/>
                      <w:lang w:val="en-US" w:eastAsia="zh-CN"/>
                    </w:rPr>
                  </w:pPr>
                  <w:r>
                    <w:rPr>
                      <w:rFonts w:hint="eastAsia"/>
                      <w:lang w:val="en-US" w:eastAsia="zh-CN"/>
                    </w:rPr>
                    <w:t>C</w:t>
                  </w:r>
                  <w:r>
                    <w:rPr>
                      <w:rFonts w:hint="eastAsia"/>
                      <w:vertAlign w:val="subscript"/>
                      <w:lang w:val="en-US" w:eastAsia="zh-CN"/>
                    </w:rPr>
                    <w:t>2</w:t>
                  </w:r>
                  <w:r>
                    <w:rPr>
                      <w:rFonts w:hint="eastAsia"/>
                      <w:lang w:val="en-US" w:eastAsia="zh-CN"/>
                    </w:rPr>
                    <w:t>H</w:t>
                  </w:r>
                  <w:r>
                    <w:rPr>
                      <w:rFonts w:hint="eastAsia"/>
                      <w:vertAlign w:val="subscript"/>
                      <w:lang w:val="en-US" w:eastAsia="zh-CN"/>
                    </w:rPr>
                    <w:t>6</w:t>
                  </w:r>
                  <w:r>
                    <w:rPr>
                      <w:rFonts w:hint="eastAsia"/>
                      <w:lang w:val="en-US" w:eastAsia="zh-CN"/>
                    </w:rPr>
                    <w:t>O</w:t>
                  </w:r>
                </w:p>
              </w:tc>
              <w:tc>
                <w:tcPr>
                  <w:tcW w:w="3327" w:type="dxa"/>
                  <w:vAlign w:val="center"/>
                </w:tcPr>
                <w:p w14:paraId="2C9FEE79">
                  <w:pPr>
                    <w:pStyle w:val="32"/>
                    <w:bidi w:val="0"/>
                    <w:jc w:val="center"/>
                    <w:rPr>
                      <w:rFonts w:hint="eastAsia"/>
                      <w:lang w:val="en-US" w:eastAsia="zh-CN"/>
                    </w:rPr>
                  </w:pPr>
                  <w:r>
                    <w:rPr>
                      <w:rFonts w:hint="eastAsia"/>
                      <w:lang w:val="en-US" w:eastAsia="zh-CN"/>
                    </w:rPr>
                    <w:t>性状:无色液体，有酒香。</w:t>
                  </w:r>
                </w:p>
                <w:p w14:paraId="120393FC">
                  <w:pPr>
                    <w:pStyle w:val="32"/>
                    <w:bidi w:val="0"/>
                    <w:jc w:val="center"/>
                    <w:rPr>
                      <w:rFonts w:hint="eastAsia"/>
                      <w:lang w:val="en-US" w:eastAsia="zh-CN"/>
                    </w:rPr>
                  </w:pPr>
                  <w:r>
                    <w:rPr>
                      <w:rFonts w:hint="eastAsia"/>
                      <w:lang w:val="en-US" w:eastAsia="zh-CN"/>
                    </w:rPr>
                    <w:t>熔点(℃):-114.1</w:t>
                  </w:r>
                </w:p>
                <w:p w14:paraId="7521BA35">
                  <w:pPr>
                    <w:pStyle w:val="32"/>
                    <w:bidi w:val="0"/>
                    <w:jc w:val="center"/>
                    <w:rPr>
                      <w:rFonts w:hint="eastAsia"/>
                      <w:lang w:val="en-US" w:eastAsia="zh-CN"/>
                    </w:rPr>
                  </w:pPr>
                  <w:r>
                    <w:rPr>
                      <w:rFonts w:hint="eastAsia"/>
                      <w:lang w:val="en-US" w:eastAsia="zh-CN"/>
                    </w:rPr>
                    <w:t>沸点(℃):78.3</w:t>
                  </w:r>
                </w:p>
                <w:p w14:paraId="2AC6D8BD">
                  <w:pPr>
                    <w:pStyle w:val="32"/>
                    <w:bidi w:val="0"/>
                    <w:jc w:val="center"/>
                    <w:rPr>
                      <w:rFonts w:hint="eastAsia"/>
                      <w:lang w:val="en-US" w:eastAsia="zh-CN"/>
                    </w:rPr>
                  </w:pPr>
                  <w:r>
                    <w:rPr>
                      <w:rFonts w:hint="eastAsia"/>
                      <w:lang w:val="en-US" w:eastAsia="zh-CN"/>
                    </w:rPr>
                    <w:t>分子量:46.07</w:t>
                  </w:r>
                </w:p>
                <w:p w14:paraId="5B0882C0">
                  <w:pPr>
                    <w:pStyle w:val="32"/>
                    <w:bidi w:val="0"/>
                    <w:jc w:val="center"/>
                    <w:rPr>
                      <w:rFonts w:hint="eastAsia"/>
                      <w:lang w:val="en-US" w:eastAsia="zh-CN"/>
                    </w:rPr>
                  </w:pPr>
                  <w:r>
                    <w:rPr>
                      <w:rFonts w:hint="eastAsia"/>
                      <w:lang w:val="en-US" w:eastAsia="zh-CN"/>
                    </w:rPr>
                    <w:t>闪点(℃):12</w:t>
                  </w:r>
                </w:p>
                <w:p w14:paraId="7CF30A7D">
                  <w:pPr>
                    <w:pStyle w:val="32"/>
                    <w:bidi w:val="0"/>
                    <w:jc w:val="center"/>
                    <w:rPr>
                      <w:rFonts w:hint="eastAsia"/>
                      <w:lang w:val="en-US" w:eastAsia="zh-CN"/>
                    </w:rPr>
                  </w:pPr>
                  <w:r>
                    <w:rPr>
                      <w:rFonts w:hint="eastAsia"/>
                      <w:lang w:val="en-US" w:eastAsia="zh-CN"/>
                    </w:rPr>
                    <w:t>相对密度(水=1):0.79</w:t>
                  </w:r>
                </w:p>
                <w:p w14:paraId="42E00C2B">
                  <w:pPr>
                    <w:pStyle w:val="32"/>
                    <w:bidi w:val="0"/>
                    <w:jc w:val="center"/>
                    <w:rPr>
                      <w:rFonts w:hint="eastAsia"/>
                      <w:lang w:val="en-US" w:eastAsia="zh-CN"/>
                    </w:rPr>
                  </w:pPr>
                  <w:r>
                    <w:rPr>
                      <w:rFonts w:hint="eastAsia"/>
                      <w:lang w:val="en-US" w:eastAsia="zh-CN"/>
                    </w:rPr>
                    <w:t>引燃温度(℃):363</w:t>
                  </w:r>
                </w:p>
                <w:p w14:paraId="470F7F30">
                  <w:pPr>
                    <w:pStyle w:val="32"/>
                    <w:bidi w:val="0"/>
                    <w:jc w:val="center"/>
                    <w:rPr>
                      <w:rFonts w:hint="eastAsia"/>
                      <w:lang w:val="en-US" w:eastAsia="zh-CN"/>
                    </w:rPr>
                  </w:pPr>
                  <w:r>
                    <w:rPr>
                      <w:rFonts w:hint="eastAsia"/>
                      <w:lang w:val="en-US" w:eastAsia="zh-CN"/>
                    </w:rPr>
                    <w:t>溶解性:与水混溶，可混溶于醚、氯仿、甘油等多数有机溶剂。</w:t>
                  </w:r>
                </w:p>
              </w:tc>
              <w:tc>
                <w:tcPr>
                  <w:tcW w:w="1890" w:type="dxa"/>
                  <w:vAlign w:val="center"/>
                </w:tcPr>
                <w:p w14:paraId="31E83511">
                  <w:pPr>
                    <w:pStyle w:val="32"/>
                    <w:bidi w:val="0"/>
                    <w:jc w:val="center"/>
                    <w:rPr>
                      <w:rFonts w:hint="default"/>
                      <w:lang w:val="en-US" w:eastAsia="zh-CN"/>
                    </w:rPr>
                  </w:pPr>
                  <w:r>
                    <w:rPr>
                      <w:rFonts w:hint="eastAsia"/>
                      <w:lang w:val="en-US" w:eastAsia="zh-CN"/>
                    </w:rPr>
                    <w:t>LD</w:t>
                  </w:r>
                  <w:r>
                    <w:rPr>
                      <w:rFonts w:hint="eastAsia"/>
                      <w:vertAlign w:val="subscript"/>
                      <w:lang w:val="en-US" w:eastAsia="zh-CN"/>
                    </w:rPr>
                    <w:t>50</w:t>
                  </w:r>
                  <w:r>
                    <w:rPr>
                      <w:rFonts w:hint="eastAsia"/>
                      <w:lang w:val="en-US" w:eastAsia="zh-CN"/>
                    </w:rPr>
                    <w:t>:7060mg/kg(兔经口)，7430mg/kg(兔经皮)；LC</w:t>
                  </w:r>
                  <w:r>
                    <w:rPr>
                      <w:rFonts w:hint="eastAsia"/>
                      <w:vertAlign w:val="subscript"/>
                      <w:lang w:val="en-US" w:eastAsia="zh-CN"/>
                    </w:rPr>
                    <w:t>50</w:t>
                  </w:r>
                  <w:r>
                    <w:rPr>
                      <w:rFonts w:hint="eastAsia"/>
                      <w:lang w:val="en-US" w:eastAsia="zh-CN"/>
                    </w:rPr>
                    <w:t>:36720mg/m³，10h大鼠吸入</w:t>
                  </w:r>
                </w:p>
              </w:tc>
              <w:tc>
                <w:tcPr>
                  <w:tcW w:w="1554" w:type="dxa"/>
                  <w:vAlign w:val="center"/>
                </w:tcPr>
                <w:p w14:paraId="73667C35">
                  <w:pPr>
                    <w:pStyle w:val="32"/>
                    <w:bidi w:val="0"/>
                    <w:jc w:val="center"/>
                    <w:rPr>
                      <w:rFonts w:hint="eastAsia"/>
                      <w:lang w:val="en-US" w:eastAsia="zh-CN"/>
                    </w:rPr>
                  </w:pPr>
                  <w:r>
                    <w:rPr>
                      <w:rFonts w:hint="eastAsia"/>
                      <w:lang w:val="en-US" w:eastAsia="zh-CN"/>
                    </w:rPr>
                    <w:t>易燃</w:t>
                  </w:r>
                </w:p>
                <w:p w14:paraId="7E38A52C">
                  <w:pPr>
                    <w:pStyle w:val="32"/>
                    <w:bidi w:val="0"/>
                    <w:jc w:val="center"/>
                    <w:rPr>
                      <w:rFonts w:hint="eastAsia"/>
                      <w:lang w:val="en-US" w:eastAsia="zh-CN"/>
                    </w:rPr>
                  </w:pPr>
                  <w:r>
                    <w:rPr>
                      <w:rFonts w:hint="eastAsia"/>
                      <w:lang w:val="en-US" w:eastAsia="zh-CN"/>
                    </w:rPr>
                    <w:t>爆炸上限(%)：</w:t>
                  </w:r>
                </w:p>
                <w:p w14:paraId="3146414B">
                  <w:pPr>
                    <w:pStyle w:val="32"/>
                    <w:bidi w:val="0"/>
                    <w:jc w:val="center"/>
                    <w:rPr>
                      <w:rFonts w:hint="eastAsia"/>
                      <w:lang w:val="en-US" w:eastAsia="zh-CN"/>
                    </w:rPr>
                  </w:pPr>
                  <w:r>
                    <w:rPr>
                      <w:rFonts w:hint="eastAsia"/>
                      <w:lang w:val="en-US" w:eastAsia="zh-CN"/>
                    </w:rPr>
                    <w:t>3 3</w:t>
                  </w:r>
                </w:p>
                <w:p w14:paraId="174730EE">
                  <w:pPr>
                    <w:pStyle w:val="32"/>
                    <w:bidi w:val="0"/>
                    <w:jc w:val="center"/>
                    <w:rPr>
                      <w:rFonts w:hint="default"/>
                      <w:lang w:val="en-US" w:eastAsia="zh-CN"/>
                    </w:rPr>
                  </w:pPr>
                  <w:r>
                    <w:rPr>
                      <w:rFonts w:hint="eastAsia"/>
                      <w:lang w:val="en-US" w:eastAsia="zh-CN"/>
                    </w:rPr>
                    <w:t>爆炸下限(%)：19</w:t>
                  </w:r>
                </w:p>
              </w:tc>
            </w:tr>
            <w:tr w14:paraId="60A4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403F9F60">
                  <w:pPr>
                    <w:pStyle w:val="32"/>
                    <w:bidi w:val="0"/>
                    <w:jc w:val="center"/>
                    <w:rPr>
                      <w:rFonts w:hint="default"/>
                      <w:lang w:val="en-US" w:eastAsia="zh-CN"/>
                    </w:rPr>
                  </w:pPr>
                  <w:r>
                    <w:rPr>
                      <w:rFonts w:hint="eastAsia"/>
                      <w:lang w:val="en-US" w:eastAsia="zh-CN"/>
                    </w:rPr>
                    <w:t>84消毒液</w:t>
                  </w:r>
                </w:p>
              </w:tc>
              <w:tc>
                <w:tcPr>
                  <w:tcW w:w="1050" w:type="dxa"/>
                  <w:vAlign w:val="center"/>
                </w:tcPr>
                <w:p w14:paraId="19E336A9">
                  <w:pPr>
                    <w:pStyle w:val="32"/>
                    <w:bidi w:val="0"/>
                    <w:jc w:val="center"/>
                    <w:rPr>
                      <w:rFonts w:hint="default"/>
                      <w:lang w:val="en-US" w:eastAsia="zh-CN"/>
                    </w:rPr>
                  </w:pPr>
                  <w:r>
                    <w:rPr>
                      <w:rFonts w:hint="eastAsia"/>
                      <w:lang w:val="en-US" w:eastAsia="zh-CN"/>
                    </w:rPr>
                    <w:t>NaClO</w:t>
                  </w:r>
                </w:p>
              </w:tc>
              <w:tc>
                <w:tcPr>
                  <w:tcW w:w="3327" w:type="dxa"/>
                  <w:vAlign w:val="center"/>
                </w:tcPr>
                <w:p w14:paraId="04A32084">
                  <w:pPr>
                    <w:pStyle w:val="32"/>
                    <w:bidi w:val="0"/>
                    <w:jc w:val="center"/>
                    <w:rPr>
                      <w:rFonts w:hint="eastAsia"/>
                      <w:lang w:val="en-US" w:eastAsia="zh-CN"/>
                    </w:rPr>
                  </w:pPr>
                  <w:r>
                    <w:rPr>
                      <w:rFonts w:hint="eastAsia"/>
                      <w:lang w:val="en-US" w:eastAsia="zh-CN"/>
                    </w:rPr>
                    <w:t>透明或微黄色液体，有似氯气气味。</w:t>
                  </w:r>
                </w:p>
                <w:p w14:paraId="5661DAAA">
                  <w:pPr>
                    <w:pStyle w:val="32"/>
                    <w:bidi w:val="0"/>
                    <w:jc w:val="center"/>
                    <w:rPr>
                      <w:rFonts w:hint="eastAsia"/>
                      <w:lang w:val="en-US" w:eastAsia="zh-CN"/>
                    </w:rPr>
                  </w:pPr>
                  <w:r>
                    <w:rPr>
                      <w:rFonts w:hint="eastAsia"/>
                      <w:lang w:val="en-US" w:eastAsia="zh-CN"/>
                    </w:rPr>
                    <w:t>熔点(℃):-6</w:t>
                  </w:r>
                </w:p>
                <w:p w14:paraId="7BAFC8C3">
                  <w:pPr>
                    <w:pStyle w:val="32"/>
                    <w:bidi w:val="0"/>
                    <w:jc w:val="center"/>
                    <w:rPr>
                      <w:rFonts w:hint="default"/>
                      <w:lang w:val="en-US" w:eastAsia="zh-CN"/>
                    </w:rPr>
                  </w:pPr>
                  <w:r>
                    <w:rPr>
                      <w:rFonts w:hint="eastAsia"/>
                      <w:lang w:val="en-US" w:eastAsia="zh-CN"/>
                    </w:rPr>
                    <w:t>沸点(℃):40</w:t>
                  </w:r>
                </w:p>
                <w:p w14:paraId="06B626EA">
                  <w:pPr>
                    <w:pStyle w:val="32"/>
                    <w:bidi w:val="0"/>
                    <w:jc w:val="center"/>
                    <w:rPr>
                      <w:rFonts w:hint="default"/>
                      <w:lang w:val="en-US" w:eastAsia="zh-CN"/>
                    </w:rPr>
                  </w:pPr>
                  <w:r>
                    <w:rPr>
                      <w:rFonts w:hint="eastAsia"/>
                      <w:lang w:val="en-US" w:eastAsia="zh-CN"/>
                    </w:rPr>
                    <w:t>分子量:74.44</w:t>
                  </w:r>
                </w:p>
                <w:p w14:paraId="75566840">
                  <w:pPr>
                    <w:pStyle w:val="32"/>
                    <w:bidi w:val="0"/>
                    <w:jc w:val="center"/>
                    <w:rPr>
                      <w:rFonts w:hint="eastAsia"/>
                      <w:lang w:val="en-US" w:eastAsia="zh-CN"/>
                    </w:rPr>
                  </w:pPr>
                  <w:r>
                    <w:rPr>
                      <w:rFonts w:hint="eastAsia"/>
                      <w:lang w:val="en-US" w:eastAsia="zh-CN"/>
                    </w:rPr>
                    <w:t>相对密度(水=1):1.21</w:t>
                  </w:r>
                </w:p>
              </w:tc>
              <w:tc>
                <w:tcPr>
                  <w:tcW w:w="1890" w:type="dxa"/>
                  <w:vAlign w:val="center"/>
                </w:tcPr>
                <w:p w14:paraId="4C227279">
                  <w:pPr>
                    <w:pStyle w:val="32"/>
                    <w:bidi w:val="0"/>
                    <w:jc w:val="center"/>
                    <w:rPr>
                      <w:rFonts w:hint="eastAsia"/>
                      <w:lang w:val="en-US" w:eastAsia="zh-CN"/>
                    </w:rPr>
                  </w:pPr>
                  <w:r>
                    <w:rPr>
                      <w:rFonts w:hint="eastAsia"/>
                      <w:lang w:val="en-US" w:eastAsia="zh-CN"/>
                    </w:rPr>
                    <w:t>LD50:8500mg/kg(大鼠经口)；</w:t>
                  </w:r>
                </w:p>
                <w:p w14:paraId="3ADF226D">
                  <w:pPr>
                    <w:pStyle w:val="32"/>
                    <w:bidi w:val="0"/>
                    <w:jc w:val="center"/>
                    <w:rPr>
                      <w:rFonts w:hint="default"/>
                      <w:lang w:val="en-US" w:eastAsia="zh-CN"/>
                    </w:rPr>
                  </w:pPr>
                  <w:r>
                    <w:rPr>
                      <w:rFonts w:hint="eastAsia"/>
                      <w:lang w:val="en-US" w:eastAsia="zh-CN"/>
                    </w:rPr>
                    <w:t>刺激性：家兔经眼：10mg，中毒刺激</w:t>
                  </w:r>
                </w:p>
              </w:tc>
              <w:tc>
                <w:tcPr>
                  <w:tcW w:w="1554" w:type="dxa"/>
                  <w:vAlign w:val="center"/>
                </w:tcPr>
                <w:p w14:paraId="30E9C6E7">
                  <w:pPr>
                    <w:pStyle w:val="32"/>
                    <w:bidi w:val="0"/>
                    <w:jc w:val="center"/>
                    <w:rPr>
                      <w:rFonts w:hint="default"/>
                      <w:lang w:val="en-US" w:eastAsia="zh-CN"/>
                    </w:rPr>
                  </w:pPr>
                  <w:r>
                    <w:rPr>
                      <w:rFonts w:hint="eastAsia"/>
                      <w:lang w:val="en-US" w:eastAsia="zh-CN"/>
                    </w:rPr>
                    <w:t>不燃，无特殊燃爆特性</w:t>
                  </w:r>
                </w:p>
              </w:tc>
            </w:tr>
          </w:tbl>
          <w:p w14:paraId="0FD492EA">
            <w:pPr>
              <w:bidi w:val="0"/>
              <w:rPr>
                <w:b/>
                <w:bCs/>
              </w:rPr>
            </w:pPr>
            <w:r>
              <w:rPr>
                <w:rFonts w:hint="eastAsia"/>
                <w:b/>
                <w:bCs/>
              </w:rPr>
              <w:t>6、工作制度及劳动定员</w:t>
            </w:r>
          </w:p>
          <w:p w14:paraId="06717A33">
            <w:pPr>
              <w:ind w:firstLine="480"/>
              <w:rPr>
                <w:color w:val="auto"/>
              </w:rPr>
            </w:pPr>
            <w:r>
              <w:rPr>
                <w:rFonts w:hint="eastAsia"/>
                <w:color w:val="auto"/>
              </w:rPr>
              <w:t>工作制度：年工作时间</w:t>
            </w:r>
            <w:r>
              <w:rPr>
                <w:rFonts w:hint="eastAsia"/>
                <w:color w:val="auto"/>
                <w:lang w:val="en-US" w:eastAsia="zh-CN"/>
              </w:rPr>
              <w:t>365</w:t>
            </w:r>
            <w:r>
              <w:rPr>
                <w:rFonts w:hint="eastAsia"/>
                <w:color w:val="auto"/>
              </w:rPr>
              <w:t>天，</w:t>
            </w:r>
            <w:r>
              <w:rPr>
                <w:rFonts w:hint="eastAsia"/>
                <w:color w:val="auto"/>
                <w:lang w:val="en-US" w:eastAsia="zh-CN"/>
              </w:rPr>
              <w:t>实行3班制，</w:t>
            </w:r>
            <w:r>
              <w:rPr>
                <w:rFonts w:hint="eastAsia"/>
                <w:color w:val="auto"/>
              </w:rPr>
              <w:t>每</w:t>
            </w:r>
            <w:r>
              <w:rPr>
                <w:rFonts w:hint="eastAsia"/>
                <w:color w:val="auto"/>
                <w:lang w:val="en-US" w:eastAsia="zh-CN"/>
              </w:rPr>
              <w:t>班</w:t>
            </w:r>
            <w:r>
              <w:rPr>
                <w:rFonts w:hint="eastAsia"/>
                <w:color w:val="auto"/>
              </w:rPr>
              <w:t>工作</w:t>
            </w:r>
            <w:r>
              <w:rPr>
                <w:rFonts w:hint="eastAsia"/>
                <w:color w:val="auto"/>
                <w:lang w:val="en-US" w:eastAsia="zh-CN"/>
              </w:rPr>
              <w:t>8</w:t>
            </w:r>
            <w:r>
              <w:rPr>
                <w:rFonts w:hint="eastAsia"/>
                <w:color w:val="auto"/>
              </w:rPr>
              <w:t>h，</w:t>
            </w:r>
            <w:r>
              <w:rPr>
                <w:rFonts w:eastAsiaTheme="minorEastAsia"/>
                <w:color w:val="auto"/>
              </w:rPr>
              <w:t>年工作时间</w:t>
            </w:r>
            <w:r>
              <w:rPr>
                <w:rFonts w:hint="eastAsia" w:eastAsiaTheme="minorEastAsia"/>
                <w:color w:val="auto"/>
                <w:lang w:val="en-US" w:eastAsia="zh-CN"/>
              </w:rPr>
              <w:t>8760</w:t>
            </w:r>
            <w:r>
              <w:rPr>
                <w:rFonts w:eastAsiaTheme="minorEastAsia"/>
                <w:color w:val="auto"/>
              </w:rPr>
              <w:t>h</w:t>
            </w:r>
            <w:r>
              <w:rPr>
                <w:rFonts w:hint="eastAsia"/>
                <w:color w:val="auto"/>
              </w:rPr>
              <w:t>。</w:t>
            </w:r>
          </w:p>
          <w:p w14:paraId="1C020B8D">
            <w:pPr>
              <w:ind w:firstLine="480"/>
              <w:rPr>
                <w:rFonts w:hint="eastAsia" w:eastAsia="宋体"/>
                <w:color w:val="auto"/>
                <w:highlight w:val="yellow"/>
                <w:lang w:eastAsia="zh-CN"/>
              </w:rPr>
            </w:pPr>
            <w:r>
              <w:rPr>
                <w:rFonts w:hint="eastAsia"/>
                <w:color w:val="auto"/>
              </w:rPr>
              <w:t>劳动定员：本项目建设运营后</w:t>
            </w:r>
            <w:r>
              <w:rPr>
                <w:rFonts w:hint="eastAsia"/>
                <w:color w:val="auto"/>
                <w:lang w:eastAsia="zh-CN"/>
              </w:rPr>
              <w:t>，</w:t>
            </w:r>
            <w:r>
              <w:rPr>
                <w:rFonts w:hint="eastAsia"/>
                <w:color w:val="auto"/>
              </w:rPr>
              <w:t>职工总人数</w:t>
            </w:r>
            <w:r>
              <w:rPr>
                <w:rFonts w:hint="eastAsia"/>
                <w:color w:val="auto"/>
                <w:highlight w:val="none"/>
              </w:rPr>
              <w:t>为</w:t>
            </w:r>
            <w:r>
              <w:rPr>
                <w:rFonts w:hint="eastAsia"/>
                <w:color w:val="auto"/>
                <w:highlight w:val="none"/>
                <w:lang w:val="en-US" w:eastAsia="zh-CN"/>
              </w:rPr>
              <w:t>60</w:t>
            </w:r>
            <w:r>
              <w:rPr>
                <w:rFonts w:hint="eastAsia"/>
                <w:color w:val="auto"/>
                <w:highlight w:val="none"/>
              </w:rPr>
              <w:t>人</w:t>
            </w:r>
            <w:r>
              <w:rPr>
                <w:rFonts w:hint="eastAsia"/>
                <w:color w:val="auto"/>
                <w:highlight w:val="none"/>
                <w:lang w:eastAsia="zh-CN"/>
              </w:rPr>
              <w:t>。</w:t>
            </w:r>
          </w:p>
          <w:p w14:paraId="6740257B">
            <w:pPr>
              <w:ind w:firstLine="482"/>
              <w:rPr>
                <w:b/>
                <w:bCs/>
                <w:color w:val="auto"/>
              </w:rPr>
            </w:pPr>
            <w:r>
              <w:rPr>
                <w:rFonts w:hint="eastAsia"/>
                <w:b/>
                <w:bCs/>
                <w:color w:val="auto"/>
              </w:rPr>
              <w:t>7、公用工程</w:t>
            </w:r>
          </w:p>
          <w:p w14:paraId="1940D429">
            <w:pPr>
              <w:ind w:firstLine="482"/>
              <w:rPr>
                <w:b/>
                <w:bCs/>
                <w:color w:val="auto"/>
              </w:rPr>
            </w:pPr>
            <w:r>
              <w:rPr>
                <w:rFonts w:hint="eastAsia"/>
                <w:b/>
                <w:bCs/>
                <w:color w:val="auto"/>
              </w:rPr>
              <w:t>（1）给、排水</w:t>
            </w:r>
          </w:p>
          <w:p w14:paraId="6BC824A0">
            <w:pPr>
              <w:ind w:firstLine="480"/>
              <w:rPr>
                <w:color w:val="auto"/>
              </w:rPr>
            </w:pPr>
            <w:r>
              <w:rPr>
                <w:rFonts w:hint="eastAsia"/>
                <w:color w:val="auto"/>
              </w:rPr>
              <w:t>项目区供水</w:t>
            </w:r>
            <w:r>
              <w:rPr>
                <w:rFonts w:hint="eastAsia"/>
                <w:color w:val="auto"/>
                <w:lang w:eastAsia="zh-CN"/>
              </w:rPr>
              <w:t>来自</w:t>
            </w:r>
            <w:r>
              <w:rPr>
                <w:rFonts w:hint="eastAsia"/>
                <w:color w:val="auto"/>
              </w:rPr>
              <w:t>市政给水系统。供水条件良好，可保证充足供应，水质符合饮用水标准，且项目区供水管网完善，其用水可充分保障。</w:t>
            </w:r>
          </w:p>
          <w:p w14:paraId="33D10885">
            <w:pPr>
              <w:bidi w:val="0"/>
              <w:rPr>
                <w:rFonts w:hint="eastAsia"/>
                <w:lang w:val="en-US" w:eastAsia="zh-CN"/>
              </w:rPr>
            </w:pPr>
            <w:r>
              <w:rPr>
                <w:rFonts w:hint="eastAsia"/>
                <w:color w:val="auto"/>
                <w:lang w:val="en-US" w:eastAsia="zh-CN"/>
              </w:rPr>
              <w:t>本项目为精神病专科医院，是淮南市精神病医院（淮南市第四人民医院）山南院区，本院区涉及血常规、血液生化、血清中电解质及尿常规检查，仅含B超、心电图、脑电图及生物反馈仪辅助检查手段。血液、尿液检查采用成套配有分析测定所需全部试剂的试剂盒，不采用含氰、含铬试剂，不产生含氰废水和含铬废水，化验完毕后废试剂与废样品等按照医疗废物处置无需用水清洗设备或者试剂；影像科照片采用数码打印，无洗印废水产生；不设置口腔科，无口腔科含汞废水产生。本项目无中药熬煮。</w:t>
            </w:r>
            <w:r>
              <w:rPr>
                <w:rFonts w:hint="eastAsia"/>
                <w:lang w:val="en-US" w:eastAsia="zh-CN"/>
              </w:rPr>
              <w:t>项目不设传染病科室，不设置洗衣房。本项目用于主要为门诊用水、病床用水、职工生活用水、食堂用水、清洁用水以及未预见用水量，本项目主要接纳</w:t>
            </w:r>
            <w:r>
              <w:rPr>
                <w:rFonts w:hint="eastAsia"/>
                <w:lang w:eastAsia="zh-CN"/>
              </w:rPr>
              <w:t>淮南市精神病医院（淮南市第四人民医院）</w:t>
            </w:r>
            <w:r>
              <w:rPr>
                <w:rFonts w:hint="eastAsia"/>
                <w:lang w:val="en-US" w:eastAsia="zh-CN"/>
              </w:rPr>
              <w:t>谢家集院区已就诊需住院病人，门诊就诊人数较少，根据建设单位提供信息，门诊就诊人数按50人/d计。项目用水量计算见下表。</w:t>
            </w:r>
          </w:p>
          <w:p w14:paraId="4F7D3E6F">
            <w:pPr>
              <w:pStyle w:val="41"/>
              <w:bidi w:val="0"/>
              <w:rPr>
                <w:rFonts w:hint="eastAsia"/>
                <w:lang w:val="en-US" w:eastAsia="zh-CN"/>
              </w:rPr>
            </w:pPr>
            <w:r>
              <w:rPr>
                <w:rFonts w:hint="eastAsia"/>
                <w:lang w:val="en-US" w:eastAsia="zh-CN"/>
              </w:rPr>
              <w:t>表2-9  项目用水计算表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72"/>
              <w:gridCol w:w="826"/>
              <w:gridCol w:w="1780"/>
              <w:gridCol w:w="1462"/>
              <w:gridCol w:w="1147"/>
              <w:gridCol w:w="1183"/>
            </w:tblGrid>
            <w:tr w14:paraId="5238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738" w:type="dxa"/>
                  <w:vMerge w:val="restart"/>
                  <w:vAlign w:val="center"/>
                </w:tcPr>
                <w:p w14:paraId="66AC7CB0">
                  <w:pPr>
                    <w:pStyle w:val="42"/>
                    <w:jc w:val="center"/>
                    <w:rPr>
                      <w:rFonts w:hint="default"/>
                      <w:b/>
                      <w:bCs/>
                      <w:vertAlign w:val="baseline"/>
                      <w:lang w:val="en-US" w:eastAsia="zh-CN"/>
                    </w:rPr>
                  </w:pPr>
                  <w:r>
                    <w:rPr>
                      <w:rFonts w:hint="eastAsia"/>
                      <w:b/>
                      <w:bCs/>
                      <w:vertAlign w:val="baseline"/>
                      <w:lang w:val="en-US" w:eastAsia="zh-CN"/>
                    </w:rPr>
                    <w:t>序号</w:t>
                  </w:r>
                </w:p>
              </w:tc>
              <w:tc>
                <w:tcPr>
                  <w:tcW w:w="1472" w:type="dxa"/>
                  <w:vMerge w:val="restart"/>
                  <w:vAlign w:val="center"/>
                </w:tcPr>
                <w:p w14:paraId="39067778">
                  <w:pPr>
                    <w:pStyle w:val="42"/>
                    <w:jc w:val="center"/>
                    <w:rPr>
                      <w:rFonts w:hint="default"/>
                      <w:b/>
                      <w:bCs/>
                      <w:vertAlign w:val="baseline"/>
                      <w:lang w:val="en-US" w:eastAsia="zh-CN"/>
                    </w:rPr>
                  </w:pPr>
                  <w:r>
                    <w:rPr>
                      <w:rFonts w:hint="eastAsia"/>
                      <w:b/>
                      <w:bCs/>
                      <w:vertAlign w:val="baseline"/>
                      <w:lang w:val="en-US" w:eastAsia="zh-CN"/>
                    </w:rPr>
                    <w:t>项目名称</w:t>
                  </w:r>
                </w:p>
              </w:tc>
              <w:tc>
                <w:tcPr>
                  <w:tcW w:w="826" w:type="dxa"/>
                  <w:vMerge w:val="restart"/>
                  <w:vAlign w:val="center"/>
                </w:tcPr>
                <w:p w14:paraId="43AD246E">
                  <w:pPr>
                    <w:pStyle w:val="42"/>
                    <w:jc w:val="center"/>
                    <w:rPr>
                      <w:rFonts w:hint="default"/>
                      <w:b/>
                      <w:bCs/>
                      <w:vertAlign w:val="baseline"/>
                      <w:lang w:val="en-US" w:eastAsia="zh-CN"/>
                    </w:rPr>
                  </w:pPr>
                  <w:r>
                    <w:rPr>
                      <w:rFonts w:hint="eastAsia"/>
                      <w:b/>
                      <w:bCs/>
                      <w:vertAlign w:val="baseline"/>
                      <w:lang w:val="en-US" w:eastAsia="zh-CN"/>
                    </w:rPr>
                    <w:t>使用基数</w:t>
                  </w:r>
                </w:p>
              </w:tc>
              <w:tc>
                <w:tcPr>
                  <w:tcW w:w="1780" w:type="dxa"/>
                  <w:vMerge w:val="restart"/>
                  <w:vAlign w:val="center"/>
                </w:tcPr>
                <w:p w14:paraId="6958DE87">
                  <w:pPr>
                    <w:pStyle w:val="42"/>
                    <w:jc w:val="center"/>
                    <w:rPr>
                      <w:rFonts w:hint="default"/>
                      <w:b/>
                      <w:bCs/>
                      <w:vertAlign w:val="baseline"/>
                      <w:lang w:val="en-US" w:eastAsia="zh-CN"/>
                    </w:rPr>
                  </w:pPr>
                  <w:r>
                    <w:rPr>
                      <w:rFonts w:hint="eastAsia"/>
                      <w:b/>
                      <w:bCs/>
                      <w:vertAlign w:val="baseline"/>
                      <w:lang w:val="en-US" w:eastAsia="zh-CN"/>
                    </w:rPr>
                    <w:t>用水量定额*</w:t>
                  </w:r>
                </w:p>
              </w:tc>
              <w:tc>
                <w:tcPr>
                  <w:tcW w:w="1462" w:type="dxa"/>
                  <w:vMerge w:val="restart"/>
                  <w:shd w:val="clear" w:color="auto" w:fill="auto"/>
                  <w:vAlign w:val="center"/>
                </w:tcPr>
                <w:p w14:paraId="1C0FCAD2">
                  <w:pPr>
                    <w:pStyle w:val="42"/>
                    <w:ind w:firstLine="0" w:firstLineChars="0"/>
                    <w:jc w:val="center"/>
                    <w:rPr>
                      <w:rFonts w:hint="default" w:ascii="Times New Roman" w:hAnsi="Times New Roman" w:eastAsia="宋体" w:cs="Times New Roman"/>
                      <w:b/>
                      <w:bCs/>
                      <w:spacing w:val="-2"/>
                      <w:kern w:val="0"/>
                      <w:sz w:val="21"/>
                      <w:szCs w:val="18"/>
                      <w:vertAlign w:val="baseline"/>
                      <w:lang w:val="en-US" w:eastAsia="zh-CN" w:bidi="ar-SA"/>
                    </w:rPr>
                  </w:pPr>
                  <w:r>
                    <w:rPr>
                      <w:rFonts w:hint="eastAsia"/>
                      <w:b/>
                      <w:bCs/>
                      <w:vertAlign w:val="baseline"/>
                      <w:lang w:val="en-US" w:eastAsia="zh-CN"/>
                    </w:rPr>
                    <w:t>本项目选取值</w:t>
                  </w:r>
                </w:p>
              </w:tc>
              <w:tc>
                <w:tcPr>
                  <w:tcW w:w="2330" w:type="dxa"/>
                  <w:gridSpan w:val="2"/>
                  <w:vAlign w:val="center"/>
                </w:tcPr>
                <w:p w14:paraId="1EC33B29">
                  <w:pPr>
                    <w:pStyle w:val="42"/>
                    <w:jc w:val="center"/>
                    <w:rPr>
                      <w:rFonts w:hint="default"/>
                      <w:b/>
                      <w:bCs/>
                      <w:vertAlign w:val="baseline"/>
                      <w:lang w:val="en-US" w:eastAsia="zh-CN"/>
                    </w:rPr>
                  </w:pPr>
                  <w:r>
                    <w:rPr>
                      <w:rFonts w:hint="eastAsia"/>
                      <w:b/>
                      <w:bCs/>
                      <w:vertAlign w:val="baseline"/>
                      <w:lang w:val="en-US" w:eastAsia="zh-CN"/>
                    </w:rPr>
                    <w:t>用水量m³</w:t>
                  </w:r>
                </w:p>
              </w:tc>
            </w:tr>
            <w:tr w14:paraId="0FEF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738" w:type="dxa"/>
                  <w:vMerge w:val="continue"/>
                  <w:vAlign w:val="center"/>
                </w:tcPr>
                <w:p w14:paraId="6CCED709">
                  <w:pPr>
                    <w:pStyle w:val="42"/>
                    <w:jc w:val="center"/>
                    <w:rPr>
                      <w:b/>
                      <w:bCs/>
                    </w:rPr>
                  </w:pPr>
                </w:p>
              </w:tc>
              <w:tc>
                <w:tcPr>
                  <w:tcW w:w="1472" w:type="dxa"/>
                  <w:vMerge w:val="continue"/>
                  <w:vAlign w:val="center"/>
                </w:tcPr>
                <w:p w14:paraId="1764CC43">
                  <w:pPr>
                    <w:pStyle w:val="42"/>
                    <w:jc w:val="center"/>
                    <w:rPr>
                      <w:b/>
                      <w:bCs/>
                    </w:rPr>
                  </w:pPr>
                </w:p>
              </w:tc>
              <w:tc>
                <w:tcPr>
                  <w:tcW w:w="826" w:type="dxa"/>
                  <w:vMerge w:val="continue"/>
                  <w:vAlign w:val="center"/>
                </w:tcPr>
                <w:p w14:paraId="65ACAAEF">
                  <w:pPr>
                    <w:pStyle w:val="42"/>
                    <w:jc w:val="center"/>
                    <w:rPr>
                      <w:b/>
                      <w:bCs/>
                    </w:rPr>
                  </w:pPr>
                </w:p>
              </w:tc>
              <w:tc>
                <w:tcPr>
                  <w:tcW w:w="1780" w:type="dxa"/>
                  <w:vMerge w:val="continue"/>
                  <w:vAlign w:val="center"/>
                </w:tcPr>
                <w:p w14:paraId="2281167E">
                  <w:pPr>
                    <w:pStyle w:val="42"/>
                    <w:jc w:val="center"/>
                    <w:rPr>
                      <w:b/>
                      <w:bCs/>
                    </w:rPr>
                  </w:pPr>
                </w:p>
              </w:tc>
              <w:tc>
                <w:tcPr>
                  <w:tcW w:w="1462" w:type="dxa"/>
                  <w:vMerge w:val="continue"/>
                  <w:shd w:val="clear" w:color="auto" w:fill="auto"/>
                  <w:vAlign w:val="center"/>
                </w:tcPr>
                <w:p w14:paraId="1D189D1D">
                  <w:pPr>
                    <w:pStyle w:val="42"/>
                    <w:ind w:firstLine="0" w:firstLineChars="0"/>
                    <w:jc w:val="center"/>
                    <w:rPr>
                      <w:rFonts w:hint="eastAsia" w:ascii="Times New Roman" w:hAnsi="Times New Roman" w:eastAsia="宋体" w:cs="Times New Roman"/>
                      <w:b/>
                      <w:bCs/>
                      <w:spacing w:val="-2"/>
                      <w:kern w:val="0"/>
                      <w:sz w:val="21"/>
                      <w:szCs w:val="18"/>
                      <w:lang w:val="en-US" w:eastAsia="zh-CN" w:bidi="ar-SA"/>
                    </w:rPr>
                  </w:pPr>
                </w:p>
              </w:tc>
              <w:tc>
                <w:tcPr>
                  <w:tcW w:w="1147" w:type="dxa"/>
                  <w:vAlign w:val="center"/>
                </w:tcPr>
                <w:p w14:paraId="0321E88E">
                  <w:pPr>
                    <w:pStyle w:val="42"/>
                    <w:jc w:val="center"/>
                    <w:rPr>
                      <w:rFonts w:hint="default" w:eastAsia="宋体"/>
                      <w:b/>
                      <w:bCs/>
                      <w:lang w:val="en-US" w:eastAsia="zh-CN"/>
                    </w:rPr>
                  </w:pPr>
                  <w:r>
                    <w:rPr>
                      <w:rFonts w:hint="eastAsia"/>
                      <w:b/>
                      <w:bCs/>
                      <w:lang w:val="en-US" w:eastAsia="zh-CN"/>
                    </w:rPr>
                    <w:t>日平均用水量</w:t>
                  </w:r>
                </w:p>
              </w:tc>
              <w:tc>
                <w:tcPr>
                  <w:tcW w:w="1183" w:type="dxa"/>
                  <w:vAlign w:val="center"/>
                </w:tcPr>
                <w:p w14:paraId="1043B3E8">
                  <w:pPr>
                    <w:pStyle w:val="42"/>
                    <w:jc w:val="center"/>
                    <w:rPr>
                      <w:rFonts w:hint="default" w:eastAsia="宋体"/>
                      <w:b/>
                      <w:bCs/>
                      <w:lang w:val="en-US" w:eastAsia="zh-CN"/>
                    </w:rPr>
                  </w:pPr>
                  <w:r>
                    <w:rPr>
                      <w:rFonts w:hint="eastAsia"/>
                      <w:b/>
                      <w:bCs/>
                      <w:lang w:val="en-US" w:eastAsia="zh-CN"/>
                    </w:rPr>
                    <w:t>年总用水量</w:t>
                  </w:r>
                </w:p>
              </w:tc>
            </w:tr>
            <w:tr w14:paraId="6F6A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488525DA">
                  <w:pPr>
                    <w:pStyle w:val="42"/>
                    <w:jc w:val="center"/>
                    <w:rPr>
                      <w:rFonts w:hint="default"/>
                      <w:vertAlign w:val="baseline"/>
                      <w:lang w:val="en-US" w:eastAsia="zh-CN"/>
                    </w:rPr>
                  </w:pPr>
                  <w:r>
                    <w:rPr>
                      <w:rFonts w:hint="eastAsia"/>
                      <w:vertAlign w:val="baseline"/>
                      <w:lang w:val="en-US" w:eastAsia="zh-CN"/>
                    </w:rPr>
                    <w:t>1</w:t>
                  </w:r>
                </w:p>
              </w:tc>
              <w:tc>
                <w:tcPr>
                  <w:tcW w:w="1472" w:type="dxa"/>
                  <w:vAlign w:val="center"/>
                </w:tcPr>
                <w:p w14:paraId="60D631DE">
                  <w:pPr>
                    <w:pStyle w:val="42"/>
                    <w:jc w:val="center"/>
                    <w:rPr>
                      <w:rFonts w:hint="default"/>
                      <w:vertAlign w:val="baseline"/>
                      <w:lang w:val="en-US" w:eastAsia="zh-CN"/>
                    </w:rPr>
                  </w:pPr>
                  <w:r>
                    <w:rPr>
                      <w:rFonts w:hint="eastAsia"/>
                      <w:vertAlign w:val="baseline"/>
                      <w:lang w:val="en-US" w:eastAsia="zh-CN"/>
                    </w:rPr>
                    <w:t>门诊用水</w:t>
                  </w:r>
                </w:p>
              </w:tc>
              <w:tc>
                <w:tcPr>
                  <w:tcW w:w="826" w:type="dxa"/>
                  <w:vAlign w:val="center"/>
                </w:tcPr>
                <w:p w14:paraId="07D60FF1">
                  <w:pPr>
                    <w:pStyle w:val="42"/>
                    <w:jc w:val="center"/>
                    <w:rPr>
                      <w:rFonts w:hint="default"/>
                      <w:vertAlign w:val="baseline"/>
                      <w:lang w:val="en-US" w:eastAsia="zh-CN"/>
                    </w:rPr>
                  </w:pPr>
                  <w:r>
                    <w:rPr>
                      <w:rFonts w:hint="eastAsia"/>
                      <w:vertAlign w:val="baseline"/>
                      <w:lang w:val="en-US" w:eastAsia="zh-CN"/>
                    </w:rPr>
                    <w:t>50人</w:t>
                  </w:r>
                </w:p>
              </w:tc>
              <w:tc>
                <w:tcPr>
                  <w:tcW w:w="1780" w:type="dxa"/>
                  <w:vAlign w:val="center"/>
                </w:tcPr>
                <w:p w14:paraId="3E2F0BC8">
                  <w:pPr>
                    <w:pStyle w:val="42"/>
                    <w:jc w:val="center"/>
                    <w:rPr>
                      <w:rFonts w:hint="default"/>
                      <w:vertAlign w:val="baseline"/>
                      <w:lang w:val="en-US" w:eastAsia="zh-CN"/>
                    </w:rPr>
                  </w:pPr>
                  <w:r>
                    <w:rPr>
                      <w:rFonts w:hint="default"/>
                      <w:vertAlign w:val="baseline"/>
                      <w:lang w:val="en-US" w:eastAsia="zh-CN"/>
                    </w:rPr>
                    <w:t>10~15L/（人·次）</w:t>
                  </w:r>
                </w:p>
              </w:tc>
              <w:tc>
                <w:tcPr>
                  <w:tcW w:w="1462" w:type="dxa"/>
                  <w:shd w:val="clear" w:color="auto" w:fill="auto"/>
                  <w:vAlign w:val="center"/>
                </w:tcPr>
                <w:p w14:paraId="4894127B">
                  <w:pPr>
                    <w:pStyle w:val="42"/>
                    <w:ind w:firstLine="0" w:firstLineChars="0"/>
                    <w:jc w:val="center"/>
                    <w:rPr>
                      <w:rFonts w:hint="eastAsia" w:ascii="Times New Roman" w:hAnsi="Times New Roman" w:eastAsia="宋体" w:cs="Times New Roman"/>
                      <w:b w:val="0"/>
                      <w:spacing w:val="-2"/>
                      <w:kern w:val="0"/>
                      <w:sz w:val="21"/>
                      <w:szCs w:val="18"/>
                      <w:vertAlign w:val="baseline"/>
                      <w:lang w:val="en-US" w:eastAsia="zh-CN" w:bidi="ar-SA"/>
                    </w:rPr>
                  </w:pPr>
                  <w:r>
                    <w:rPr>
                      <w:rFonts w:hint="eastAsia"/>
                      <w:vertAlign w:val="baseline"/>
                      <w:lang w:val="en-US" w:eastAsia="zh-CN"/>
                    </w:rPr>
                    <w:t>15L/（人</w:t>
                  </w:r>
                  <w:r>
                    <w:rPr>
                      <w:rFonts w:hint="eastAsia"/>
                      <w:lang w:val="en-US" w:eastAsia="zh-CN"/>
                    </w:rPr>
                    <w:t>·次</w:t>
                  </w:r>
                  <w:r>
                    <w:rPr>
                      <w:rFonts w:hint="eastAsia"/>
                      <w:vertAlign w:val="baseline"/>
                      <w:lang w:val="en-US" w:eastAsia="zh-CN"/>
                    </w:rPr>
                    <w:t>）</w:t>
                  </w:r>
                </w:p>
              </w:tc>
              <w:tc>
                <w:tcPr>
                  <w:tcW w:w="1147" w:type="dxa"/>
                  <w:vAlign w:val="center"/>
                </w:tcPr>
                <w:p w14:paraId="2E35692B">
                  <w:pPr>
                    <w:pStyle w:val="42"/>
                    <w:jc w:val="center"/>
                    <w:rPr>
                      <w:rFonts w:hint="default"/>
                      <w:vertAlign w:val="baseline"/>
                      <w:lang w:val="en-US" w:eastAsia="zh-CN"/>
                    </w:rPr>
                  </w:pPr>
                  <w:r>
                    <w:rPr>
                      <w:rFonts w:hint="eastAsia"/>
                      <w:vertAlign w:val="baseline"/>
                      <w:lang w:val="en-US" w:eastAsia="zh-CN"/>
                    </w:rPr>
                    <w:t>0.75</w:t>
                  </w:r>
                </w:p>
              </w:tc>
              <w:tc>
                <w:tcPr>
                  <w:tcW w:w="1183" w:type="dxa"/>
                  <w:vAlign w:val="center"/>
                </w:tcPr>
                <w:p w14:paraId="2D6E4EDE">
                  <w:pPr>
                    <w:pStyle w:val="42"/>
                    <w:jc w:val="center"/>
                    <w:rPr>
                      <w:rFonts w:hint="default"/>
                      <w:vertAlign w:val="baseline"/>
                      <w:lang w:val="en-US" w:eastAsia="zh-CN"/>
                    </w:rPr>
                  </w:pPr>
                  <w:r>
                    <w:rPr>
                      <w:rFonts w:hint="eastAsia"/>
                      <w:vertAlign w:val="baseline"/>
                      <w:lang w:val="en-US" w:eastAsia="zh-CN"/>
                    </w:rPr>
                    <w:t>273.75</w:t>
                  </w:r>
                </w:p>
              </w:tc>
            </w:tr>
            <w:tr w14:paraId="1C25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723800F7">
                  <w:pPr>
                    <w:pStyle w:val="42"/>
                    <w:jc w:val="center"/>
                    <w:rPr>
                      <w:rFonts w:hint="default"/>
                      <w:vertAlign w:val="baseline"/>
                      <w:lang w:val="en-US" w:eastAsia="zh-CN"/>
                    </w:rPr>
                  </w:pPr>
                  <w:r>
                    <w:rPr>
                      <w:rFonts w:hint="eastAsia"/>
                      <w:vertAlign w:val="baseline"/>
                      <w:lang w:val="en-US" w:eastAsia="zh-CN"/>
                    </w:rPr>
                    <w:t>2</w:t>
                  </w:r>
                </w:p>
              </w:tc>
              <w:tc>
                <w:tcPr>
                  <w:tcW w:w="1472" w:type="dxa"/>
                  <w:vAlign w:val="center"/>
                </w:tcPr>
                <w:p w14:paraId="452391CE">
                  <w:pPr>
                    <w:pStyle w:val="42"/>
                    <w:jc w:val="center"/>
                    <w:rPr>
                      <w:rFonts w:hint="default"/>
                      <w:vertAlign w:val="baseline"/>
                      <w:lang w:val="en-US" w:eastAsia="zh-CN"/>
                    </w:rPr>
                  </w:pPr>
                  <w:r>
                    <w:rPr>
                      <w:rFonts w:hint="eastAsia"/>
                      <w:vertAlign w:val="baseline"/>
                      <w:lang w:val="en-US" w:eastAsia="zh-CN"/>
                    </w:rPr>
                    <w:t>病床用水（公共卫生间）</w:t>
                  </w:r>
                </w:p>
              </w:tc>
              <w:tc>
                <w:tcPr>
                  <w:tcW w:w="826" w:type="dxa"/>
                  <w:vAlign w:val="center"/>
                </w:tcPr>
                <w:p w14:paraId="0F224ABB">
                  <w:pPr>
                    <w:pStyle w:val="42"/>
                    <w:jc w:val="center"/>
                    <w:rPr>
                      <w:rFonts w:hint="default"/>
                      <w:vertAlign w:val="baseline"/>
                      <w:lang w:val="en-US" w:eastAsia="zh-CN"/>
                    </w:rPr>
                  </w:pPr>
                  <w:r>
                    <w:rPr>
                      <w:rFonts w:hint="eastAsia"/>
                      <w:vertAlign w:val="baseline"/>
                      <w:lang w:val="en-US" w:eastAsia="zh-CN"/>
                    </w:rPr>
                    <w:t>251床</w:t>
                  </w:r>
                </w:p>
              </w:tc>
              <w:tc>
                <w:tcPr>
                  <w:tcW w:w="1780" w:type="dxa"/>
                  <w:vAlign w:val="center"/>
                </w:tcPr>
                <w:p w14:paraId="187B5B4C">
                  <w:pPr>
                    <w:pStyle w:val="42"/>
                    <w:jc w:val="center"/>
                    <w:rPr>
                      <w:rFonts w:hint="default"/>
                      <w:vertAlign w:val="baseline"/>
                      <w:lang w:val="en-US" w:eastAsia="zh-CN"/>
                    </w:rPr>
                  </w:pPr>
                  <w:r>
                    <w:rPr>
                      <w:rFonts w:hint="default"/>
                      <w:vertAlign w:val="baseline"/>
                      <w:lang w:val="en-US" w:eastAsia="zh-CN"/>
                    </w:rPr>
                    <w:t>150~250L/(床·d)</w:t>
                  </w:r>
                </w:p>
              </w:tc>
              <w:tc>
                <w:tcPr>
                  <w:tcW w:w="1462" w:type="dxa"/>
                  <w:shd w:val="clear" w:color="auto" w:fill="auto"/>
                  <w:vAlign w:val="center"/>
                </w:tcPr>
                <w:p w14:paraId="5B86C3D1">
                  <w:pPr>
                    <w:pStyle w:val="42"/>
                    <w:ind w:firstLine="0" w:firstLineChars="0"/>
                    <w:jc w:val="center"/>
                    <w:rPr>
                      <w:rFonts w:hint="eastAsia" w:ascii="Times New Roman" w:hAnsi="Times New Roman" w:eastAsia="宋体" w:cs="Times New Roman"/>
                      <w:b w:val="0"/>
                      <w:spacing w:val="-2"/>
                      <w:kern w:val="0"/>
                      <w:sz w:val="21"/>
                      <w:szCs w:val="18"/>
                      <w:vertAlign w:val="baseline"/>
                      <w:lang w:val="en-US" w:eastAsia="zh-CN" w:bidi="ar-SA"/>
                    </w:rPr>
                  </w:pPr>
                  <w:r>
                    <w:rPr>
                      <w:rFonts w:hint="eastAsia"/>
                      <w:vertAlign w:val="baseline"/>
                      <w:lang w:val="en-US" w:eastAsia="zh-CN"/>
                    </w:rPr>
                    <w:t>250</w:t>
                  </w:r>
                  <w:r>
                    <w:rPr>
                      <w:rFonts w:hint="eastAsia"/>
                      <w:lang w:val="en-US" w:eastAsia="zh-CN"/>
                    </w:rPr>
                    <w:t>L/(床·d)</w:t>
                  </w:r>
                </w:p>
              </w:tc>
              <w:tc>
                <w:tcPr>
                  <w:tcW w:w="1147" w:type="dxa"/>
                  <w:vAlign w:val="center"/>
                </w:tcPr>
                <w:p w14:paraId="3C20B901">
                  <w:pPr>
                    <w:pStyle w:val="42"/>
                    <w:jc w:val="center"/>
                    <w:rPr>
                      <w:rFonts w:hint="default"/>
                      <w:vertAlign w:val="baseline"/>
                      <w:lang w:val="en-US" w:eastAsia="zh-CN"/>
                    </w:rPr>
                  </w:pPr>
                  <w:r>
                    <w:rPr>
                      <w:rFonts w:hint="eastAsia"/>
                      <w:vertAlign w:val="baseline"/>
                      <w:lang w:val="en-US" w:eastAsia="zh-CN"/>
                    </w:rPr>
                    <w:t>62.75</w:t>
                  </w:r>
                </w:p>
              </w:tc>
              <w:tc>
                <w:tcPr>
                  <w:tcW w:w="1183" w:type="dxa"/>
                  <w:vAlign w:val="center"/>
                </w:tcPr>
                <w:p w14:paraId="4539A242">
                  <w:pPr>
                    <w:pStyle w:val="42"/>
                    <w:jc w:val="center"/>
                    <w:rPr>
                      <w:rFonts w:hint="default"/>
                      <w:vertAlign w:val="baseline"/>
                      <w:lang w:val="en-US" w:eastAsia="zh-CN"/>
                    </w:rPr>
                  </w:pPr>
                  <w:r>
                    <w:rPr>
                      <w:rFonts w:hint="eastAsia"/>
                      <w:vertAlign w:val="baseline"/>
                      <w:lang w:val="en-US" w:eastAsia="zh-CN"/>
                    </w:rPr>
                    <w:t>22903.75</w:t>
                  </w:r>
                </w:p>
              </w:tc>
            </w:tr>
            <w:tr w14:paraId="7A76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13675ED7">
                  <w:pPr>
                    <w:pStyle w:val="42"/>
                    <w:jc w:val="center"/>
                    <w:rPr>
                      <w:rFonts w:hint="default"/>
                      <w:vertAlign w:val="baseline"/>
                      <w:lang w:val="en-US" w:eastAsia="zh-CN"/>
                    </w:rPr>
                  </w:pPr>
                  <w:r>
                    <w:rPr>
                      <w:rFonts w:hint="eastAsia"/>
                      <w:vertAlign w:val="baseline"/>
                      <w:lang w:val="en-US" w:eastAsia="zh-CN"/>
                    </w:rPr>
                    <w:t>3</w:t>
                  </w:r>
                </w:p>
              </w:tc>
              <w:tc>
                <w:tcPr>
                  <w:tcW w:w="1472" w:type="dxa"/>
                  <w:vAlign w:val="center"/>
                </w:tcPr>
                <w:p w14:paraId="71340991">
                  <w:pPr>
                    <w:pStyle w:val="42"/>
                    <w:jc w:val="center"/>
                    <w:rPr>
                      <w:rFonts w:hint="default"/>
                      <w:vertAlign w:val="baseline"/>
                      <w:lang w:val="en-US" w:eastAsia="zh-CN"/>
                    </w:rPr>
                  </w:pPr>
                  <w:r>
                    <w:rPr>
                      <w:rFonts w:hint="eastAsia"/>
                      <w:vertAlign w:val="baseline"/>
                      <w:lang w:val="en-US" w:eastAsia="zh-CN"/>
                    </w:rPr>
                    <w:t>病床用水（含独立卫生间）</w:t>
                  </w:r>
                </w:p>
              </w:tc>
              <w:tc>
                <w:tcPr>
                  <w:tcW w:w="826" w:type="dxa"/>
                  <w:vAlign w:val="center"/>
                </w:tcPr>
                <w:p w14:paraId="25983597">
                  <w:pPr>
                    <w:pStyle w:val="42"/>
                    <w:jc w:val="center"/>
                    <w:rPr>
                      <w:rFonts w:hint="default"/>
                      <w:vertAlign w:val="baseline"/>
                      <w:lang w:val="en-US" w:eastAsia="zh-CN"/>
                    </w:rPr>
                  </w:pPr>
                  <w:r>
                    <w:rPr>
                      <w:rFonts w:hint="eastAsia"/>
                      <w:vertAlign w:val="baseline"/>
                      <w:lang w:val="en-US" w:eastAsia="zh-CN"/>
                    </w:rPr>
                    <w:t>19床</w:t>
                  </w:r>
                </w:p>
              </w:tc>
              <w:tc>
                <w:tcPr>
                  <w:tcW w:w="1780" w:type="dxa"/>
                  <w:vAlign w:val="center"/>
                </w:tcPr>
                <w:p w14:paraId="1153C542">
                  <w:pPr>
                    <w:pStyle w:val="42"/>
                    <w:jc w:val="center"/>
                    <w:rPr>
                      <w:rFonts w:hint="eastAsia"/>
                      <w:vertAlign w:val="baseline"/>
                      <w:lang w:val="en-US" w:eastAsia="zh-CN"/>
                    </w:rPr>
                  </w:pPr>
                  <w:r>
                    <w:rPr>
                      <w:rFonts w:hint="eastAsia"/>
                      <w:vertAlign w:val="baseline"/>
                      <w:lang w:val="en-US" w:eastAsia="zh-CN"/>
                    </w:rPr>
                    <w:t>250~400L/(床·d)</w:t>
                  </w:r>
                </w:p>
              </w:tc>
              <w:tc>
                <w:tcPr>
                  <w:tcW w:w="1462" w:type="dxa"/>
                  <w:shd w:val="clear" w:color="auto" w:fill="auto"/>
                  <w:vAlign w:val="center"/>
                </w:tcPr>
                <w:p w14:paraId="75DE4B50">
                  <w:pPr>
                    <w:pStyle w:val="42"/>
                    <w:ind w:firstLine="0" w:firstLineChars="0"/>
                    <w:jc w:val="center"/>
                    <w:rPr>
                      <w:rFonts w:hint="default" w:ascii="Times New Roman" w:hAnsi="Times New Roman" w:eastAsia="宋体" w:cs="Times New Roman"/>
                      <w:b w:val="0"/>
                      <w:spacing w:val="-2"/>
                      <w:kern w:val="0"/>
                      <w:sz w:val="21"/>
                      <w:szCs w:val="18"/>
                      <w:vertAlign w:val="baseline"/>
                      <w:lang w:val="en-US" w:eastAsia="zh-CN" w:bidi="ar-SA"/>
                    </w:rPr>
                  </w:pPr>
                  <w:r>
                    <w:rPr>
                      <w:rFonts w:hint="eastAsia"/>
                      <w:vertAlign w:val="baseline"/>
                      <w:lang w:val="en-US" w:eastAsia="zh-CN"/>
                    </w:rPr>
                    <w:t>400</w:t>
                  </w:r>
                  <w:r>
                    <w:rPr>
                      <w:rFonts w:hint="eastAsia"/>
                      <w:lang w:val="en-US" w:eastAsia="zh-CN"/>
                    </w:rPr>
                    <w:t>L/(床·d)</w:t>
                  </w:r>
                </w:p>
              </w:tc>
              <w:tc>
                <w:tcPr>
                  <w:tcW w:w="1147" w:type="dxa"/>
                  <w:vAlign w:val="center"/>
                </w:tcPr>
                <w:p w14:paraId="49B1E593">
                  <w:pPr>
                    <w:pStyle w:val="42"/>
                    <w:jc w:val="center"/>
                    <w:rPr>
                      <w:rFonts w:hint="default"/>
                      <w:vertAlign w:val="baseline"/>
                      <w:lang w:val="en-US" w:eastAsia="zh-CN"/>
                    </w:rPr>
                  </w:pPr>
                  <w:r>
                    <w:rPr>
                      <w:rFonts w:hint="eastAsia"/>
                      <w:vertAlign w:val="baseline"/>
                      <w:lang w:val="en-US" w:eastAsia="zh-CN"/>
                    </w:rPr>
                    <w:t>7.6</w:t>
                  </w:r>
                </w:p>
              </w:tc>
              <w:tc>
                <w:tcPr>
                  <w:tcW w:w="1183" w:type="dxa"/>
                  <w:vAlign w:val="center"/>
                </w:tcPr>
                <w:p w14:paraId="730944C6">
                  <w:pPr>
                    <w:pStyle w:val="42"/>
                    <w:jc w:val="center"/>
                    <w:rPr>
                      <w:rFonts w:hint="default"/>
                      <w:vertAlign w:val="baseline"/>
                      <w:lang w:val="en-US" w:eastAsia="zh-CN"/>
                    </w:rPr>
                  </w:pPr>
                  <w:r>
                    <w:rPr>
                      <w:rFonts w:hint="eastAsia"/>
                      <w:vertAlign w:val="baseline"/>
                      <w:lang w:val="en-US" w:eastAsia="zh-CN"/>
                    </w:rPr>
                    <w:t>2774</w:t>
                  </w:r>
                </w:p>
              </w:tc>
            </w:tr>
            <w:tr w14:paraId="40B3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2AA8D5CC">
                  <w:pPr>
                    <w:pStyle w:val="42"/>
                    <w:jc w:val="center"/>
                    <w:rPr>
                      <w:rFonts w:hint="default"/>
                      <w:vertAlign w:val="baseline"/>
                      <w:lang w:val="en-US" w:eastAsia="zh-CN"/>
                    </w:rPr>
                  </w:pPr>
                  <w:r>
                    <w:rPr>
                      <w:rFonts w:hint="eastAsia"/>
                      <w:vertAlign w:val="baseline"/>
                      <w:lang w:val="en-US" w:eastAsia="zh-CN"/>
                    </w:rPr>
                    <w:t>3</w:t>
                  </w:r>
                </w:p>
              </w:tc>
              <w:tc>
                <w:tcPr>
                  <w:tcW w:w="1472" w:type="dxa"/>
                  <w:vAlign w:val="center"/>
                </w:tcPr>
                <w:p w14:paraId="38EDBF37">
                  <w:pPr>
                    <w:pStyle w:val="42"/>
                    <w:jc w:val="center"/>
                    <w:rPr>
                      <w:rFonts w:hint="default"/>
                      <w:vertAlign w:val="baseline"/>
                      <w:lang w:val="en-US" w:eastAsia="zh-CN"/>
                    </w:rPr>
                  </w:pPr>
                  <w:r>
                    <w:rPr>
                      <w:rFonts w:hint="eastAsia"/>
                      <w:vertAlign w:val="baseline"/>
                      <w:lang w:val="en-US" w:eastAsia="zh-CN"/>
                    </w:rPr>
                    <w:t>职工用水</w:t>
                  </w:r>
                </w:p>
              </w:tc>
              <w:tc>
                <w:tcPr>
                  <w:tcW w:w="826" w:type="dxa"/>
                  <w:vAlign w:val="center"/>
                </w:tcPr>
                <w:p w14:paraId="686F5803">
                  <w:pPr>
                    <w:pStyle w:val="42"/>
                    <w:jc w:val="center"/>
                    <w:rPr>
                      <w:rFonts w:hint="default"/>
                      <w:vertAlign w:val="baseline"/>
                      <w:lang w:val="en-US" w:eastAsia="zh-CN"/>
                    </w:rPr>
                  </w:pPr>
                  <w:r>
                    <w:rPr>
                      <w:rFonts w:hint="eastAsia"/>
                      <w:vertAlign w:val="baseline"/>
                      <w:lang w:val="en-US" w:eastAsia="zh-CN"/>
                    </w:rPr>
                    <w:t>60人</w:t>
                  </w:r>
                </w:p>
              </w:tc>
              <w:tc>
                <w:tcPr>
                  <w:tcW w:w="1780" w:type="dxa"/>
                  <w:vAlign w:val="center"/>
                </w:tcPr>
                <w:p w14:paraId="3F3164A4">
                  <w:pPr>
                    <w:pStyle w:val="42"/>
                    <w:jc w:val="center"/>
                    <w:rPr>
                      <w:rFonts w:hint="default"/>
                      <w:vertAlign w:val="baseline"/>
                      <w:lang w:val="en-US" w:eastAsia="zh-CN"/>
                    </w:rPr>
                  </w:pPr>
                  <w:r>
                    <w:rPr>
                      <w:rFonts w:hint="default"/>
                      <w:vertAlign w:val="baseline"/>
                      <w:lang w:val="en-US" w:eastAsia="zh-CN"/>
                    </w:rPr>
                    <w:t>150~250L/(人·班)</w:t>
                  </w:r>
                </w:p>
              </w:tc>
              <w:tc>
                <w:tcPr>
                  <w:tcW w:w="1462" w:type="dxa"/>
                  <w:shd w:val="clear" w:color="auto" w:fill="auto"/>
                  <w:vAlign w:val="center"/>
                </w:tcPr>
                <w:p w14:paraId="3B228314">
                  <w:pPr>
                    <w:pStyle w:val="42"/>
                    <w:ind w:firstLine="0" w:firstLineChars="0"/>
                    <w:jc w:val="center"/>
                    <w:rPr>
                      <w:rFonts w:hint="eastAsia" w:ascii="Times New Roman" w:hAnsi="Times New Roman" w:eastAsia="宋体" w:cs="Times New Roman"/>
                      <w:b w:val="0"/>
                      <w:spacing w:val="-2"/>
                      <w:kern w:val="0"/>
                      <w:sz w:val="21"/>
                      <w:szCs w:val="18"/>
                      <w:vertAlign w:val="baseline"/>
                      <w:lang w:val="en-US" w:eastAsia="zh-CN" w:bidi="ar-SA"/>
                    </w:rPr>
                  </w:pPr>
                  <w:r>
                    <w:rPr>
                      <w:rFonts w:hint="eastAsia"/>
                      <w:vertAlign w:val="baseline"/>
                      <w:lang w:val="en-US" w:eastAsia="zh-CN"/>
                    </w:rPr>
                    <w:t>250</w:t>
                  </w:r>
                  <w:r>
                    <w:rPr>
                      <w:rFonts w:hint="eastAsia"/>
                      <w:lang w:val="en-US" w:eastAsia="zh-CN"/>
                    </w:rPr>
                    <w:t>L/(人·班)</w:t>
                  </w:r>
                </w:p>
              </w:tc>
              <w:tc>
                <w:tcPr>
                  <w:tcW w:w="1147" w:type="dxa"/>
                  <w:vAlign w:val="center"/>
                </w:tcPr>
                <w:p w14:paraId="5C4DA2D3">
                  <w:pPr>
                    <w:pStyle w:val="42"/>
                    <w:jc w:val="center"/>
                    <w:rPr>
                      <w:rFonts w:hint="default"/>
                      <w:vertAlign w:val="baseline"/>
                      <w:lang w:val="en-US" w:eastAsia="zh-CN"/>
                    </w:rPr>
                  </w:pPr>
                  <w:r>
                    <w:rPr>
                      <w:rFonts w:hint="eastAsia"/>
                      <w:vertAlign w:val="baseline"/>
                      <w:lang w:val="en-US" w:eastAsia="zh-CN"/>
                    </w:rPr>
                    <w:t>15</w:t>
                  </w:r>
                </w:p>
              </w:tc>
              <w:tc>
                <w:tcPr>
                  <w:tcW w:w="1183" w:type="dxa"/>
                  <w:vAlign w:val="center"/>
                </w:tcPr>
                <w:p w14:paraId="521E7C24">
                  <w:pPr>
                    <w:pStyle w:val="42"/>
                    <w:jc w:val="center"/>
                    <w:rPr>
                      <w:rFonts w:hint="default"/>
                      <w:vertAlign w:val="baseline"/>
                      <w:lang w:val="en-US" w:eastAsia="zh-CN"/>
                    </w:rPr>
                  </w:pPr>
                  <w:r>
                    <w:rPr>
                      <w:rFonts w:hint="eastAsia"/>
                      <w:vertAlign w:val="baseline"/>
                      <w:lang w:val="en-US" w:eastAsia="zh-CN"/>
                    </w:rPr>
                    <w:t>5475</w:t>
                  </w:r>
                </w:p>
              </w:tc>
            </w:tr>
            <w:tr w14:paraId="36BD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762309D8">
                  <w:pPr>
                    <w:pStyle w:val="42"/>
                    <w:jc w:val="center"/>
                    <w:rPr>
                      <w:rFonts w:hint="default"/>
                      <w:vertAlign w:val="baseline"/>
                      <w:lang w:val="en-US" w:eastAsia="zh-CN"/>
                    </w:rPr>
                  </w:pPr>
                  <w:r>
                    <w:rPr>
                      <w:rFonts w:hint="eastAsia"/>
                      <w:vertAlign w:val="baseline"/>
                      <w:lang w:val="en-US" w:eastAsia="zh-CN"/>
                    </w:rPr>
                    <w:t>4</w:t>
                  </w:r>
                </w:p>
              </w:tc>
              <w:tc>
                <w:tcPr>
                  <w:tcW w:w="1472" w:type="dxa"/>
                  <w:vAlign w:val="center"/>
                </w:tcPr>
                <w:p w14:paraId="3E1B5A5C">
                  <w:pPr>
                    <w:pStyle w:val="42"/>
                    <w:jc w:val="center"/>
                    <w:rPr>
                      <w:rFonts w:hint="default"/>
                      <w:vertAlign w:val="baseline"/>
                      <w:lang w:val="en-US" w:eastAsia="zh-CN"/>
                    </w:rPr>
                  </w:pPr>
                  <w:r>
                    <w:rPr>
                      <w:rFonts w:hint="eastAsia"/>
                      <w:vertAlign w:val="baseline"/>
                      <w:lang w:val="en-US" w:eastAsia="zh-CN"/>
                    </w:rPr>
                    <w:t>食堂用水</w:t>
                  </w:r>
                </w:p>
              </w:tc>
              <w:tc>
                <w:tcPr>
                  <w:tcW w:w="826" w:type="dxa"/>
                  <w:vAlign w:val="center"/>
                </w:tcPr>
                <w:p w14:paraId="5A623767">
                  <w:pPr>
                    <w:pStyle w:val="42"/>
                    <w:jc w:val="center"/>
                    <w:rPr>
                      <w:rFonts w:hint="default"/>
                      <w:vertAlign w:val="baseline"/>
                      <w:lang w:val="en-US" w:eastAsia="zh-CN"/>
                    </w:rPr>
                  </w:pPr>
                  <w:r>
                    <w:rPr>
                      <w:rFonts w:hint="eastAsia"/>
                      <w:vertAlign w:val="baseline"/>
                      <w:lang w:val="en-US" w:eastAsia="zh-CN"/>
                    </w:rPr>
                    <w:t>330人</w:t>
                  </w:r>
                </w:p>
              </w:tc>
              <w:tc>
                <w:tcPr>
                  <w:tcW w:w="1780" w:type="dxa"/>
                  <w:vAlign w:val="center"/>
                </w:tcPr>
                <w:p w14:paraId="31C46EC3">
                  <w:pPr>
                    <w:pStyle w:val="42"/>
                    <w:jc w:val="center"/>
                    <w:rPr>
                      <w:rFonts w:hint="default"/>
                      <w:vertAlign w:val="baseline"/>
                      <w:lang w:val="en-US" w:eastAsia="zh-CN"/>
                    </w:rPr>
                  </w:pPr>
                  <w:r>
                    <w:rPr>
                      <w:rFonts w:hint="default"/>
                      <w:vertAlign w:val="baseline"/>
                      <w:lang w:val="en-US" w:eastAsia="zh-CN"/>
                    </w:rPr>
                    <w:t>20~25L/（人·次）</w:t>
                  </w:r>
                </w:p>
              </w:tc>
              <w:tc>
                <w:tcPr>
                  <w:tcW w:w="1462" w:type="dxa"/>
                  <w:shd w:val="clear" w:color="auto" w:fill="auto"/>
                  <w:vAlign w:val="center"/>
                </w:tcPr>
                <w:p w14:paraId="1095032C">
                  <w:pPr>
                    <w:pStyle w:val="42"/>
                    <w:ind w:firstLine="0" w:firstLineChars="0"/>
                    <w:jc w:val="center"/>
                    <w:rPr>
                      <w:rFonts w:hint="eastAsia" w:ascii="Times New Roman" w:hAnsi="Times New Roman" w:eastAsia="宋体" w:cs="Times New Roman"/>
                      <w:b w:val="0"/>
                      <w:spacing w:val="-2"/>
                      <w:kern w:val="0"/>
                      <w:sz w:val="21"/>
                      <w:szCs w:val="18"/>
                      <w:vertAlign w:val="baseline"/>
                      <w:lang w:val="en-US" w:eastAsia="zh-CN" w:bidi="ar-SA"/>
                    </w:rPr>
                  </w:pPr>
                  <w:r>
                    <w:rPr>
                      <w:rFonts w:hint="eastAsia"/>
                      <w:vertAlign w:val="baseline"/>
                      <w:lang w:val="en-US" w:eastAsia="zh-CN"/>
                    </w:rPr>
                    <w:t>25L/（人</w:t>
                  </w:r>
                  <w:r>
                    <w:rPr>
                      <w:rFonts w:hint="eastAsia"/>
                      <w:lang w:val="en-US" w:eastAsia="zh-CN"/>
                    </w:rPr>
                    <w:t>·次</w:t>
                  </w:r>
                  <w:r>
                    <w:rPr>
                      <w:rFonts w:hint="eastAsia"/>
                      <w:vertAlign w:val="baseline"/>
                      <w:lang w:val="en-US" w:eastAsia="zh-CN"/>
                    </w:rPr>
                    <w:t>）</w:t>
                  </w:r>
                </w:p>
              </w:tc>
              <w:tc>
                <w:tcPr>
                  <w:tcW w:w="1147" w:type="dxa"/>
                  <w:vAlign w:val="center"/>
                </w:tcPr>
                <w:p w14:paraId="1E360D15">
                  <w:pPr>
                    <w:pStyle w:val="42"/>
                    <w:jc w:val="center"/>
                    <w:rPr>
                      <w:rFonts w:hint="default"/>
                      <w:vertAlign w:val="baseline"/>
                      <w:lang w:val="en-US" w:eastAsia="zh-CN"/>
                    </w:rPr>
                  </w:pPr>
                  <w:r>
                    <w:rPr>
                      <w:rFonts w:hint="eastAsia"/>
                      <w:vertAlign w:val="baseline"/>
                      <w:lang w:val="en-US" w:eastAsia="zh-CN"/>
                    </w:rPr>
                    <w:t>8.25</w:t>
                  </w:r>
                </w:p>
              </w:tc>
              <w:tc>
                <w:tcPr>
                  <w:tcW w:w="1183" w:type="dxa"/>
                  <w:vAlign w:val="center"/>
                </w:tcPr>
                <w:p w14:paraId="23D973E9">
                  <w:pPr>
                    <w:pStyle w:val="42"/>
                    <w:jc w:val="center"/>
                    <w:rPr>
                      <w:rFonts w:hint="default"/>
                      <w:vertAlign w:val="baseline"/>
                      <w:lang w:val="en-US" w:eastAsia="zh-CN"/>
                    </w:rPr>
                  </w:pPr>
                  <w:r>
                    <w:rPr>
                      <w:rFonts w:hint="eastAsia"/>
                      <w:vertAlign w:val="baseline"/>
                      <w:lang w:val="en-US" w:eastAsia="zh-CN"/>
                    </w:rPr>
                    <w:t>3011.25</w:t>
                  </w:r>
                </w:p>
              </w:tc>
            </w:tr>
            <w:tr w14:paraId="16D9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0D086CB6">
                  <w:pPr>
                    <w:pStyle w:val="42"/>
                    <w:jc w:val="center"/>
                    <w:rPr>
                      <w:rFonts w:hint="default"/>
                      <w:vertAlign w:val="baseline"/>
                      <w:lang w:val="en-US" w:eastAsia="zh-CN"/>
                    </w:rPr>
                  </w:pPr>
                  <w:r>
                    <w:rPr>
                      <w:rFonts w:hint="eastAsia"/>
                      <w:vertAlign w:val="baseline"/>
                      <w:lang w:val="en-US" w:eastAsia="zh-CN"/>
                    </w:rPr>
                    <w:t>5</w:t>
                  </w:r>
                </w:p>
              </w:tc>
              <w:tc>
                <w:tcPr>
                  <w:tcW w:w="1472" w:type="dxa"/>
                  <w:vAlign w:val="center"/>
                </w:tcPr>
                <w:p w14:paraId="636C67BA">
                  <w:pPr>
                    <w:pStyle w:val="42"/>
                    <w:jc w:val="center"/>
                    <w:rPr>
                      <w:rFonts w:hint="default"/>
                      <w:vertAlign w:val="baseline"/>
                      <w:lang w:val="en-US" w:eastAsia="zh-CN"/>
                    </w:rPr>
                  </w:pPr>
                  <w:r>
                    <w:rPr>
                      <w:rFonts w:hint="eastAsia"/>
                      <w:vertAlign w:val="baseline"/>
                      <w:lang w:val="en-US" w:eastAsia="zh-CN"/>
                    </w:rPr>
                    <w:t>清洁用水</w:t>
                  </w:r>
                </w:p>
              </w:tc>
              <w:tc>
                <w:tcPr>
                  <w:tcW w:w="826" w:type="dxa"/>
                  <w:vAlign w:val="center"/>
                </w:tcPr>
                <w:p w14:paraId="350BD653">
                  <w:pPr>
                    <w:pStyle w:val="42"/>
                    <w:jc w:val="center"/>
                    <w:rPr>
                      <w:rFonts w:hint="default"/>
                      <w:vertAlign w:val="baseline"/>
                      <w:lang w:val="en-US" w:eastAsia="zh-CN"/>
                    </w:rPr>
                  </w:pPr>
                  <w:r>
                    <w:rPr>
                      <w:rFonts w:hint="eastAsia"/>
                      <w:vertAlign w:val="baseline"/>
                      <w:lang w:val="en-US" w:eastAsia="zh-CN"/>
                    </w:rPr>
                    <w:t>10557㎡</w:t>
                  </w:r>
                </w:p>
              </w:tc>
              <w:tc>
                <w:tcPr>
                  <w:tcW w:w="1780" w:type="dxa"/>
                  <w:vAlign w:val="center"/>
                </w:tcPr>
                <w:p w14:paraId="7B5CC987">
                  <w:pPr>
                    <w:pStyle w:val="42"/>
                    <w:jc w:val="center"/>
                    <w:rPr>
                      <w:rFonts w:hint="default"/>
                      <w:vertAlign w:val="baseline"/>
                      <w:lang w:val="en-US" w:eastAsia="zh-CN"/>
                    </w:rPr>
                  </w:pPr>
                  <w:r>
                    <w:rPr>
                      <w:rFonts w:hint="eastAsia"/>
                      <w:vertAlign w:val="baseline"/>
                      <w:lang w:val="en-US" w:eastAsia="zh-CN"/>
                    </w:rPr>
                    <w:t>0.2L/㎡.次</w:t>
                  </w:r>
                </w:p>
              </w:tc>
              <w:tc>
                <w:tcPr>
                  <w:tcW w:w="1462" w:type="dxa"/>
                  <w:shd w:val="clear" w:color="auto" w:fill="auto"/>
                  <w:vAlign w:val="center"/>
                </w:tcPr>
                <w:p w14:paraId="29520149">
                  <w:pPr>
                    <w:pStyle w:val="42"/>
                    <w:ind w:firstLine="0" w:firstLineChars="0"/>
                    <w:jc w:val="center"/>
                    <w:rPr>
                      <w:rFonts w:hint="default"/>
                      <w:vertAlign w:val="baseline"/>
                      <w:lang w:val="en-US" w:eastAsia="zh-CN"/>
                    </w:rPr>
                  </w:pPr>
                  <w:r>
                    <w:rPr>
                      <w:rFonts w:hint="eastAsia"/>
                      <w:vertAlign w:val="baseline"/>
                      <w:lang w:val="en-US" w:eastAsia="zh-CN"/>
                    </w:rPr>
                    <w:t>0.2L/㎡.次×2次</w:t>
                  </w:r>
                </w:p>
              </w:tc>
              <w:tc>
                <w:tcPr>
                  <w:tcW w:w="1147" w:type="dxa"/>
                  <w:vAlign w:val="center"/>
                </w:tcPr>
                <w:p w14:paraId="53F01485">
                  <w:pPr>
                    <w:pStyle w:val="42"/>
                    <w:jc w:val="center"/>
                    <w:rPr>
                      <w:rFonts w:hint="default"/>
                      <w:vertAlign w:val="baseline"/>
                      <w:lang w:val="en-US" w:eastAsia="zh-CN"/>
                    </w:rPr>
                  </w:pPr>
                  <w:r>
                    <w:rPr>
                      <w:rFonts w:hint="eastAsia"/>
                      <w:vertAlign w:val="baseline"/>
                      <w:lang w:val="en-US" w:eastAsia="zh-CN"/>
                    </w:rPr>
                    <w:t>4.2228</w:t>
                  </w:r>
                </w:p>
              </w:tc>
              <w:tc>
                <w:tcPr>
                  <w:tcW w:w="1183" w:type="dxa"/>
                  <w:vAlign w:val="center"/>
                </w:tcPr>
                <w:p w14:paraId="6E29AF38">
                  <w:pPr>
                    <w:pStyle w:val="42"/>
                    <w:jc w:val="center"/>
                    <w:rPr>
                      <w:rFonts w:hint="default"/>
                      <w:vertAlign w:val="baseline"/>
                      <w:lang w:val="en-US" w:eastAsia="zh-CN"/>
                    </w:rPr>
                  </w:pPr>
                  <w:r>
                    <w:rPr>
                      <w:rFonts w:hint="eastAsia"/>
                      <w:vertAlign w:val="baseline"/>
                      <w:lang w:val="en-US" w:eastAsia="zh-CN"/>
                    </w:rPr>
                    <w:t>1541.322</w:t>
                  </w:r>
                </w:p>
              </w:tc>
            </w:tr>
            <w:tr w14:paraId="5E15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Align w:val="center"/>
                </w:tcPr>
                <w:p w14:paraId="2FA4A5C0">
                  <w:pPr>
                    <w:pStyle w:val="42"/>
                    <w:jc w:val="center"/>
                    <w:rPr>
                      <w:rFonts w:hint="default"/>
                      <w:vertAlign w:val="baseline"/>
                      <w:lang w:val="en-US" w:eastAsia="zh-CN"/>
                    </w:rPr>
                  </w:pPr>
                  <w:r>
                    <w:rPr>
                      <w:rFonts w:hint="eastAsia"/>
                      <w:vertAlign w:val="baseline"/>
                      <w:lang w:val="en-US" w:eastAsia="zh-CN"/>
                    </w:rPr>
                    <w:t>6</w:t>
                  </w:r>
                </w:p>
              </w:tc>
              <w:tc>
                <w:tcPr>
                  <w:tcW w:w="1472" w:type="dxa"/>
                  <w:vAlign w:val="center"/>
                </w:tcPr>
                <w:p w14:paraId="65FFEB63">
                  <w:pPr>
                    <w:pStyle w:val="42"/>
                    <w:jc w:val="center"/>
                    <w:rPr>
                      <w:rFonts w:hint="eastAsia"/>
                      <w:vertAlign w:val="baseline"/>
                      <w:lang w:val="en-US" w:eastAsia="zh-CN"/>
                    </w:rPr>
                  </w:pPr>
                  <w:r>
                    <w:rPr>
                      <w:rFonts w:hint="eastAsia"/>
                      <w:color w:val="auto"/>
                      <w:highlight w:val="none"/>
                      <w:lang w:val="en-US" w:eastAsia="zh-CN"/>
                    </w:rPr>
                    <w:t>未预见用水</w:t>
                  </w:r>
                </w:p>
              </w:tc>
              <w:tc>
                <w:tcPr>
                  <w:tcW w:w="4068" w:type="dxa"/>
                  <w:gridSpan w:val="3"/>
                  <w:vAlign w:val="center"/>
                </w:tcPr>
                <w:p w14:paraId="399176AA">
                  <w:pPr>
                    <w:pStyle w:val="42"/>
                    <w:jc w:val="center"/>
                    <w:rPr>
                      <w:rFonts w:hint="default"/>
                      <w:vertAlign w:val="baseline"/>
                      <w:lang w:val="en-US" w:eastAsia="zh-CN"/>
                    </w:rPr>
                  </w:pPr>
                  <w:r>
                    <w:rPr>
                      <w:rFonts w:hint="eastAsia"/>
                      <w:vertAlign w:val="baseline"/>
                      <w:lang w:val="en-US" w:eastAsia="zh-CN"/>
                    </w:rPr>
                    <w:t>5%</w:t>
                  </w:r>
                </w:p>
              </w:tc>
              <w:tc>
                <w:tcPr>
                  <w:tcW w:w="1147" w:type="dxa"/>
                  <w:vAlign w:val="center"/>
                </w:tcPr>
                <w:p w14:paraId="70D35316">
                  <w:pPr>
                    <w:pStyle w:val="42"/>
                    <w:jc w:val="center"/>
                    <w:rPr>
                      <w:rFonts w:hint="default"/>
                      <w:lang w:val="en-US" w:eastAsia="zh-CN"/>
                    </w:rPr>
                  </w:pPr>
                  <w:r>
                    <w:rPr>
                      <w:rFonts w:hint="eastAsia"/>
                      <w:vertAlign w:val="baseline"/>
                      <w:lang w:val="en-US" w:eastAsia="zh-CN"/>
                    </w:rPr>
                    <w:t>4.8864</w:t>
                  </w:r>
                </w:p>
              </w:tc>
              <w:tc>
                <w:tcPr>
                  <w:tcW w:w="1183" w:type="dxa"/>
                  <w:vAlign w:val="center"/>
                </w:tcPr>
                <w:p w14:paraId="4A9D2F57">
                  <w:pPr>
                    <w:pStyle w:val="42"/>
                    <w:jc w:val="center"/>
                    <w:rPr>
                      <w:rFonts w:hint="default"/>
                      <w:vertAlign w:val="baseline"/>
                      <w:lang w:val="en-US" w:eastAsia="zh-CN"/>
                    </w:rPr>
                  </w:pPr>
                  <w:r>
                    <w:rPr>
                      <w:rFonts w:hint="eastAsia"/>
                      <w:vertAlign w:val="baseline"/>
                      <w:lang w:val="en-US" w:eastAsia="zh-CN"/>
                    </w:rPr>
                    <w:t>1783.536</w:t>
                  </w:r>
                </w:p>
              </w:tc>
            </w:tr>
            <w:tr w14:paraId="7A31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gridSpan w:val="2"/>
                  <w:vAlign w:val="center"/>
                </w:tcPr>
                <w:p w14:paraId="4D498901">
                  <w:pPr>
                    <w:pStyle w:val="42"/>
                    <w:jc w:val="center"/>
                    <w:rPr>
                      <w:rFonts w:hint="default"/>
                      <w:color w:val="auto"/>
                      <w:highlight w:val="none"/>
                      <w:lang w:val="en-US" w:eastAsia="zh-CN"/>
                    </w:rPr>
                  </w:pPr>
                  <w:r>
                    <w:rPr>
                      <w:rFonts w:hint="eastAsia"/>
                      <w:color w:val="auto"/>
                      <w:highlight w:val="none"/>
                      <w:lang w:val="en-US" w:eastAsia="zh-CN"/>
                    </w:rPr>
                    <w:t>合计</w:t>
                  </w:r>
                </w:p>
              </w:tc>
              <w:tc>
                <w:tcPr>
                  <w:tcW w:w="4068" w:type="dxa"/>
                  <w:gridSpan w:val="3"/>
                  <w:vAlign w:val="center"/>
                </w:tcPr>
                <w:p w14:paraId="17160C70">
                  <w:pPr>
                    <w:pStyle w:val="42"/>
                    <w:jc w:val="center"/>
                    <w:rPr>
                      <w:rFonts w:hint="default"/>
                      <w:vertAlign w:val="baseline"/>
                      <w:lang w:val="en-US" w:eastAsia="zh-CN"/>
                    </w:rPr>
                  </w:pPr>
                  <w:r>
                    <w:rPr>
                      <w:rFonts w:hint="eastAsia"/>
                      <w:vertAlign w:val="baseline"/>
                      <w:lang w:val="en-US" w:eastAsia="zh-CN"/>
                    </w:rPr>
                    <w:t>/</w:t>
                  </w:r>
                </w:p>
              </w:tc>
              <w:tc>
                <w:tcPr>
                  <w:tcW w:w="1147" w:type="dxa"/>
                  <w:vAlign w:val="center"/>
                </w:tcPr>
                <w:p w14:paraId="7ED536B6">
                  <w:pPr>
                    <w:pStyle w:val="42"/>
                    <w:jc w:val="center"/>
                    <w:rPr>
                      <w:rFonts w:hint="default"/>
                      <w:vertAlign w:val="baseline"/>
                      <w:lang w:val="en-US" w:eastAsia="zh-CN"/>
                    </w:rPr>
                  </w:pPr>
                  <w:r>
                    <w:rPr>
                      <w:rFonts w:hint="eastAsia"/>
                      <w:vertAlign w:val="baseline"/>
                      <w:lang w:val="en-US" w:eastAsia="zh-CN"/>
                    </w:rPr>
                    <w:t>103.785</w:t>
                  </w:r>
                </w:p>
              </w:tc>
              <w:tc>
                <w:tcPr>
                  <w:tcW w:w="1183" w:type="dxa"/>
                  <w:vAlign w:val="center"/>
                </w:tcPr>
                <w:p w14:paraId="6ED0C1B9">
                  <w:pPr>
                    <w:pStyle w:val="42"/>
                    <w:jc w:val="center"/>
                    <w:rPr>
                      <w:rFonts w:hint="default"/>
                      <w:vertAlign w:val="baseline"/>
                      <w:lang w:val="en-US" w:eastAsia="zh-CN"/>
                    </w:rPr>
                  </w:pPr>
                  <w:r>
                    <w:rPr>
                      <w:rFonts w:hint="eastAsia"/>
                      <w:vertAlign w:val="baseline"/>
                      <w:lang w:val="en-US" w:eastAsia="zh-CN"/>
                    </w:rPr>
                    <w:t>37881.525</w:t>
                  </w:r>
                </w:p>
              </w:tc>
            </w:tr>
            <w:tr w14:paraId="3F4E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8" w:type="dxa"/>
                  <w:gridSpan w:val="7"/>
                  <w:vAlign w:val="center"/>
                </w:tcPr>
                <w:p w14:paraId="3D996658">
                  <w:pPr>
                    <w:pStyle w:val="32"/>
                    <w:bidi w:val="0"/>
                    <w:jc w:val="left"/>
                    <w:rPr>
                      <w:rFonts w:hint="eastAsia"/>
                      <w:lang w:val="en-US" w:eastAsia="zh-CN"/>
                    </w:rPr>
                  </w:pPr>
                  <w:r>
                    <w:rPr>
                      <w:rFonts w:hint="eastAsia"/>
                      <w:lang w:val="en-US" w:eastAsia="zh-CN"/>
                    </w:rPr>
                    <w:t>*用水量定额参照《综合医院建筑设计规范》（GB51039-2014）表6.2.2医院生活用水量定额确定。</w:t>
                  </w:r>
                </w:p>
                <w:p w14:paraId="35DA9460">
                  <w:pPr>
                    <w:pStyle w:val="32"/>
                    <w:bidi w:val="0"/>
                    <w:jc w:val="left"/>
                    <w:rPr>
                      <w:rFonts w:hint="default"/>
                      <w:lang w:val="en-US" w:eastAsia="zh-CN"/>
                    </w:rPr>
                  </w:pPr>
                  <w:r>
                    <w:rPr>
                      <w:rFonts w:hint="eastAsia"/>
                      <w:lang w:val="en-US" w:eastAsia="zh-CN"/>
                    </w:rPr>
                    <w:t>本项目地面清洁采用先清扫地面后用拖把擦洗的方式，总建筑面积13453㎡，地下负一层：2896㎡，需清洁面积10557㎡，清洁用水以0.2</w:t>
                  </w:r>
                  <w:r>
                    <w:rPr>
                      <w:rFonts w:hint="eastAsia"/>
                      <w:vertAlign w:val="baseline"/>
                      <w:lang w:val="en-US" w:eastAsia="zh-CN"/>
                    </w:rPr>
                    <w:t>L/㎡.次计，每天清洁2次。</w:t>
                  </w:r>
                </w:p>
              </w:tc>
            </w:tr>
          </w:tbl>
          <w:p w14:paraId="591F6AB3">
            <w:pPr>
              <w:bidi w:val="0"/>
              <w:rPr>
                <w:rFonts w:hint="eastAsia" w:cs="Times New Roman"/>
                <w:color w:val="auto"/>
                <w:lang w:val="en-US" w:eastAsia="zh-CN"/>
              </w:rPr>
            </w:pPr>
            <w:r>
              <w:rPr>
                <w:rFonts w:hint="eastAsia"/>
                <w:lang w:val="en-US" w:eastAsia="zh-CN"/>
              </w:rPr>
              <w:t>本项目排水实行雨污分流制。雨水经管道收集最终汇入室外雨水管网。项目门诊用水、病床用水、职工用水、清洁用水与经隔油池处理的食堂废水一同进入化粪池处理后进入污水处理站。根据《医院污水处理工程技术规范》(HJ2029-2013)中“当办公、食堂、宿舍等排水与医疗废水混合排出时视为医疗污水；新建医院污水处理工程设计水量按照医院用水总量的85%~95%”，本项目医疗废水及生活污水混合排入污水处理站，全部视为医疗废水，污水量按用水量的85%计，则进入污水处理站废水为87.9762m³/d（32111.313m³/a），经污水处理站处理后达到</w:t>
            </w:r>
            <w:r>
              <w:rPr>
                <w:rFonts w:hint="eastAsia" w:cs="Times New Roman"/>
                <w:color w:val="auto"/>
                <w:lang w:val="en-US" w:eastAsia="zh-CN"/>
              </w:rPr>
              <w:t>《医疗机构水污染物排放标准》(GB 18466-2005)表2中“预处理标准”和《污水排入城镇下水道水质标准》(GB/T31962-2015)B 级标准要求，经山南新区污水处理厂处理达到《城镇污水处理厂污染物排放标准》GB18918-2002)一级A标准后，尾水排入高塘湖。</w:t>
            </w:r>
          </w:p>
          <w:p w14:paraId="4C1A1C81">
            <w:pPr>
              <w:pStyle w:val="41"/>
              <w:bidi w:val="0"/>
              <w:rPr>
                <w:rFonts w:hint="default"/>
                <w:lang w:val="en-US" w:eastAsia="zh-CN"/>
              </w:rPr>
            </w:pPr>
            <w:r>
              <w:rPr>
                <w:rFonts w:hint="eastAsia"/>
                <w:lang w:val="en-US" w:eastAsia="zh-CN"/>
              </w:rPr>
              <w:t>表2-10  项目排水估算一览表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580"/>
              <w:gridCol w:w="1993"/>
              <w:gridCol w:w="1965"/>
              <w:gridCol w:w="1207"/>
            </w:tblGrid>
            <w:tr w14:paraId="06D4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uto"/>
                  <w:vAlign w:val="center"/>
                </w:tcPr>
                <w:p w14:paraId="221E32A4">
                  <w:pPr>
                    <w:pStyle w:val="32"/>
                    <w:bidi w:val="0"/>
                    <w:jc w:val="center"/>
                    <w:rPr>
                      <w:rFonts w:hint="default"/>
                      <w:b/>
                      <w:bCs/>
                      <w:lang w:val="en-US" w:eastAsia="zh-CN"/>
                    </w:rPr>
                  </w:pPr>
                  <w:r>
                    <w:rPr>
                      <w:rFonts w:hint="eastAsia"/>
                      <w:b/>
                      <w:bCs/>
                      <w:lang w:val="en-US" w:eastAsia="zh-CN"/>
                    </w:rPr>
                    <w:t>序号</w:t>
                  </w:r>
                </w:p>
              </w:tc>
              <w:tc>
                <w:tcPr>
                  <w:tcW w:w="2580" w:type="dxa"/>
                  <w:shd w:val="clear" w:color="auto" w:fill="auto"/>
                  <w:vAlign w:val="center"/>
                </w:tcPr>
                <w:p w14:paraId="71B02073">
                  <w:pPr>
                    <w:pStyle w:val="32"/>
                    <w:bidi w:val="0"/>
                    <w:jc w:val="center"/>
                    <w:rPr>
                      <w:rFonts w:hint="default"/>
                      <w:b/>
                      <w:bCs/>
                      <w:lang w:val="en-US" w:eastAsia="zh-CN"/>
                    </w:rPr>
                  </w:pPr>
                  <w:r>
                    <w:rPr>
                      <w:rFonts w:hint="eastAsia"/>
                      <w:b/>
                      <w:bCs/>
                      <w:lang w:val="en-US" w:eastAsia="zh-CN"/>
                    </w:rPr>
                    <w:t>项目名称</w:t>
                  </w:r>
                </w:p>
              </w:tc>
              <w:tc>
                <w:tcPr>
                  <w:tcW w:w="1993" w:type="dxa"/>
                  <w:vAlign w:val="center"/>
                </w:tcPr>
                <w:p w14:paraId="6F4C15D3">
                  <w:pPr>
                    <w:pStyle w:val="32"/>
                    <w:bidi w:val="0"/>
                    <w:jc w:val="center"/>
                    <w:rPr>
                      <w:rFonts w:hint="default"/>
                      <w:b/>
                      <w:bCs/>
                      <w:lang w:val="en-US" w:eastAsia="zh-CN"/>
                    </w:rPr>
                  </w:pPr>
                  <w:r>
                    <w:rPr>
                      <w:rFonts w:hint="eastAsia"/>
                      <w:b/>
                      <w:bCs/>
                      <w:lang w:val="en-US" w:eastAsia="zh-CN"/>
                    </w:rPr>
                    <w:t>日平均排水量</w:t>
                  </w:r>
                  <w:r>
                    <w:rPr>
                      <w:rFonts w:hint="eastAsia"/>
                      <w:b/>
                      <w:bCs/>
                      <w:vertAlign w:val="baseline"/>
                      <w:lang w:val="en-US" w:eastAsia="zh-CN"/>
                    </w:rPr>
                    <w:t>m³/d</w:t>
                  </w:r>
                </w:p>
              </w:tc>
              <w:tc>
                <w:tcPr>
                  <w:tcW w:w="1965" w:type="dxa"/>
                  <w:vAlign w:val="center"/>
                </w:tcPr>
                <w:p w14:paraId="1B3CDA78">
                  <w:pPr>
                    <w:pStyle w:val="32"/>
                    <w:bidi w:val="0"/>
                    <w:jc w:val="center"/>
                    <w:rPr>
                      <w:rFonts w:hint="default"/>
                      <w:b/>
                      <w:bCs/>
                      <w:lang w:val="en-US" w:eastAsia="zh-CN"/>
                    </w:rPr>
                  </w:pPr>
                  <w:r>
                    <w:rPr>
                      <w:rFonts w:hint="eastAsia"/>
                      <w:b/>
                      <w:bCs/>
                      <w:lang w:val="en-US" w:eastAsia="zh-CN"/>
                    </w:rPr>
                    <w:t>总排水量</w:t>
                  </w:r>
                  <w:r>
                    <w:rPr>
                      <w:rFonts w:hint="eastAsia"/>
                      <w:b/>
                      <w:bCs/>
                      <w:vertAlign w:val="baseline"/>
                      <w:lang w:val="en-US" w:eastAsia="zh-CN"/>
                    </w:rPr>
                    <w:t>m³/a</w:t>
                  </w:r>
                </w:p>
              </w:tc>
              <w:tc>
                <w:tcPr>
                  <w:tcW w:w="1207" w:type="dxa"/>
                  <w:vAlign w:val="center"/>
                </w:tcPr>
                <w:p w14:paraId="69000AE7">
                  <w:pPr>
                    <w:pStyle w:val="32"/>
                    <w:bidi w:val="0"/>
                    <w:jc w:val="center"/>
                    <w:rPr>
                      <w:rFonts w:hint="default"/>
                      <w:b/>
                      <w:bCs/>
                      <w:lang w:val="en-US" w:eastAsia="zh-CN"/>
                    </w:rPr>
                  </w:pPr>
                  <w:r>
                    <w:rPr>
                      <w:rFonts w:hint="eastAsia"/>
                      <w:b/>
                      <w:bCs/>
                      <w:lang w:val="en-US" w:eastAsia="zh-CN"/>
                    </w:rPr>
                    <w:t>备注</w:t>
                  </w:r>
                </w:p>
              </w:tc>
            </w:tr>
            <w:tr w14:paraId="1D0B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uto"/>
                  <w:vAlign w:val="center"/>
                </w:tcPr>
                <w:p w14:paraId="30BD6332">
                  <w:pPr>
                    <w:pStyle w:val="32"/>
                    <w:bidi w:val="0"/>
                    <w:jc w:val="center"/>
                    <w:rPr>
                      <w:rFonts w:hint="default"/>
                      <w:lang w:val="en-US" w:eastAsia="zh-CN"/>
                    </w:rPr>
                  </w:pPr>
                  <w:r>
                    <w:rPr>
                      <w:rFonts w:hint="eastAsia"/>
                      <w:lang w:val="en-US" w:eastAsia="zh-CN"/>
                    </w:rPr>
                    <w:t>1</w:t>
                  </w:r>
                </w:p>
              </w:tc>
              <w:tc>
                <w:tcPr>
                  <w:tcW w:w="2580" w:type="dxa"/>
                  <w:shd w:val="clear" w:color="auto" w:fill="auto"/>
                  <w:vAlign w:val="center"/>
                </w:tcPr>
                <w:p w14:paraId="055C86E3">
                  <w:pPr>
                    <w:pStyle w:val="32"/>
                    <w:bidi w:val="0"/>
                    <w:jc w:val="center"/>
                    <w:rPr>
                      <w:rFonts w:hint="default"/>
                      <w:lang w:val="en-US" w:eastAsia="zh-CN"/>
                    </w:rPr>
                  </w:pPr>
                  <w:r>
                    <w:rPr>
                      <w:rFonts w:hint="eastAsia"/>
                      <w:lang w:val="en-US" w:eastAsia="zh-CN"/>
                    </w:rPr>
                    <w:t>门诊用水</w:t>
                  </w:r>
                </w:p>
              </w:tc>
              <w:tc>
                <w:tcPr>
                  <w:tcW w:w="1993" w:type="dxa"/>
                  <w:vAlign w:val="center"/>
                </w:tcPr>
                <w:p w14:paraId="3C830B89">
                  <w:pPr>
                    <w:pStyle w:val="32"/>
                    <w:bidi w:val="0"/>
                    <w:jc w:val="center"/>
                    <w:rPr>
                      <w:rFonts w:hint="default"/>
                      <w:lang w:val="en-US" w:eastAsia="zh-CN"/>
                    </w:rPr>
                  </w:pPr>
                  <w:r>
                    <w:rPr>
                      <w:rFonts w:hint="eastAsia"/>
                      <w:lang w:val="en-US" w:eastAsia="zh-CN"/>
                    </w:rPr>
                    <w:t>0.6375</w:t>
                  </w:r>
                </w:p>
              </w:tc>
              <w:tc>
                <w:tcPr>
                  <w:tcW w:w="1965" w:type="dxa"/>
                  <w:vAlign w:val="center"/>
                </w:tcPr>
                <w:p w14:paraId="68165AE4">
                  <w:pPr>
                    <w:pStyle w:val="32"/>
                    <w:bidi w:val="0"/>
                    <w:jc w:val="center"/>
                    <w:rPr>
                      <w:rFonts w:hint="default"/>
                      <w:lang w:val="en-US" w:eastAsia="zh-CN"/>
                    </w:rPr>
                  </w:pPr>
                  <w:r>
                    <w:rPr>
                      <w:rFonts w:hint="eastAsia"/>
                      <w:lang w:val="en-US" w:eastAsia="zh-CN"/>
                    </w:rPr>
                    <w:t>232.6875</w:t>
                  </w:r>
                </w:p>
              </w:tc>
              <w:tc>
                <w:tcPr>
                  <w:tcW w:w="1207" w:type="dxa"/>
                  <w:vMerge w:val="restart"/>
                  <w:vAlign w:val="center"/>
                </w:tcPr>
                <w:p w14:paraId="383E8D32">
                  <w:pPr>
                    <w:pStyle w:val="32"/>
                    <w:bidi w:val="0"/>
                    <w:jc w:val="center"/>
                    <w:rPr>
                      <w:rFonts w:hint="default"/>
                      <w:lang w:val="en-US" w:eastAsia="zh-CN"/>
                    </w:rPr>
                  </w:pPr>
                  <w:r>
                    <w:rPr>
                      <w:rFonts w:hint="eastAsia"/>
                      <w:lang w:val="en-US" w:eastAsia="zh-CN"/>
                    </w:rPr>
                    <w:t>按用水量85%折算</w:t>
                  </w:r>
                </w:p>
              </w:tc>
            </w:tr>
            <w:tr w14:paraId="3E52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uto"/>
                  <w:vAlign w:val="center"/>
                </w:tcPr>
                <w:p w14:paraId="06C9D32B">
                  <w:pPr>
                    <w:pStyle w:val="32"/>
                    <w:bidi w:val="0"/>
                    <w:jc w:val="center"/>
                    <w:rPr>
                      <w:rFonts w:hint="default"/>
                      <w:lang w:val="en-US" w:eastAsia="zh-CN"/>
                    </w:rPr>
                  </w:pPr>
                  <w:r>
                    <w:rPr>
                      <w:rFonts w:hint="eastAsia"/>
                      <w:lang w:val="en-US" w:eastAsia="zh-CN"/>
                    </w:rPr>
                    <w:t>2</w:t>
                  </w:r>
                </w:p>
              </w:tc>
              <w:tc>
                <w:tcPr>
                  <w:tcW w:w="2580" w:type="dxa"/>
                  <w:shd w:val="clear" w:color="auto" w:fill="auto"/>
                  <w:vAlign w:val="center"/>
                </w:tcPr>
                <w:p w14:paraId="41B49DBC">
                  <w:pPr>
                    <w:pStyle w:val="32"/>
                    <w:bidi w:val="0"/>
                    <w:jc w:val="center"/>
                    <w:rPr>
                      <w:rFonts w:hint="default"/>
                      <w:lang w:val="en-US" w:eastAsia="zh-CN"/>
                    </w:rPr>
                  </w:pPr>
                  <w:r>
                    <w:rPr>
                      <w:rFonts w:hint="eastAsia"/>
                      <w:lang w:val="en-US" w:eastAsia="zh-CN"/>
                    </w:rPr>
                    <w:t>病床用水（含独立卫生间）</w:t>
                  </w:r>
                </w:p>
              </w:tc>
              <w:tc>
                <w:tcPr>
                  <w:tcW w:w="1993" w:type="dxa"/>
                  <w:vAlign w:val="center"/>
                </w:tcPr>
                <w:p w14:paraId="6F795941">
                  <w:pPr>
                    <w:pStyle w:val="32"/>
                    <w:bidi w:val="0"/>
                    <w:jc w:val="center"/>
                    <w:rPr>
                      <w:rFonts w:hint="default"/>
                      <w:lang w:val="en-US" w:eastAsia="zh-CN"/>
                    </w:rPr>
                  </w:pPr>
                  <w:r>
                    <w:rPr>
                      <w:rFonts w:hint="eastAsia"/>
                      <w:lang w:val="en-US" w:eastAsia="zh-CN"/>
                    </w:rPr>
                    <w:t>53.3375</w:t>
                  </w:r>
                </w:p>
              </w:tc>
              <w:tc>
                <w:tcPr>
                  <w:tcW w:w="1965" w:type="dxa"/>
                  <w:vAlign w:val="center"/>
                </w:tcPr>
                <w:p w14:paraId="005928C7">
                  <w:pPr>
                    <w:pStyle w:val="32"/>
                    <w:bidi w:val="0"/>
                    <w:jc w:val="center"/>
                    <w:rPr>
                      <w:rFonts w:hint="default"/>
                      <w:lang w:val="en-US" w:eastAsia="zh-CN"/>
                    </w:rPr>
                  </w:pPr>
                  <w:r>
                    <w:rPr>
                      <w:rFonts w:hint="eastAsia"/>
                      <w:lang w:val="en-US" w:eastAsia="zh-CN"/>
                    </w:rPr>
                    <w:t>19468.1875</w:t>
                  </w:r>
                </w:p>
              </w:tc>
              <w:tc>
                <w:tcPr>
                  <w:tcW w:w="1207" w:type="dxa"/>
                  <w:vMerge w:val="continue"/>
                  <w:vAlign w:val="center"/>
                </w:tcPr>
                <w:p w14:paraId="3B3083D6">
                  <w:pPr>
                    <w:pStyle w:val="32"/>
                    <w:bidi w:val="0"/>
                    <w:jc w:val="center"/>
                    <w:rPr>
                      <w:rFonts w:hint="default"/>
                      <w:lang w:val="en-US" w:eastAsia="zh-CN"/>
                    </w:rPr>
                  </w:pPr>
                </w:p>
              </w:tc>
            </w:tr>
            <w:tr w14:paraId="4639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uto"/>
                  <w:vAlign w:val="center"/>
                </w:tcPr>
                <w:p w14:paraId="67BDB174">
                  <w:pPr>
                    <w:pStyle w:val="32"/>
                    <w:bidi w:val="0"/>
                    <w:jc w:val="center"/>
                    <w:rPr>
                      <w:rFonts w:hint="default"/>
                      <w:lang w:val="en-US" w:eastAsia="zh-CN"/>
                    </w:rPr>
                  </w:pPr>
                  <w:r>
                    <w:rPr>
                      <w:rFonts w:hint="eastAsia"/>
                      <w:lang w:val="en-US" w:eastAsia="zh-CN"/>
                    </w:rPr>
                    <w:t>3</w:t>
                  </w:r>
                </w:p>
              </w:tc>
              <w:tc>
                <w:tcPr>
                  <w:tcW w:w="2580" w:type="dxa"/>
                  <w:shd w:val="clear" w:color="auto" w:fill="auto"/>
                  <w:vAlign w:val="center"/>
                </w:tcPr>
                <w:p w14:paraId="3A62B814">
                  <w:pPr>
                    <w:pStyle w:val="32"/>
                    <w:bidi w:val="0"/>
                    <w:jc w:val="center"/>
                    <w:rPr>
                      <w:rFonts w:hint="default"/>
                      <w:lang w:val="en-US" w:eastAsia="zh-CN"/>
                    </w:rPr>
                  </w:pPr>
                  <w:r>
                    <w:rPr>
                      <w:rFonts w:hint="eastAsia"/>
                      <w:lang w:val="en-US" w:eastAsia="zh-CN"/>
                    </w:rPr>
                    <w:t>病床用水（公共卫生间）</w:t>
                  </w:r>
                </w:p>
              </w:tc>
              <w:tc>
                <w:tcPr>
                  <w:tcW w:w="1993" w:type="dxa"/>
                  <w:vAlign w:val="center"/>
                </w:tcPr>
                <w:p w14:paraId="5C24B8B5">
                  <w:pPr>
                    <w:pStyle w:val="32"/>
                    <w:bidi w:val="0"/>
                    <w:jc w:val="center"/>
                    <w:rPr>
                      <w:rFonts w:hint="default"/>
                      <w:lang w:val="en-US" w:eastAsia="zh-CN"/>
                    </w:rPr>
                  </w:pPr>
                  <w:r>
                    <w:rPr>
                      <w:rFonts w:hint="eastAsia"/>
                      <w:lang w:val="en-US" w:eastAsia="zh-CN"/>
                    </w:rPr>
                    <w:t>6.46</w:t>
                  </w:r>
                </w:p>
              </w:tc>
              <w:tc>
                <w:tcPr>
                  <w:tcW w:w="1965" w:type="dxa"/>
                  <w:vAlign w:val="center"/>
                </w:tcPr>
                <w:p w14:paraId="2CD77AD9">
                  <w:pPr>
                    <w:pStyle w:val="32"/>
                    <w:bidi w:val="0"/>
                    <w:jc w:val="center"/>
                    <w:rPr>
                      <w:rFonts w:hint="default"/>
                      <w:lang w:val="en-US" w:eastAsia="zh-CN"/>
                    </w:rPr>
                  </w:pPr>
                  <w:r>
                    <w:rPr>
                      <w:rFonts w:hint="eastAsia"/>
                      <w:lang w:val="en-US" w:eastAsia="zh-CN"/>
                    </w:rPr>
                    <w:t>2357.9</w:t>
                  </w:r>
                </w:p>
              </w:tc>
              <w:tc>
                <w:tcPr>
                  <w:tcW w:w="1207" w:type="dxa"/>
                  <w:vMerge w:val="continue"/>
                  <w:vAlign w:val="center"/>
                </w:tcPr>
                <w:p w14:paraId="099607CA">
                  <w:pPr>
                    <w:pStyle w:val="32"/>
                    <w:bidi w:val="0"/>
                    <w:jc w:val="center"/>
                    <w:rPr>
                      <w:rFonts w:hint="default"/>
                      <w:lang w:val="en-US" w:eastAsia="zh-CN"/>
                    </w:rPr>
                  </w:pPr>
                </w:p>
              </w:tc>
            </w:tr>
            <w:tr w14:paraId="2C16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uto"/>
                  <w:vAlign w:val="center"/>
                </w:tcPr>
                <w:p w14:paraId="40394922">
                  <w:pPr>
                    <w:pStyle w:val="32"/>
                    <w:bidi w:val="0"/>
                    <w:jc w:val="center"/>
                    <w:rPr>
                      <w:rFonts w:hint="default"/>
                      <w:lang w:val="en-US" w:eastAsia="zh-CN"/>
                    </w:rPr>
                  </w:pPr>
                  <w:r>
                    <w:rPr>
                      <w:rFonts w:hint="eastAsia"/>
                      <w:lang w:val="en-US" w:eastAsia="zh-CN"/>
                    </w:rPr>
                    <w:t>3</w:t>
                  </w:r>
                </w:p>
              </w:tc>
              <w:tc>
                <w:tcPr>
                  <w:tcW w:w="2580" w:type="dxa"/>
                  <w:shd w:val="clear" w:color="auto" w:fill="auto"/>
                  <w:vAlign w:val="center"/>
                </w:tcPr>
                <w:p w14:paraId="448F8B33">
                  <w:pPr>
                    <w:pStyle w:val="32"/>
                    <w:bidi w:val="0"/>
                    <w:jc w:val="center"/>
                    <w:rPr>
                      <w:rFonts w:hint="default"/>
                      <w:lang w:val="en-US" w:eastAsia="zh-CN"/>
                    </w:rPr>
                  </w:pPr>
                  <w:r>
                    <w:rPr>
                      <w:rFonts w:hint="eastAsia"/>
                      <w:lang w:val="en-US" w:eastAsia="zh-CN"/>
                    </w:rPr>
                    <w:t>职工用水</w:t>
                  </w:r>
                </w:p>
              </w:tc>
              <w:tc>
                <w:tcPr>
                  <w:tcW w:w="1993" w:type="dxa"/>
                  <w:vAlign w:val="center"/>
                </w:tcPr>
                <w:p w14:paraId="2B3AE5F0">
                  <w:pPr>
                    <w:pStyle w:val="32"/>
                    <w:bidi w:val="0"/>
                    <w:jc w:val="center"/>
                    <w:rPr>
                      <w:rFonts w:hint="default"/>
                      <w:lang w:val="en-US" w:eastAsia="zh-CN"/>
                    </w:rPr>
                  </w:pPr>
                  <w:r>
                    <w:rPr>
                      <w:rFonts w:hint="eastAsia"/>
                      <w:lang w:val="en-US" w:eastAsia="zh-CN"/>
                    </w:rPr>
                    <w:t>12.75</w:t>
                  </w:r>
                </w:p>
              </w:tc>
              <w:tc>
                <w:tcPr>
                  <w:tcW w:w="1965" w:type="dxa"/>
                  <w:vAlign w:val="center"/>
                </w:tcPr>
                <w:p w14:paraId="05E2E5B1">
                  <w:pPr>
                    <w:pStyle w:val="32"/>
                    <w:bidi w:val="0"/>
                    <w:jc w:val="center"/>
                    <w:rPr>
                      <w:rFonts w:hint="default"/>
                      <w:lang w:val="en-US" w:eastAsia="zh-CN"/>
                    </w:rPr>
                  </w:pPr>
                  <w:r>
                    <w:rPr>
                      <w:rFonts w:hint="eastAsia"/>
                      <w:lang w:val="en-US" w:eastAsia="zh-CN"/>
                    </w:rPr>
                    <w:t>4653.75</w:t>
                  </w:r>
                </w:p>
              </w:tc>
              <w:tc>
                <w:tcPr>
                  <w:tcW w:w="1207" w:type="dxa"/>
                  <w:vMerge w:val="continue"/>
                  <w:vAlign w:val="center"/>
                </w:tcPr>
                <w:p w14:paraId="0B3A3725">
                  <w:pPr>
                    <w:pStyle w:val="32"/>
                    <w:bidi w:val="0"/>
                    <w:jc w:val="center"/>
                    <w:rPr>
                      <w:rFonts w:hint="default"/>
                      <w:lang w:val="en-US" w:eastAsia="zh-CN"/>
                    </w:rPr>
                  </w:pPr>
                </w:p>
              </w:tc>
            </w:tr>
            <w:tr w14:paraId="6E46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uto"/>
                  <w:vAlign w:val="center"/>
                </w:tcPr>
                <w:p w14:paraId="05973E7A">
                  <w:pPr>
                    <w:pStyle w:val="32"/>
                    <w:bidi w:val="0"/>
                    <w:jc w:val="center"/>
                    <w:rPr>
                      <w:rFonts w:hint="default"/>
                      <w:lang w:val="en-US" w:eastAsia="zh-CN"/>
                    </w:rPr>
                  </w:pPr>
                  <w:r>
                    <w:rPr>
                      <w:rFonts w:hint="eastAsia"/>
                      <w:lang w:val="en-US" w:eastAsia="zh-CN"/>
                    </w:rPr>
                    <w:t>4</w:t>
                  </w:r>
                </w:p>
              </w:tc>
              <w:tc>
                <w:tcPr>
                  <w:tcW w:w="2580" w:type="dxa"/>
                  <w:shd w:val="clear" w:color="auto" w:fill="auto"/>
                  <w:vAlign w:val="center"/>
                </w:tcPr>
                <w:p w14:paraId="3048CDBC">
                  <w:pPr>
                    <w:pStyle w:val="32"/>
                    <w:bidi w:val="0"/>
                    <w:jc w:val="center"/>
                    <w:rPr>
                      <w:rFonts w:hint="default"/>
                      <w:lang w:val="en-US" w:eastAsia="zh-CN"/>
                    </w:rPr>
                  </w:pPr>
                  <w:r>
                    <w:rPr>
                      <w:rFonts w:hint="eastAsia"/>
                      <w:lang w:val="en-US" w:eastAsia="zh-CN"/>
                    </w:rPr>
                    <w:t>食堂用水</w:t>
                  </w:r>
                </w:p>
              </w:tc>
              <w:tc>
                <w:tcPr>
                  <w:tcW w:w="1993" w:type="dxa"/>
                  <w:vAlign w:val="center"/>
                </w:tcPr>
                <w:p w14:paraId="297D0BC5">
                  <w:pPr>
                    <w:pStyle w:val="32"/>
                    <w:bidi w:val="0"/>
                    <w:jc w:val="center"/>
                    <w:rPr>
                      <w:rFonts w:hint="default"/>
                      <w:lang w:val="en-US" w:eastAsia="zh-CN"/>
                    </w:rPr>
                  </w:pPr>
                  <w:r>
                    <w:rPr>
                      <w:rFonts w:hint="eastAsia"/>
                      <w:lang w:val="en-US" w:eastAsia="zh-CN"/>
                    </w:rPr>
                    <w:t>7.0125</w:t>
                  </w:r>
                </w:p>
              </w:tc>
              <w:tc>
                <w:tcPr>
                  <w:tcW w:w="1965" w:type="dxa"/>
                  <w:vAlign w:val="center"/>
                </w:tcPr>
                <w:p w14:paraId="78459ADC">
                  <w:pPr>
                    <w:pStyle w:val="32"/>
                    <w:bidi w:val="0"/>
                    <w:jc w:val="center"/>
                    <w:rPr>
                      <w:rFonts w:hint="default"/>
                      <w:lang w:val="en-US" w:eastAsia="zh-CN"/>
                    </w:rPr>
                  </w:pPr>
                  <w:r>
                    <w:rPr>
                      <w:rFonts w:hint="eastAsia"/>
                      <w:lang w:val="en-US" w:eastAsia="zh-CN"/>
                    </w:rPr>
                    <w:t>2559.5625</w:t>
                  </w:r>
                </w:p>
              </w:tc>
              <w:tc>
                <w:tcPr>
                  <w:tcW w:w="1207" w:type="dxa"/>
                  <w:vMerge w:val="continue"/>
                  <w:vAlign w:val="center"/>
                </w:tcPr>
                <w:p w14:paraId="13881B15">
                  <w:pPr>
                    <w:pStyle w:val="32"/>
                    <w:bidi w:val="0"/>
                    <w:jc w:val="center"/>
                    <w:rPr>
                      <w:rFonts w:hint="default"/>
                      <w:lang w:val="en-US" w:eastAsia="zh-CN"/>
                    </w:rPr>
                  </w:pPr>
                </w:p>
              </w:tc>
            </w:tr>
            <w:tr w14:paraId="31BC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uto"/>
                  <w:vAlign w:val="center"/>
                </w:tcPr>
                <w:p w14:paraId="7D16DF28">
                  <w:pPr>
                    <w:pStyle w:val="32"/>
                    <w:bidi w:val="0"/>
                    <w:jc w:val="center"/>
                    <w:rPr>
                      <w:rFonts w:hint="default"/>
                      <w:lang w:val="en-US" w:eastAsia="zh-CN"/>
                    </w:rPr>
                  </w:pPr>
                  <w:r>
                    <w:rPr>
                      <w:rFonts w:hint="eastAsia"/>
                      <w:lang w:val="en-US" w:eastAsia="zh-CN"/>
                    </w:rPr>
                    <w:t>5</w:t>
                  </w:r>
                </w:p>
              </w:tc>
              <w:tc>
                <w:tcPr>
                  <w:tcW w:w="2580" w:type="dxa"/>
                  <w:shd w:val="clear" w:color="auto" w:fill="auto"/>
                  <w:vAlign w:val="center"/>
                </w:tcPr>
                <w:p w14:paraId="6B217BD9">
                  <w:pPr>
                    <w:pStyle w:val="32"/>
                    <w:bidi w:val="0"/>
                    <w:jc w:val="center"/>
                    <w:rPr>
                      <w:rFonts w:hint="default"/>
                      <w:lang w:val="en-US" w:eastAsia="zh-CN"/>
                    </w:rPr>
                  </w:pPr>
                  <w:r>
                    <w:rPr>
                      <w:rFonts w:hint="eastAsia"/>
                      <w:lang w:val="en-US" w:eastAsia="zh-CN"/>
                    </w:rPr>
                    <w:t>清洁用水</w:t>
                  </w:r>
                </w:p>
              </w:tc>
              <w:tc>
                <w:tcPr>
                  <w:tcW w:w="1993" w:type="dxa"/>
                  <w:vAlign w:val="center"/>
                </w:tcPr>
                <w:p w14:paraId="5B4CDF63">
                  <w:pPr>
                    <w:pStyle w:val="32"/>
                    <w:bidi w:val="0"/>
                    <w:jc w:val="center"/>
                    <w:rPr>
                      <w:rFonts w:hint="default"/>
                      <w:lang w:val="en-US" w:eastAsia="zh-CN"/>
                    </w:rPr>
                  </w:pPr>
                  <w:r>
                    <w:rPr>
                      <w:rFonts w:hint="eastAsia"/>
                      <w:lang w:val="en-US" w:eastAsia="zh-CN"/>
                    </w:rPr>
                    <w:t>3.5894</w:t>
                  </w:r>
                </w:p>
              </w:tc>
              <w:tc>
                <w:tcPr>
                  <w:tcW w:w="1965" w:type="dxa"/>
                  <w:vAlign w:val="center"/>
                </w:tcPr>
                <w:p w14:paraId="5D42FBB7">
                  <w:pPr>
                    <w:pStyle w:val="32"/>
                    <w:bidi w:val="0"/>
                    <w:jc w:val="center"/>
                    <w:rPr>
                      <w:rFonts w:hint="default"/>
                      <w:lang w:val="en-US" w:eastAsia="zh-CN"/>
                    </w:rPr>
                  </w:pPr>
                  <w:r>
                    <w:rPr>
                      <w:rFonts w:hint="eastAsia"/>
                      <w:lang w:val="en-US" w:eastAsia="zh-CN"/>
                    </w:rPr>
                    <w:t>1310.131</w:t>
                  </w:r>
                </w:p>
              </w:tc>
              <w:tc>
                <w:tcPr>
                  <w:tcW w:w="1207" w:type="dxa"/>
                  <w:vMerge w:val="continue"/>
                  <w:vAlign w:val="center"/>
                </w:tcPr>
                <w:p w14:paraId="486C47C7">
                  <w:pPr>
                    <w:pStyle w:val="32"/>
                    <w:bidi w:val="0"/>
                    <w:jc w:val="center"/>
                    <w:rPr>
                      <w:rFonts w:hint="default"/>
                      <w:lang w:val="en-US" w:eastAsia="zh-CN"/>
                    </w:rPr>
                  </w:pPr>
                </w:p>
              </w:tc>
            </w:tr>
            <w:tr w14:paraId="7E4A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uto"/>
                  <w:vAlign w:val="center"/>
                </w:tcPr>
                <w:p w14:paraId="11F4CFE1">
                  <w:pPr>
                    <w:pStyle w:val="32"/>
                    <w:bidi w:val="0"/>
                    <w:jc w:val="center"/>
                    <w:rPr>
                      <w:rFonts w:hint="default"/>
                      <w:lang w:val="en-US" w:eastAsia="zh-CN"/>
                    </w:rPr>
                  </w:pPr>
                  <w:r>
                    <w:rPr>
                      <w:rFonts w:hint="eastAsia"/>
                      <w:lang w:val="en-US" w:eastAsia="zh-CN"/>
                    </w:rPr>
                    <w:t>6</w:t>
                  </w:r>
                </w:p>
              </w:tc>
              <w:tc>
                <w:tcPr>
                  <w:tcW w:w="2580" w:type="dxa"/>
                  <w:shd w:val="clear" w:color="auto" w:fill="auto"/>
                  <w:vAlign w:val="center"/>
                </w:tcPr>
                <w:p w14:paraId="7DAB1417">
                  <w:pPr>
                    <w:pStyle w:val="32"/>
                    <w:bidi w:val="0"/>
                    <w:jc w:val="center"/>
                    <w:rPr>
                      <w:rFonts w:hint="eastAsia"/>
                      <w:lang w:val="en-US" w:eastAsia="zh-CN"/>
                    </w:rPr>
                  </w:pPr>
                  <w:r>
                    <w:rPr>
                      <w:rFonts w:hint="eastAsia"/>
                      <w:lang w:val="en-US" w:eastAsia="zh-CN"/>
                    </w:rPr>
                    <w:t>未预见用水</w:t>
                  </w:r>
                </w:p>
              </w:tc>
              <w:tc>
                <w:tcPr>
                  <w:tcW w:w="1993" w:type="dxa"/>
                  <w:shd w:val="clear" w:color="auto" w:fill="auto"/>
                  <w:vAlign w:val="center"/>
                </w:tcPr>
                <w:p w14:paraId="1654FAB8">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4.1893</w:t>
                  </w:r>
                </w:p>
              </w:tc>
              <w:tc>
                <w:tcPr>
                  <w:tcW w:w="1965" w:type="dxa"/>
                  <w:shd w:val="clear" w:color="auto" w:fill="auto"/>
                  <w:vAlign w:val="center"/>
                </w:tcPr>
                <w:p w14:paraId="7EBD1F66">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1529.0945</w:t>
                  </w:r>
                </w:p>
              </w:tc>
              <w:tc>
                <w:tcPr>
                  <w:tcW w:w="1207" w:type="dxa"/>
                  <w:vMerge w:val="continue"/>
                  <w:vAlign w:val="center"/>
                </w:tcPr>
                <w:p w14:paraId="3A4767F7">
                  <w:pPr>
                    <w:pStyle w:val="32"/>
                    <w:bidi w:val="0"/>
                    <w:jc w:val="center"/>
                    <w:rPr>
                      <w:rFonts w:hint="default"/>
                      <w:lang w:val="en-US" w:eastAsia="zh-CN"/>
                    </w:rPr>
                  </w:pPr>
                </w:p>
              </w:tc>
            </w:tr>
            <w:tr w14:paraId="0B04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1" w:type="dxa"/>
                  <w:gridSpan w:val="2"/>
                  <w:shd w:val="clear" w:color="auto" w:fill="auto"/>
                  <w:vAlign w:val="center"/>
                </w:tcPr>
                <w:p w14:paraId="2C7F1DD6">
                  <w:pPr>
                    <w:pStyle w:val="32"/>
                    <w:bidi w:val="0"/>
                    <w:jc w:val="center"/>
                    <w:rPr>
                      <w:rFonts w:hint="default"/>
                      <w:lang w:val="en-US" w:eastAsia="zh-CN"/>
                    </w:rPr>
                  </w:pPr>
                  <w:r>
                    <w:rPr>
                      <w:rFonts w:hint="eastAsia"/>
                      <w:lang w:val="en-US" w:eastAsia="zh-CN"/>
                    </w:rPr>
                    <w:t>合计</w:t>
                  </w:r>
                </w:p>
              </w:tc>
              <w:tc>
                <w:tcPr>
                  <w:tcW w:w="1993" w:type="dxa"/>
                  <w:vAlign w:val="center"/>
                </w:tcPr>
                <w:p w14:paraId="60EEBA2C">
                  <w:pPr>
                    <w:pStyle w:val="32"/>
                    <w:bidi w:val="0"/>
                    <w:jc w:val="center"/>
                    <w:rPr>
                      <w:rFonts w:hint="default"/>
                      <w:lang w:val="en-US" w:eastAsia="zh-CN"/>
                    </w:rPr>
                  </w:pPr>
                  <w:r>
                    <w:rPr>
                      <w:rFonts w:hint="eastAsia"/>
                      <w:lang w:val="en-US" w:eastAsia="zh-CN"/>
                    </w:rPr>
                    <w:t>87.9762</w:t>
                  </w:r>
                </w:p>
              </w:tc>
              <w:tc>
                <w:tcPr>
                  <w:tcW w:w="1965" w:type="dxa"/>
                  <w:vAlign w:val="center"/>
                </w:tcPr>
                <w:p w14:paraId="12547578">
                  <w:pPr>
                    <w:pStyle w:val="32"/>
                    <w:bidi w:val="0"/>
                    <w:jc w:val="center"/>
                    <w:rPr>
                      <w:rFonts w:hint="default"/>
                      <w:lang w:val="en-US" w:eastAsia="zh-CN"/>
                    </w:rPr>
                  </w:pPr>
                  <w:r>
                    <w:rPr>
                      <w:rFonts w:hint="eastAsia"/>
                      <w:lang w:val="en-US" w:eastAsia="zh-CN"/>
                    </w:rPr>
                    <w:t>32111.313</w:t>
                  </w:r>
                </w:p>
              </w:tc>
              <w:tc>
                <w:tcPr>
                  <w:tcW w:w="1207" w:type="dxa"/>
                  <w:vAlign w:val="center"/>
                </w:tcPr>
                <w:p w14:paraId="5AC0FA0C">
                  <w:pPr>
                    <w:pStyle w:val="32"/>
                    <w:bidi w:val="0"/>
                    <w:jc w:val="center"/>
                    <w:rPr>
                      <w:rFonts w:hint="default"/>
                      <w:lang w:val="en-US" w:eastAsia="zh-CN"/>
                    </w:rPr>
                  </w:pPr>
                  <w:r>
                    <w:rPr>
                      <w:rFonts w:hint="eastAsia"/>
                      <w:lang w:val="en-US" w:eastAsia="zh-CN"/>
                    </w:rPr>
                    <w:t>/</w:t>
                  </w:r>
                </w:p>
              </w:tc>
            </w:tr>
          </w:tbl>
          <w:p w14:paraId="42A1B031">
            <w:pPr>
              <w:pStyle w:val="9"/>
              <w:ind w:left="0" w:leftChars="0" w:firstLine="0" w:firstLineChars="0"/>
              <w:rPr>
                <w:rFonts w:hint="eastAsia"/>
                <w:b/>
                <w:bCs/>
                <w:color w:val="auto"/>
              </w:rPr>
            </w:pPr>
            <w:r>
              <w:rPr>
                <w:rFonts w:hint="default"/>
                <w:lang w:val="en-US" w:eastAsia="zh-CN"/>
              </w:rPr>
              <w:drawing>
                <wp:inline distT="0" distB="0" distL="114300" distR="114300">
                  <wp:extent cx="5399405" cy="3107055"/>
                  <wp:effectExtent l="0" t="0" r="10795" b="17145"/>
                  <wp:docPr id="11" name="图片 11" descr="173346911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3469115032"/>
                          <pic:cNvPicPr>
                            <a:picLocks noChangeAspect="1"/>
                          </pic:cNvPicPr>
                        </pic:nvPicPr>
                        <pic:blipFill>
                          <a:blip r:embed="rId22"/>
                          <a:stretch>
                            <a:fillRect/>
                          </a:stretch>
                        </pic:blipFill>
                        <pic:spPr>
                          <a:xfrm>
                            <a:off x="0" y="0"/>
                            <a:ext cx="5399405" cy="3107055"/>
                          </a:xfrm>
                          <a:prstGeom prst="rect">
                            <a:avLst/>
                          </a:prstGeom>
                        </pic:spPr>
                      </pic:pic>
                    </a:graphicData>
                  </a:graphic>
                </wp:inline>
              </w:drawing>
            </w:r>
          </w:p>
          <w:p w14:paraId="7806D265">
            <w:pPr>
              <w:pStyle w:val="41"/>
              <w:bidi w:val="0"/>
              <w:rPr>
                <w:rFonts w:hint="eastAsia"/>
                <w:highlight w:val="none"/>
                <w:lang w:val="en-US" w:eastAsia="zh-CN"/>
              </w:rPr>
            </w:pPr>
            <w:r>
              <w:rPr>
                <w:rFonts w:hint="eastAsia"/>
                <w:highlight w:val="none"/>
                <w:lang w:val="en-US" w:eastAsia="zh-CN"/>
              </w:rPr>
              <w:t>图2-1  本项目水平衡图 m³/d</w:t>
            </w:r>
          </w:p>
          <w:p w14:paraId="0E0D74FF">
            <w:pPr>
              <w:ind w:firstLine="482"/>
              <w:rPr>
                <w:b/>
                <w:bCs/>
                <w:color w:val="auto"/>
              </w:rPr>
            </w:pPr>
            <w:r>
              <w:rPr>
                <w:rFonts w:hint="eastAsia"/>
                <w:b/>
                <w:bCs/>
                <w:color w:val="auto"/>
              </w:rPr>
              <w:t>（2）供电</w:t>
            </w:r>
          </w:p>
          <w:p w14:paraId="66530168">
            <w:pPr>
              <w:bidi w:val="0"/>
              <w:rPr>
                <w:rFonts w:hint="eastAsia"/>
                <w:lang w:val="en-US" w:eastAsia="zh-CN"/>
              </w:rPr>
            </w:pPr>
            <w:r>
              <w:rPr>
                <w:rFonts w:hint="eastAsia"/>
                <w:lang w:val="en-US" w:eastAsia="zh-CN"/>
              </w:rPr>
              <w:t>项目设置双回路电，由市政电网接入，年耗</w:t>
            </w:r>
            <w:r>
              <w:rPr>
                <w:rFonts w:hint="eastAsia"/>
                <w:highlight w:val="none"/>
                <w:lang w:val="en-US" w:eastAsia="zh-CN"/>
              </w:rPr>
              <w:t>电100</w:t>
            </w:r>
            <w:r>
              <w:rPr>
                <w:rFonts w:hint="eastAsia"/>
                <w:lang w:val="en-US" w:eastAsia="zh-CN"/>
              </w:rPr>
              <w:t>万</w:t>
            </w:r>
            <w:r>
              <w:t>kW·h</w:t>
            </w:r>
            <w:r>
              <w:rPr>
                <w:rFonts w:hint="default"/>
              </w:rPr>
              <w:t>/a</w:t>
            </w:r>
            <w:r>
              <w:rPr>
                <w:rFonts w:hint="eastAsia"/>
                <w:lang w:val="en-US" w:eastAsia="zh-CN"/>
              </w:rPr>
              <w:t>。</w:t>
            </w:r>
          </w:p>
          <w:p w14:paraId="0F080F20">
            <w:pPr>
              <w:ind w:firstLine="482"/>
              <w:rPr>
                <w:b/>
                <w:bCs/>
                <w:color w:val="auto"/>
              </w:rPr>
            </w:pPr>
            <w:r>
              <w:rPr>
                <w:rFonts w:hint="eastAsia"/>
                <w:b/>
                <w:bCs/>
                <w:color w:val="auto"/>
                <w:lang w:val="en-US" w:eastAsia="zh-CN"/>
              </w:rPr>
              <w:t>8</w:t>
            </w:r>
            <w:r>
              <w:rPr>
                <w:rFonts w:hint="eastAsia"/>
                <w:b/>
                <w:bCs/>
                <w:color w:val="auto"/>
              </w:rPr>
              <w:t>、总平面布置及周边关系</w:t>
            </w:r>
          </w:p>
          <w:p w14:paraId="338C3310">
            <w:pPr>
              <w:ind w:firstLine="480" w:firstLineChars="200"/>
              <w:rPr>
                <w:rFonts w:hint="eastAsia"/>
                <w:color w:val="auto"/>
                <w:lang w:val="en-US" w:eastAsia="zh-CN"/>
              </w:rPr>
            </w:pPr>
            <w:r>
              <w:rPr>
                <w:rFonts w:hint="eastAsia"/>
                <w:color w:val="auto"/>
                <w:lang w:val="zh-CN"/>
              </w:rPr>
              <w:t>本项目</w:t>
            </w:r>
            <w:r>
              <w:rPr>
                <w:rFonts w:hint="eastAsia"/>
                <w:color w:val="auto"/>
              </w:rPr>
              <w:t>位于安徽淮南市</w:t>
            </w:r>
            <w:r>
              <w:rPr>
                <w:rFonts w:hint="eastAsia"/>
                <w:color w:val="auto"/>
                <w:lang w:val="en-US" w:eastAsia="zh-CN"/>
              </w:rPr>
              <w:t>高新技术开发区</w:t>
            </w:r>
            <w:r>
              <w:rPr>
                <w:rFonts w:hint="eastAsia"/>
                <w:lang w:val="en-US" w:eastAsia="zh-CN"/>
              </w:rPr>
              <w:t>民裕大街与支四路交叉口</w:t>
            </w:r>
            <w:r>
              <w:rPr>
                <w:rFonts w:hint="eastAsia"/>
                <w:color w:val="auto"/>
              </w:rPr>
              <w:t>，</w:t>
            </w:r>
            <w:r>
              <w:rPr>
                <w:rFonts w:hint="eastAsia"/>
                <w:color w:val="auto"/>
                <w:lang w:val="en-US" w:eastAsia="zh-CN"/>
              </w:rPr>
              <w:t>利用现有福利院东侧一整栋楼房作为医院精神卫生福利中心主楼，共6层。大楼整体呈“2”自型。北侧区域1-5层设置为病房区；南侧一层设置为药房，二层为康复及检查区，三层为办公区。项目平面布局合理性分析如下：</w:t>
            </w:r>
          </w:p>
          <w:p w14:paraId="4A26AAF7">
            <w:pPr>
              <w:numPr>
                <w:ilvl w:val="0"/>
                <w:numId w:val="4"/>
              </w:numPr>
              <w:bidi w:val="0"/>
              <w:rPr>
                <w:rFonts w:hint="eastAsia"/>
                <w:color w:val="auto"/>
                <w:lang w:val="en-US" w:eastAsia="zh-CN"/>
              </w:rPr>
            </w:pPr>
            <w:r>
              <w:rPr>
                <w:rFonts w:hint="eastAsia"/>
                <w:color w:val="auto"/>
                <w:lang w:val="en-US" w:eastAsia="zh-CN"/>
              </w:rPr>
              <w:t>本项目</w:t>
            </w:r>
            <w:r>
              <w:rPr>
                <w:rFonts w:hint="eastAsia"/>
                <w:color w:val="auto"/>
              </w:rPr>
              <w:t>位于安徽淮南市</w:t>
            </w:r>
            <w:r>
              <w:rPr>
                <w:rFonts w:hint="eastAsia"/>
                <w:color w:val="auto"/>
                <w:lang w:val="en-US" w:eastAsia="zh-CN"/>
              </w:rPr>
              <w:t>高新技术开发区</w:t>
            </w:r>
            <w:r>
              <w:rPr>
                <w:rFonts w:hint="eastAsia"/>
                <w:lang w:val="en-US" w:eastAsia="zh-CN"/>
              </w:rPr>
              <w:t>民裕大街与支四路交叉口</w:t>
            </w:r>
            <w:r>
              <w:rPr>
                <w:rFonts w:hint="eastAsia"/>
                <w:color w:val="auto"/>
                <w:lang w:val="en-US" w:eastAsia="zh-CN"/>
              </w:rPr>
              <w:t>，交通便捷，水电配套齐全，符合医院的可持续发展；</w:t>
            </w:r>
          </w:p>
          <w:p w14:paraId="6DE6A6CA">
            <w:pPr>
              <w:numPr>
                <w:ilvl w:val="0"/>
                <w:numId w:val="4"/>
              </w:numPr>
              <w:bidi w:val="0"/>
              <w:rPr>
                <w:rFonts w:hint="eastAsia"/>
                <w:color w:val="auto"/>
                <w:lang w:val="en-US" w:eastAsia="zh-CN"/>
              </w:rPr>
            </w:pPr>
            <w:r>
              <w:rPr>
                <w:rFonts w:hint="eastAsia"/>
                <w:color w:val="auto"/>
                <w:lang w:val="en-US" w:eastAsia="zh-CN"/>
              </w:rPr>
              <w:t>本项目精神卫生福利中心主楼整体划分为南北两侧，门诊区与病床区相对独立又相互联系，从硬件设施方面为医护工作人员提供安全可靠的工作环境；为患者提供舒适便捷的就医环境。</w:t>
            </w:r>
          </w:p>
          <w:p w14:paraId="7BFC37D8">
            <w:pPr>
              <w:numPr>
                <w:ilvl w:val="0"/>
                <w:numId w:val="4"/>
              </w:numPr>
              <w:bidi w:val="0"/>
              <w:rPr>
                <w:rFonts w:hint="default" w:ascii="Times New Roman" w:hAnsi="Times New Roman" w:eastAsia="宋体" w:cs="Times New Roman"/>
                <w:color w:val="auto"/>
                <w:kern w:val="2"/>
                <w:sz w:val="24"/>
                <w:szCs w:val="24"/>
                <w:lang w:val="en-US" w:eastAsia="zh-CN" w:bidi="ar-SA"/>
              </w:rPr>
            </w:pPr>
            <w:r>
              <w:rPr>
                <w:rFonts w:hint="eastAsia"/>
                <w:color w:val="auto"/>
                <w:lang w:val="en-US" w:eastAsia="zh-CN"/>
              </w:rPr>
              <w:t>项目邻道路设置，出口位置及道路布置能够满足人流、车流进出需要。厂区总平面布置情况</w:t>
            </w:r>
            <w:r>
              <w:rPr>
                <w:rFonts w:hint="eastAsia"/>
                <w:color w:val="auto"/>
                <w:highlight w:val="none"/>
                <w:lang w:val="en-US" w:eastAsia="zh-CN"/>
              </w:rPr>
              <w:t>见附图 3。</w:t>
            </w:r>
          </w:p>
        </w:tc>
      </w:tr>
      <w:tr w14:paraId="3B5A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569" w:type="dxa"/>
            <w:tcBorders>
              <w:tl2br w:val="nil"/>
              <w:tr2bl w:val="nil"/>
            </w:tcBorders>
            <w:vAlign w:val="center"/>
          </w:tcPr>
          <w:p w14:paraId="1AF49B8A">
            <w:pPr>
              <w:ind w:firstLine="0" w:firstLineChars="0"/>
              <w:jc w:val="center"/>
            </w:pPr>
            <w:r>
              <w:t>工艺</w:t>
            </w:r>
            <w:r>
              <w:rPr>
                <w:spacing w:val="-9"/>
              </w:rPr>
              <w:t>流程和产排污环节</w:t>
            </w:r>
          </w:p>
        </w:tc>
        <w:tc>
          <w:tcPr>
            <w:tcW w:w="8719" w:type="dxa"/>
            <w:tcBorders>
              <w:tl2br w:val="nil"/>
              <w:tr2bl w:val="nil"/>
            </w:tcBorders>
            <w:shd w:val="clear" w:color="auto" w:fill="auto"/>
            <w:vAlign w:val="top"/>
          </w:tcPr>
          <w:p w14:paraId="59CEF3BC">
            <w:pPr>
              <w:ind w:firstLine="480"/>
              <w:rPr>
                <w:color w:val="auto"/>
              </w:rPr>
            </w:pPr>
            <w:r>
              <w:rPr>
                <w:rFonts w:hint="eastAsia"/>
                <w:color w:val="auto"/>
              </w:rPr>
              <w:t>工艺流程简述</w:t>
            </w:r>
            <w:r>
              <w:rPr>
                <w:rFonts w:hint="eastAsia"/>
                <w:color w:val="auto"/>
                <w:lang w:eastAsia="zh-CN"/>
              </w:rPr>
              <w:t>（</w:t>
            </w:r>
            <w:r>
              <w:rPr>
                <w:rFonts w:hint="eastAsia"/>
                <w:color w:val="auto"/>
              </w:rPr>
              <w:t>图示</w:t>
            </w:r>
            <w:r>
              <w:rPr>
                <w:rFonts w:hint="eastAsia"/>
                <w:color w:val="auto"/>
                <w:lang w:eastAsia="zh-CN"/>
              </w:rPr>
              <w:t>）</w:t>
            </w:r>
            <w:r>
              <w:rPr>
                <w:rFonts w:hint="eastAsia"/>
                <w:color w:val="auto"/>
              </w:rPr>
              <w:t>：</w:t>
            </w:r>
          </w:p>
          <w:p w14:paraId="2A1C34D9">
            <w:pPr>
              <w:ind w:firstLine="480"/>
              <w:rPr>
                <w:color w:val="auto"/>
              </w:rPr>
            </w:pPr>
            <w:r>
              <w:rPr>
                <w:rFonts w:hint="eastAsia"/>
                <w:color w:val="auto"/>
              </w:rPr>
              <w:t>项目污染因素和对环境影响的时段包括项目施工期和营运期。</w:t>
            </w:r>
          </w:p>
          <w:p w14:paraId="18A24964">
            <w:pPr>
              <w:numPr>
                <w:ilvl w:val="0"/>
                <w:numId w:val="5"/>
              </w:numPr>
              <w:ind w:firstLine="480" w:firstLineChars="0"/>
              <w:rPr>
                <w:b/>
                <w:bCs/>
                <w:color w:val="auto"/>
              </w:rPr>
            </w:pPr>
            <w:r>
              <w:rPr>
                <w:rFonts w:hint="eastAsia"/>
                <w:b/>
                <w:bCs/>
                <w:color w:val="auto"/>
              </w:rPr>
              <w:t>施工期</w:t>
            </w:r>
          </w:p>
          <w:p w14:paraId="764632F9">
            <w:pPr>
              <w:bidi w:val="0"/>
              <w:rPr>
                <w:rFonts w:hint="eastAsia"/>
              </w:rPr>
            </w:pPr>
            <w:r>
              <w:rPr>
                <w:rFonts w:hint="eastAsia"/>
              </w:rPr>
              <w:t>本项目</w:t>
            </w:r>
            <w:r>
              <w:rPr>
                <w:rFonts w:hint="eastAsia"/>
                <w:lang w:val="en-US" w:eastAsia="zh-CN"/>
              </w:rPr>
              <w:t>利用原福利院闲置房屋</w:t>
            </w:r>
            <w:r>
              <w:rPr>
                <w:rFonts w:hint="eastAsia"/>
                <w:lang w:eastAsia="zh-CN"/>
              </w:rPr>
              <w:t>，</w:t>
            </w:r>
            <w:r>
              <w:rPr>
                <w:rFonts w:hint="eastAsia"/>
              </w:rPr>
              <w:t>经现场</w:t>
            </w:r>
            <w:r>
              <w:rPr>
                <w:rFonts w:hint="eastAsia"/>
                <w:lang w:val="en-US" w:eastAsia="zh-CN"/>
              </w:rPr>
              <w:t>勘察可知精神卫生福利中心主楼</w:t>
            </w:r>
            <w:r>
              <w:rPr>
                <w:rFonts w:hint="eastAsia"/>
              </w:rPr>
              <w:t>目前为闲置状态，地面已硬化。因此，无环境遗留问题。</w:t>
            </w:r>
          </w:p>
          <w:p w14:paraId="6F423A37">
            <w:pPr>
              <w:bidi w:val="0"/>
              <w:rPr>
                <w:rFonts w:hint="eastAsia"/>
              </w:rPr>
            </w:pPr>
            <w:r>
              <w:rPr>
                <w:rFonts w:hint="eastAsia"/>
              </w:rPr>
              <w:t>本项目施工期仅进行简单装修及医疗设备的安装，施工期工程量很小，产生的污染物较少。因此，本次评价不对其进行分析和评价。</w:t>
            </w:r>
          </w:p>
          <w:p w14:paraId="04A46CDB">
            <w:pPr>
              <w:bidi w:val="0"/>
              <w:rPr>
                <w:b/>
                <w:bCs/>
              </w:rPr>
            </w:pPr>
            <w:r>
              <w:rPr>
                <w:rFonts w:hint="eastAsia"/>
                <w:b/>
                <w:bCs/>
                <w:lang w:val="en-US" w:eastAsia="zh-CN"/>
              </w:rPr>
              <w:t>2、</w:t>
            </w:r>
            <w:r>
              <w:rPr>
                <w:rFonts w:hint="eastAsia"/>
                <w:b/>
                <w:bCs/>
              </w:rPr>
              <w:t>营运期工艺流程</w:t>
            </w:r>
          </w:p>
          <w:p w14:paraId="053B28F6">
            <w:pPr>
              <w:bidi w:val="0"/>
              <w:rPr>
                <w:rFonts w:hint="eastAsia"/>
                <w:color w:val="auto"/>
                <w:lang w:val="en-US" w:eastAsia="zh-CN"/>
              </w:rPr>
            </w:pPr>
            <w:r>
              <w:rPr>
                <w:rFonts w:hint="eastAsia"/>
                <w:color w:val="auto"/>
                <w:lang w:val="en-US" w:eastAsia="zh-CN"/>
              </w:rPr>
              <w:t>本项目运营期工作流程图及产污环节见下图。</w:t>
            </w:r>
          </w:p>
          <w:p w14:paraId="65E854E3">
            <w:pPr>
              <w:pStyle w:val="9"/>
              <w:ind w:left="0" w:leftChars="0" w:firstLine="0" w:firstLineChars="0"/>
              <w:rPr>
                <w:rFonts w:hint="default"/>
                <w:lang w:val="en-US" w:eastAsia="zh-CN"/>
              </w:rPr>
            </w:pPr>
            <w:r>
              <w:rPr>
                <w:rFonts w:hint="default"/>
                <w:lang w:val="en-US" w:eastAsia="zh-CN"/>
              </w:rPr>
              <w:drawing>
                <wp:inline distT="0" distB="0" distL="114300" distR="114300">
                  <wp:extent cx="5467350" cy="1979295"/>
                  <wp:effectExtent l="0" t="0" r="3810" b="1905"/>
                  <wp:docPr id="14" name="图片 14" descr="173321486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3214867601"/>
                          <pic:cNvPicPr>
                            <a:picLocks noChangeAspect="1"/>
                          </pic:cNvPicPr>
                        </pic:nvPicPr>
                        <pic:blipFill>
                          <a:blip r:embed="rId23"/>
                          <a:stretch>
                            <a:fillRect/>
                          </a:stretch>
                        </pic:blipFill>
                        <pic:spPr>
                          <a:xfrm>
                            <a:off x="0" y="0"/>
                            <a:ext cx="5467350" cy="1979295"/>
                          </a:xfrm>
                          <a:prstGeom prst="rect">
                            <a:avLst/>
                          </a:prstGeom>
                        </pic:spPr>
                      </pic:pic>
                    </a:graphicData>
                  </a:graphic>
                </wp:inline>
              </w:drawing>
            </w:r>
          </w:p>
          <w:p w14:paraId="5931CA58">
            <w:pPr>
              <w:pStyle w:val="41"/>
              <w:bidi w:val="0"/>
              <w:rPr>
                <w:rFonts w:hint="default"/>
                <w:lang w:val="en-US" w:eastAsia="zh-CN"/>
              </w:rPr>
            </w:pPr>
            <w:r>
              <w:rPr>
                <w:rFonts w:hint="eastAsia"/>
                <w:lang w:val="en-US" w:eastAsia="zh-CN"/>
              </w:rPr>
              <w:t>图2-2  医院工艺流程及产污环节</w:t>
            </w:r>
          </w:p>
          <w:p w14:paraId="26E0EAB1">
            <w:pPr>
              <w:bidi w:val="0"/>
              <w:rPr>
                <w:rFonts w:hint="eastAsia"/>
                <w:lang w:val="en-US" w:eastAsia="zh-CN"/>
              </w:rPr>
            </w:pPr>
            <w:r>
              <w:rPr>
                <w:rFonts w:hint="eastAsia"/>
                <w:lang w:val="en-US" w:eastAsia="zh-CN"/>
              </w:rPr>
              <w:t>就诊流程简述：患者入院后进行身体检查及诊断，根据诊断结果进行后续治疗（包括门诊病人治疗和住院病人治疗），每隔一段时间进行复检，治疗结束后，患者出院。此过程会产生S固体废物，W废水，N噪声。</w:t>
            </w:r>
          </w:p>
          <w:p w14:paraId="37F24902">
            <w:pPr>
              <w:pStyle w:val="27"/>
              <w:bidi w:val="0"/>
              <w:rPr>
                <w:rFonts w:hint="default"/>
              </w:rPr>
            </w:pPr>
            <w:r>
              <w:rPr>
                <w:rFonts w:hint="eastAsia"/>
                <w:lang w:val="en-US" w:eastAsia="zh-CN"/>
              </w:rPr>
              <w:t>表</w:t>
            </w:r>
            <w:r>
              <w:t>2-</w:t>
            </w:r>
            <w:r>
              <w:rPr>
                <w:rFonts w:hint="eastAsia"/>
                <w:lang w:val="en-US" w:eastAsia="zh-CN"/>
              </w:rPr>
              <w:t>12</w:t>
            </w:r>
            <w:r>
              <w:t xml:space="preserve"> </w:t>
            </w:r>
            <w:r>
              <w:rPr>
                <w:rFonts w:hint="eastAsia"/>
                <w:lang w:val="en-US" w:eastAsia="zh-CN"/>
              </w:rPr>
              <w:t xml:space="preserve"> </w:t>
            </w:r>
            <w:r>
              <w:t>工艺流程和污染源识别汇总表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454"/>
              <w:gridCol w:w="1065"/>
              <w:gridCol w:w="2905"/>
              <w:gridCol w:w="3446"/>
              <w:gridCol w:w="623"/>
            </w:tblGrid>
            <w:tr w14:paraId="5443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noWrap w:val="0"/>
                  <w:vAlign w:val="center"/>
                </w:tcPr>
                <w:p w14:paraId="7E68DFB3">
                  <w:pPr>
                    <w:pStyle w:val="32"/>
                    <w:bidi w:val="0"/>
                    <w:jc w:val="center"/>
                    <w:rPr>
                      <w:b/>
                      <w:bCs/>
                      <w:color w:val="auto"/>
                    </w:rPr>
                  </w:pPr>
                  <w:r>
                    <w:rPr>
                      <w:b/>
                      <w:bCs/>
                    </w:rPr>
                    <w:t>类别</w:t>
                  </w:r>
                </w:p>
              </w:tc>
              <w:tc>
                <w:tcPr>
                  <w:tcW w:w="1065" w:type="dxa"/>
                  <w:noWrap w:val="0"/>
                  <w:vAlign w:val="center"/>
                </w:tcPr>
                <w:p w14:paraId="7C8DCF7C">
                  <w:pPr>
                    <w:pStyle w:val="32"/>
                    <w:bidi w:val="0"/>
                    <w:jc w:val="center"/>
                    <w:rPr>
                      <w:b/>
                      <w:bCs/>
                      <w:color w:val="auto"/>
                    </w:rPr>
                  </w:pPr>
                  <w:r>
                    <w:rPr>
                      <w:b/>
                      <w:bCs/>
                    </w:rPr>
                    <w:t>产生点</w:t>
                  </w:r>
                </w:p>
              </w:tc>
              <w:tc>
                <w:tcPr>
                  <w:tcW w:w="2905" w:type="dxa"/>
                  <w:noWrap w:val="0"/>
                  <w:vAlign w:val="center"/>
                </w:tcPr>
                <w:p w14:paraId="18BA0836">
                  <w:pPr>
                    <w:pStyle w:val="32"/>
                    <w:bidi w:val="0"/>
                    <w:jc w:val="center"/>
                    <w:rPr>
                      <w:b/>
                      <w:bCs/>
                      <w:color w:val="auto"/>
                    </w:rPr>
                  </w:pPr>
                  <w:r>
                    <w:rPr>
                      <w:b/>
                      <w:bCs/>
                    </w:rPr>
                    <w:t>污染物</w:t>
                  </w:r>
                </w:p>
              </w:tc>
              <w:tc>
                <w:tcPr>
                  <w:tcW w:w="3446" w:type="dxa"/>
                  <w:noWrap w:val="0"/>
                  <w:vAlign w:val="center"/>
                </w:tcPr>
                <w:p w14:paraId="1B027CB7">
                  <w:pPr>
                    <w:pStyle w:val="32"/>
                    <w:bidi w:val="0"/>
                    <w:jc w:val="center"/>
                    <w:rPr>
                      <w:b/>
                      <w:bCs/>
                      <w:color w:val="auto"/>
                    </w:rPr>
                  </w:pPr>
                  <w:r>
                    <w:rPr>
                      <w:rFonts w:hint="eastAsia"/>
                      <w:b/>
                      <w:bCs/>
                    </w:rPr>
                    <w:t>处理措施</w:t>
                  </w:r>
                </w:p>
              </w:tc>
              <w:tc>
                <w:tcPr>
                  <w:tcW w:w="623" w:type="dxa"/>
                  <w:noWrap w:val="0"/>
                  <w:vAlign w:val="center"/>
                </w:tcPr>
                <w:p w14:paraId="5CAA7CC7">
                  <w:pPr>
                    <w:pStyle w:val="32"/>
                    <w:bidi w:val="0"/>
                    <w:jc w:val="center"/>
                    <w:rPr>
                      <w:b/>
                      <w:bCs/>
                      <w:color w:val="auto"/>
                    </w:rPr>
                  </w:pPr>
                  <w:r>
                    <w:rPr>
                      <w:b/>
                      <w:bCs/>
                    </w:rPr>
                    <w:t>排放方式</w:t>
                  </w:r>
                </w:p>
              </w:tc>
            </w:tr>
            <w:tr w14:paraId="1EC1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restart"/>
                  <w:noWrap w:val="0"/>
                  <w:vAlign w:val="center"/>
                </w:tcPr>
                <w:p w14:paraId="1EC06D7F">
                  <w:pPr>
                    <w:pStyle w:val="32"/>
                    <w:bidi w:val="0"/>
                    <w:jc w:val="center"/>
                    <w:rPr>
                      <w:color w:val="auto"/>
                    </w:rPr>
                  </w:pPr>
                  <w:r>
                    <w:t>废水</w:t>
                  </w:r>
                </w:p>
              </w:tc>
              <w:tc>
                <w:tcPr>
                  <w:tcW w:w="1065" w:type="dxa"/>
                  <w:noWrap w:val="0"/>
                  <w:vAlign w:val="center"/>
                </w:tcPr>
                <w:p w14:paraId="46596BFA">
                  <w:pPr>
                    <w:pStyle w:val="32"/>
                    <w:bidi w:val="0"/>
                    <w:jc w:val="center"/>
                    <w:rPr>
                      <w:rFonts w:hint="default"/>
                      <w:color w:val="auto"/>
                      <w:lang w:val="en-US" w:eastAsia="zh-CN"/>
                    </w:rPr>
                  </w:pPr>
                  <w:r>
                    <w:rPr>
                      <w:rFonts w:hint="eastAsia"/>
                      <w:color w:val="auto"/>
                      <w:lang w:val="en-US" w:eastAsia="zh-CN"/>
                    </w:rPr>
                    <w:t>诊疗治疗</w:t>
                  </w:r>
                </w:p>
              </w:tc>
              <w:tc>
                <w:tcPr>
                  <w:tcW w:w="2905" w:type="dxa"/>
                  <w:noWrap w:val="0"/>
                  <w:vAlign w:val="center"/>
                </w:tcPr>
                <w:p w14:paraId="13E3CF79">
                  <w:pPr>
                    <w:pStyle w:val="32"/>
                    <w:bidi w:val="0"/>
                    <w:jc w:val="center"/>
                    <w:rPr>
                      <w:rFonts w:hint="default"/>
                      <w:color w:val="auto"/>
                      <w:lang w:val="en-US" w:eastAsia="zh-CN"/>
                    </w:rPr>
                  </w:pPr>
                  <w:r>
                    <w:rPr>
                      <w:rFonts w:hint="eastAsia"/>
                      <w:lang w:val="en-US" w:eastAsia="zh-CN"/>
                    </w:rPr>
                    <w:t>COD、BOD</w:t>
                  </w:r>
                  <w:r>
                    <w:rPr>
                      <w:rFonts w:hint="eastAsia"/>
                      <w:vertAlign w:val="subscript"/>
                      <w:lang w:val="en-US" w:eastAsia="zh-CN"/>
                    </w:rPr>
                    <w:t>5</w:t>
                  </w:r>
                  <w:r>
                    <w:rPr>
                      <w:rFonts w:hint="eastAsia"/>
                      <w:lang w:val="en-US" w:eastAsia="zh-CN"/>
                    </w:rPr>
                    <w:t>、氨氮、SS、粪大肠菌群</w:t>
                  </w:r>
                </w:p>
              </w:tc>
              <w:tc>
                <w:tcPr>
                  <w:tcW w:w="3446" w:type="dxa"/>
                  <w:vMerge w:val="restart"/>
                  <w:noWrap w:val="0"/>
                  <w:vAlign w:val="center"/>
                </w:tcPr>
                <w:p w14:paraId="21DD6F97">
                  <w:pPr>
                    <w:pStyle w:val="32"/>
                    <w:bidi w:val="0"/>
                    <w:jc w:val="center"/>
                    <w:rPr>
                      <w:rFonts w:hint="default"/>
                      <w:color w:val="auto"/>
                      <w:lang w:val="en-US" w:eastAsia="zh-CN"/>
                    </w:rPr>
                  </w:pPr>
                  <w:r>
                    <w:rPr>
                      <w:rFonts w:hint="eastAsia"/>
                      <w:lang w:val="en-US" w:eastAsia="zh-CN"/>
                    </w:rPr>
                    <w:t>化粪池+自建污水处理站</w:t>
                  </w:r>
                </w:p>
              </w:tc>
              <w:tc>
                <w:tcPr>
                  <w:tcW w:w="623" w:type="dxa"/>
                  <w:vMerge w:val="restart"/>
                  <w:noWrap w:val="0"/>
                  <w:vAlign w:val="center"/>
                </w:tcPr>
                <w:p w14:paraId="33B4997E">
                  <w:pPr>
                    <w:pStyle w:val="32"/>
                    <w:bidi w:val="0"/>
                    <w:jc w:val="center"/>
                    <w:rPr>
                      <w:rFonts w:hint="eastAsia"/>
                      <w:color w:val="auto"/>
                      <w:lang w:eastAsia="zh-CN"/>
                    </w:rPr>
                  </w:pPr>
                  <w:r>
                    <w:rPr>
                      <w:rFonts w:hint="eastAsia"/>
                      <w:lang w:val="en-US" w:eastAsia="zh-CN"/>
                    </w:rPr>
                    <w:t>间接排放</w:t>
                  </w:r>
                </w:p>
              </w:tc>
            </w:tr>
            <w:tr w14:paraId="06C2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continue"/>
                  <w:noWrap w:val="0"/>
                  <w:vAlign w:val="center"/>
                </w:tcPr>
                <w:p w14:paraId="11B0A7C1">
                  <w:pPr>
                    <w:pStyle w:val="32"/>
                    <w:bidi w:val="0"/>
                    <w:jc w:val="center"/>
                  </w:pPr>
                </w:p>
              </w:tc>
              <w:tc>
                <w:tcPr>
                  <w:tcW w:w="1065" w:type="dxa"/>
                  <w:noWrap w:val="0"/>
                  <w:vAlign w:val="center"/>
                </w:tcPr>
                <w:p w14:paraId="69AF7567">
                  <w:pPr>
                    <w:pStyle w:val="32"/>
                    <w:bidi w:val="0"/>
                    <w:jc w:val="center"/>
                    <w:rPr>
                      <w:rFonts w:hint="default"/>
                      <w:color w:val="auto"/>
                      <w:lang w:val="en-US" w:eastAsia="zh-CN"/>
                    </w:rPr>
                  </w:pPr>
                  <w:r>
                    <w:rPr>
                      <w:rFonts w:hint="eastAsia"/>
                      <w:color w:val="auto"/>
                      <w:lang w:val="en-US" w:eastAsia="zh-CN"/>
                    </w:rPr>
                    <w:t>清洁</w:t>
                  </w:r>
                </w:p>
              </w:tc>
              <w:tc>
                <w:tcPr>
                  <w:tcW w:w="2905" w:type="dxa"/>
                  <w:noWrap w:val="0"/>
                  <w:vAlign w:val="center"/>
                </w:tcPr>
                <w:p w14:paraId="5CBC63C4">
                  <w:pPr>
                    <w:pStyle w:val="32"/>
                    <w:bidi w:val="0"/>
                    <w:jc w:val="center"/>
                    <w:rPr>
                      <w:rFonts w:hint="eastAsia"/>
                      <w:lang w:val="en-US" w:eastAsia="zh-CN"/>
                    </w:rPr>
                  </w:pPr>
                  <w:r>
                    <w:rPr>
                      <w:rFonts w:hint="eastAsia"/>
                      <w:lang w:val="en-US" w:eastAsia="zh-CN"/>
                    </w:rPr>
                    <w:t>COD、BOD</w:t>
                  </w:r>
                  <w:r>
                    <w:rPr>
                      <w:rFonts w:hint="eastAsia"/>
                      <w:vertAlign w:val="subscript"/>
                      <w:lang w:val="en-US" w:eastAsia="zh-CN"/>
                    </w:rPr>
                    <w:t>5</w:t>
                  </w:r>
                  <w:r>
                    <w:rPr>
                      <w:rFonts w:hint="eastAsia"/>
                      <w:lang w:val="en-US" w:eastAsia="zh-CN"/>
                    </w:rPr>
                    <w:t>、氨氮、SS</w:t>
                  </w:r>
                </w:p>
              </w:tc>
              <w:tc>
                <w:tcPr>
                  <w:tcW w:w="3446" w:type="dxa"/>
                  <w:vMerge w:val="continue"/>
                  <w:noWrap w:val="0"/>
                  <w:vAlign w:val="center"/>
                </w:tcPr>
                <w:p w14:paraId="5A8FA898">
                  <w:pPr>
                    <w:pStyle w:val="32"/>
                    <w:bidi w:val="0"/>
                    <w:jc w:val="center"/>
                    <w:rPr>
                      <w:rFonts w:hint="eastAsia"/>
                      <w:lang w:val="en-US" w:eastAsia="zh-CN"/>
                    </w:rPr>
                  </w:pPr>
                </w:p>
              </w:tc>
              <w:tc>
                <w:tcPr>
                  <w:tcW w:w="623" w:type="dxa"/>
                  <w:vMerge w:val="continue"/>
                  <w:noWrap w:val="0"/>
                  <w:vAlign w:val="center"/>
                </w:tcPr>
                <w:p w14:paraId="68B87EB6">
                  <w:pPr>
                    <w:pStyle w:val="32"/>
                    <w:bidi w:val="0"/>
                    <w:jc w:val="center"/>
                    <w:rPr>
                      <w:rFonts w:hint="eastAsia"/>
                      <w:lang w:val="en-US" w:eastAsia="zh-CN"/>
                    </w:rPr>
                  </w:pPr>
                </w:p>
              </w:tc>
            </w:tr>
            <w:tr w14:paraId="22CA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continue"/>
                  <w:noWrap w:val="0"/>
                  <w:vAlign w:val="center"/>
                </w:tcPr>
                <w:p w14:paraId="127CAFD0">
                  <w:pPr>
                    <w:pStyle w:val="32"/>
                    <w:bidi w:val="0"/>
                    <w:jc w:val="center"/>
                  </w:pPr>
                </w:p>
              </w:tc>
              <w:tc>
                <w:tcPr>
                  <w:tcW w:w="1065" w:type="dxa"/>
                  <w:noWrap w:val="0"/>
                  <w:vAlign w:val="center"/>
                </w:tcPr>
                <w:p w14:paraId="037566A2">
                  <w:pPr>
                    <w:pStyle w:val="32"/>
                    <w:bidi w:val="0"/>
                    <w:jc w:val="center"/>
                    <w:rPr>
                      <w:rFonts w:hint="default"/>
                      <w:color w:val="auto"/>
                      <w:lang w:val="en-US" w:eastAsia="zh-CN"/>
                    </w:rPr>
                  </w:pPr>
                  <w:r>
                    <w:rPr>
                      <w:rFonts w:hint="eastAsia"/>
                      <w:color w:val="auto"/>
                      <w:lang w:val="en-US" w:eastAsia="zh-CN"/>
                    </w:rPr>
                    <w:t>职工生活</w:t>
                  </w:r>
                </w:p>
              </w:tc>
              <w:tc>
                <w:tcPr>
                  <w:tcW w:w="2905" w:type="dxa"/>
                  <w:noWrap w:val="0"/>
                  <w:vAlign w:val="center"/>
                </w:tcPr>
                <w:p w14:paraId="23031DBB">
                  <w:pPr>
                    <w:pStyle w:val="32"/>
                    <w:bidi w:val="0"/>
                    <w:jc w:val="center"/>
                    <w:rPr>
                      <w:rFonts w:hint="eastAsia"/>
                      <w:lang w:val="en-US" w:eastAsia="zh-CN"/>
                    </w:rPr>
                  </w:pPr>
                  <w:r>
                    <w:rPr>
                      <w:rFonts w:hint="eastAsia"/>
                      <w:lang w:val="en-US" w:eastAsia="zh-CN"/>
                    </w:rPr>
                    <w:t>COD、BOD</w:t>
                  </w:r>
                  <w:r>
                    <w:rPr>
                      <w:rFonts w:hint="eastAsia"/>
                      <w:vertAlign w:val="subscript"/>
                      <w:lang w:val="en-US" w:eastAsia="zh-CN"/>
                    </w:rPr>
                    <w:t>5</w:t>
                  </w:r>
                  <w:r>
                    <w:rPr>
                      <w:rFonts w:hint="eastAsia"/>
                      <w:lang w:val="en-US" w:eastAsia="zh-CN"/>
                    </w:rPr>
                    <w:t>、氨氮、SS</w:t>
                  </w:r>
                </w:p>
              </w:tc>
              <w:tc>
                <w:tcPr>
                  <w:tcW w:w="3446" w:type="dxa"/>
                  <w:vMerge w:val="continue"/>
                  <w:noWrap w:val="0"/>
                  <w:vAlign w:val="center"/>
                </w:tcPr>
                <w:p w14:paraId="518C0FEE">
                  <w:pPr>
                    <w:pStyle w:val="32"/>
                    <w:bidi w:val="0"/>
                    <w:jc w:val="center"/>
                    <w:rPr>
                      <w:rFonts w:hint="eastAsia"/>
                      <w:lang w:val="en-US" w:eastAsia="zh-CN"/>
                    </w:rPr>
                  </w:pPr>
                </w:p>
              </w:tc>
              <w:tc>
                <w:tcPr>
                  <w:tcW w:w="623" w:type="dxa"/>
                  <w:vMerge w:val="continue"/>
                  <w:noWrap w:val="0"/>
                  <w:vAlign w:val="center"/>
                </w:tcPr>
                <w:p w14:paraId="558E89AB">
                  <w:pPr>
                    <w:pStyle w:val="32"/>
                    <w:bidi w:val="0"/>
                    <w:jc w:val="center"/>
                    <w:rPr>
                      <w:rFonts w:hint="eastAsia"/>
                      <w:lang w:val="en-US" w:eastAsia="zh-CN"/>
                    </w:rPr>
                  </w:pPr>
                </w:p>
              </w:tc>
            </w:tr>
            <w:tr w14:paraId="12F4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continue"/>
                  <w:noWrap w:val="0"/>
                  <w:vAlign w:val="center"/>
                </w:tcPr>
                <w:p w14:paraId="751A83B3">
                  <w:pPr>
                    <w:pStyle w:val="32"/>
                    <w:bidi w:val="0"/>
                    <w:jc w:val="center"/>
                  </w:pPr>
                </w:p>
              </w:tc>
              <w:tc>
                <w:tcPr>
                  <w:tcW w:w="1065" w:type="dxa"/>
                  <w:noWrap w:val="0"/>
                  <w:vAlign w:val="center"/>
                </w:tcPr>
                <w:p w14:paraId="6D56F722">
                  <w:pPr>
                    <w:pStyle w:val="32"/>
                    <w:bidi w:val="0"/>
                    <w:jc w:val="center"/>
                    <w:rPr>
                      <w:rFonts w:hint="default"/>
                      <w:color w:val="auto"/>
                      <w:lang w:val="en-US" w:eastAsia="zh-CN"/>
                    </w:rPr>
                  </w:pPr>
                  <w:r>
                    <w:rPr>
                      <w:rFonts w:hint="eastAsia"/>
                      <w:color w:val="auto"/>
                      <w:lang w:val="en-US" w:eastAsia="zh-CN"/>
                    </w:rPr>
                    <w:t>食堂</w:t>
                  </w:r>
                </w:p>
              </w:tc>
              <w:tc>
                <w:tcPr>
                  <w:tcW w:w="2905" w:type="dxa"/>
                  <w:noWrap w:val="0"/>
                  <w:vAlign w:val="center"/>
                </w:tcPr>
                <w:p w14:paraId="01949E41">
                  <w:pPr>
                    <w:pStyle w:val="32"/>
                    <w:bidi w:val="0"/>
                    <w:jc w:val="center"/>
                    <w:rPr>
                      <w:rFonts w:hint="default"/>
                      <w:lang w:val="en-US" w:eastAsia="zh-CN"/>
                    </w:rPr>
                  </w:pPr>
                  <w:r>
                    <w:rPr>
                      <w:rFonts w:hint="eastAsia"/>
                      <w:lang w:val="en-US" w:eastAsia="zh-CN"/>
                    </w:rPr>
                    <w:t>COD、BOD</w:t>
                  </w:r>
                  <w:r>
                    <w:rPr>
                      <w:rFonts w:hint="eastAsia"/>
                      <w:vertAlign w:val="subscript"/>
                      <w:lang w:val="en-US" w:eastAsia="zh-CN"/>
                    </w:rPr>
                    <w:t>5</w:t>
                  </w:r>
                  <w:r>
                    <w:rPr>
                      <w:rFonts w:hint="eastAsia"/>
                      <w:lang w:val="en-US" w:eastAsia="zh-CN"/>
                    </w:rPr>
                    <w:t>、氨氮、SS、动植物油</w:t>
                  </w:r>
                </w:p>
              </w:tc>
              <w:tc>
                <w:tcPr>
                  <w:tcW w:w="3446" w:type="dxa"/>
                  <w:noWrap w:val="0"/>
                  <w:vAlign w:val="center"/>
                </w:tcPr>
                <w:p w14:paraId="072C99D9">
                  <w:pPr>
                    <w:pStyle w:val="32"/>
                    <w:bidi w:val="0"/>
                    <w:jc w:val="center"/>
                    <w:rPr>
                      <w:rFonts w:hint="default"/>
                      <w:lang w:val="en-US" w:eastAsia="zh-CN"/>
                    </w:rPr>
                  </w:pPr>
                  <w:r>
                    <w:rPr>
                      <w:rFonts w:hint="eastAsia"/>
                      <w:lang w:val="en-US" w:eastAsia="zh-CN"/>
                    </w:rPr>
                    <w:t>隔油+化粪池+自建污水处理站</w:t>
                  </w:r>
                </w:p>
              </w:tc>
              <w:tc>
                <w:tcPr>
                  <w:tcW w:w="623" w:type="dxa"/>
                  <w:vMerge w:val="continue"/>
                  <w:noWrap w:val="0"/>
                  <w:vAlign w:val="center"/>
                </w:tcPr>
                <w:p w14:paraId="475942F2">
                  <w:pPr>
                    <w:pStyle w:val="32"/>
                    <w:bidi w:val="0"/>
                    <w:jc w:val="center"/>
                    <w:rPr>
                      <w:rFonts w:hint="default"/>
                      <w:lang w:val="en-US" w:eastAsia="zh-CN"/>
                    </w:rPr>
                  </w:pPr>
                </w:p>
              </w:tc>
            </w:tr>
            <w:tr w14:paraId="0917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4" w:type="dxa"/>
                  <w:vMerge w:val="restart"/>
                  <w:noWrap w:val="0"/>
                  <w:vAlign w:val="center"/>
                </w:tcPr>
                <w:p w14:paraId="0744DCEE">
                  <w:pPr>
                    <w:pStyle w:val="32"/>
                    <w:bidi w:val="0"/>
                    <w:jc w:val="center"/>
                    <w:rPr>
                      <w:rFonts w:hint="eastAsia"/>
                      <w:color w:val="auto"/>
                    </w:rPr>
                  </w:pPr>
                  <w:r>
                    <w:t>固废</w:t>
                  </w:r>
                </w:p>
              </w:tc>
              <w:tc>
                <w:tcPr>
                  <w:tcW w:w="1065" w:type="dxa"/>
                  <w:noWrap w:val="0"/>
                  <w:vAlign w:val="center"/>
                </w:tcPr>
                <w:p w14:paraId="04A20755">
                  <w:pPr>
                    <w:pStyle w:val="32"/>
                    <w:bidi w:val="0"/>
                    <w:jc w:val="center"/>
                    <w:rPr>
                      <w:rFonts w:hint="eastAsia" w:eastAsia="宋体"/>
                      <w:color w:val="auto"/>
                      <w:lang w:val="en-US" w:eastAsia="zh-CN"/>
                    </w:rPr>
                  </w:pPr>
                  <w:r>
                    <w:rPr>
                      <w:rFonts w:hint="eastAsia"/>
                      <w:lang w:val="en-US" w:eastAsia="zh-CN"/>
                    </w:rPr>
                    <w:t>诊疗</w:t>
                  </w:r>
                </w:p>
              </w:tc>
              <w:tc>
                <w:tcPr>
                  <w:tcW w:w="2905" w:type="dxa"/>
                  <w:shd w:val="clear" w:color="auto" w:fill="auto"/>
                  <w:noWrap w:val="0"/>
                  <w:vAlign w:val="center"/>
                </w:tcPr>
                <w:p w14:paraId="7C8F6FA1">
                  <w:pPr>
                    <w:pStyle w:val="32"/>
                    <w:bidi w:val="0"/>
                    <w:jc w:val="center"/>
                    <w:rPr>
                      <w:rFonts w:hint="default" w:eastAsia="宋体"/>
                      <w:color w:val="auto"/>
                      <w:lang w:val="en-US" w:eastAsia="zh-CN"/>
                    </w:rPr>
                  </w:pPr>
                  <w:r>
                    <w:rPr>
                      <w:rFonts w:hint="eastAsia"/>
                      <w:lang w:val="en-US" w:eastAsia="zh-CN"/>
                    </w:rPr>
                    <w:t>医疗废物</w:t>
                  </w:r>
                </w:p>
              </w:tc>
              <w:tc>
                <w:tcPr>
                  <w:tcW w:w="3446" w:type="dxa"/>
                  <w:vMerge w:val="restart"/>
                  <w:noWrap w:val="0"/>
                  <w:vAlign w:val="center"/>
                </w:tcPr>
                <w:p w14:paraId="67EC76AE">
                  <w:pPr>
                    <w:pStyle w:val="32"/>
                    <w:bidi w:val="0"/>
                    <w:jc w:val="center"/>
                    <w:rPr>
                      <w:rFonts w:hint="default" w:eastAsia="宋体"/>
                      <w:color w:val="auto"/>
                      <w:lang w:val="en-US" w:eastAsia="zh-CN"/>
                    </w:rPr>
                  </w:pPr>
                  <w:r>
                    <w:rPr>
                      <w:rFonts w:hint="eastAsia"/>
                      <w:color w:val="auto"/>
                      <w:lang w:val="en-US" w:eastAsia="zh-CN"/>
                    </w:rPr>
                    <w:t>暂存于医废暂存间，委托有资质的单位进行处置</w:t>
                  </w:r>
                </w:p>
              </w:tc>
              <w:tc>
                <w:tcPr>
                  <w:tcW w:w="623" w:type="dxa"/>
                  <w:vMerge w:val="restart"/>
                  <w:noWrap w:val="0"/>
                  <w:vAlign w:val="center"/>
                </w:tcPr>
                <w:p w14:paraId="2DA743B9">
                  <w:pPr>
                    <w:pStyle w:val="32"/>
                    <w:bidi w:val="0"/>
                    <w:jc w:val="center"/>
                    <w:rPr>
                      <w:color w:val="auto"/>
                    </w:rPr>
                  </w:pPr>
                  <w:r>
                    <w:rPr>
                      <w:rFonts w:hint="eastAsia"/>
                    </w:rPr>
                    <w:t>合理处置</w:t>
                  </w:r>
                </w:p>
              </w:tc>
            </w:tr>
            <w:tr w14:paraId="036F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continue"/>
                  <w:noWrap w:val="0"/>
                  <w:vAlign w:val="center"/>
                </w:tcPr>
                <w:p w14:paraId="70CA2DCB">
                  <w:pPr>
                    <w:pStyle w:val="32"/>
                    <w:bidi w:val="0"/>
                    <w:jc w:val="center"/>
                  </w:pPr>
                </w:p>
              </w:tc>
              <w:tc>
                <w:tcPr>
                  <w:tcW w:w="1065" w:type="dxa"/>
                  <w:noWrap w:val="0"/>
                  <w:vAlign w:val="center"/>
                </w:tcPr>
                <w:p w14:paraId="1615F984">
                  <w:pPr>
                    <w:pStyle w:val="32"/>
                    <w:bidi w:val="0"/>
                    <w:jc w:val="center"/>
                    <w:rPr>
                      <w:rFonts w:hint="default"/>
                      <w:lang w:val="en-US" w:eastAsia="zh-CN"/>
                    </w:rPr>
                  </w:pPr>
                  <w:r>
                    <w:rPr>
                      <w:rFonts w:hint="eastAsia"/>
                      <w:lang w:val="en-US" w:eastAsia="zh-CN"/>
                    </w:rPr>
                    <w:t>检验</w:t>
                  </w:r>
                </w:p>
              </w:tc>
              <w:tc>
                <w:tcPr>
                  <w:tcW w:w="2905" w:type="dxa"/>
                  <w:shd w:val="clear" w:color="auto" w:fill="auto"/>
                  <w:noWrap w:val="0"/>
                  <w:vAlign w:val="center"/>
                </w:tcPr>
                <w:p w14:paraId="3426745B">
                  <w:pPr>
                    <w:pStyle w:val="32"/>
                    <w:bidi w:val="0"/>
                    <w:jc w:val="center"/>
                    <w:rPr>
                      <w:rFonts w:hint="default"/>
                      <w:lang w:val="en-US" w:eastAsia="zh-CN"/>
                    </w:rPr>
                  </w:pPr>
                  <w:r>
                    <w:rPr>
                      <w:rFonts w:hint="eastAsia"/>
                      <w:lang w:val="en-US" w:eastAsia="zh-CN"/>
                    </w:rPr>
                    <w:t>化验废液废物</w:t>
                  </w:r>
                </w:p>
              </w:tc>
              <w:tc>
                <w:tcPr>
                  <w:tcW w:w="3446" w:type="dxa"/>
                  <w:vMerge w:val="continue"/>
                  <w:noWrap w:val="0"/>
                  <w:vAlign w:val="center"/>
                </w:tcPr>
                <w:p w14:paraId="5ED2E6D8">
                  <w:pPr>
                    <w:pStyle w:val="32"/>
                    <w:bidi w:val="0"/>
                    <w:jc w:val="center"/>
                    <w:rPr>
                      <w:rFonts w:hint="eastAsia"/>
                    </w:rPr>
                  </w:pPr>
                </w:p>
              </w:tc>
              <w:tc>
                <w:tcPr>
                  <w:tcW w:w="623" w:type="dxa"/>
                  <w:vMerge w:val="continue"/>
                  <w:noWrap w:val="0"/>
                  <w:vAlign w:val="center"/>
                </w:tcPr>
                <w:p w14:paraId="393A9C6F">
                  <w:pPr>
                    <w:pStyle w:val="32"/>
                    <w:bidi w:val="0"/>
                    <w:jc w:val="center"/>
                    <w:rPr>
                      <w:rFonts w:hint="eastAsia"/>
                    </w:rPr>
                  </w:pPr>
                </w:p>
              </w:tc>
            </w:tr>
            <w:tr w14:paraId="068F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continue"/>
                  <w:noWrap w:val="0"/>
                  <w:vAlign w:val="center"/>
                </w:tcPr>
                <w:p w14:paraId="7E546016">
                  <w:pPr>
                    <w:pStyle w:val="32"/>
                    <w:bidi w:val="0"/>
                    <w:jc w:val="center"/>
                  </w:pPr>
                </w:p>
              </w:tc>
              <w:tc>
                <w:tcPr>
                  <w:tcW w:w="1065" w:type="dxa"/>
                  <w:noWrap w:val="0"/>
                  <w:vAlign w:val="center"/>
                </w:tcPr>
                <w:p w14:paraId="1EEECD16">
                  <w:pPr>
                    <w:pStyle w:val="32"/>
                    <w:bidi w:val="0"/>
                    <w:jc w:val="center"/>
                    <w:rPr>
                      <w:rFonts w:hint="default"/>
                      <w:lang w:val="en-US" w:eastAsia="zh-CN"/>
                    </w:rPr>
                  </w:pPr>
                  <w:r>
                    <w:rPr>
                      <w:rFonts w:hint="eastAsia"/>
                      <w:lang w:val="en-US" w:eastAsia="zh-CN"/>
                    </w:rPr>
                    <w:t>职工生活</w:t>
                  </w:r>
                </w:p>
              </w:tc>
              <w:tc>
                <w:tcPr>
                  <w:tcW w:w="2905" w:type="dxa"/>
                  <w:shd w:val="clear" w:color="auto" w:fill="auto"/>
                  <w:noWrap w:val="0"/>
                  <w:vAlign w:val="center"/>
                </w:tcPr>
                <w:p w14:paraId="21F3FC76">
                  <w:pPr>
                    <w:pStyle w:val="32"/>
                    <w:bidi w:val="0"/>
                    <w:jc w:val="center"/>
                    <w:rPr>
                      <w:rFonts w:hint="default"/>
                      <w:lang w:val="en-US" w:eastAsia="zh-CN"/>
                    </w:rPr>
                  </w:pPr>
                  <w:r>
                    <w:rPr>
                      <w:rFonts w:hint="eastAsia"/>
                      <w:lang w:val="en-US" w:eastAsia="zh-CN"/>
                    </w:rPr>
                    <w:t>生活垃圾</w:t>
                  </w:r>
                </w:p>
              </w:tc>
              <w:tc>
                <w:tcPr>
                  <w:tcW w:w="3446" w:type="dxa"/>
                  <w:vMerge w:val="restart"/>
                  <w:noWrap w:val="0"/>
                  <w:vAlign w:val="center"/>
                </w:tcPr>
                <w:p w14:paraId="589380E6">
                  <w:pPr>
                    <w:pStyle w:val="32"/>
                    <w:bidi w:val="0"/>
                    <w:jc w:val="center"/>
                    <w:rPr>
                      <w:rFonts w:hint="eastAsia"/>
                      <w:lang w:val="en-US" w:eastAsia="zh-CN"/>
                    </w:rPr>
                  </w:pPr>
                  <w:r>
                    <w:rPr>
                      <w:rFonts w:hint="eastAsia"/>
                      <w:lang w:val="en-US" w:eastAsia="zh-CN"/>
                    </w:rPr>
                    <w:t>由环卫部门清运</w:t>
                  </w:r>
                </w:p>
                <w:p w14:paraId="626D822F">
                  <w:pPr>
                    <w:pStyle w:val="32"/>
                    <w:bidi w:val="0"/>
                    <w:jc w:val="center"/>
                    <w:rPr>
                      <w:rFonts w:hint="default"/>
                      <w:lang w:val="en-US" w:eastAsia="zh-CN"/>
                    </w:rPr>
                  </w:pPr>
                  <w:r>
                    <w:rPr>
                      <w:rFonts w:hint="eastAsia"/>
                      <w:lang w:val="en-US" w:eastAsia="zh-CN"/>
                    </w:rPr>
                    <w:t>厨余垃圾收运单位收运、处理</w:t>
                  </w:r>
                </w:p>
              </w:tc>
              <w:tc>
                <w:tcPr>
                  <w:tcW w:w="623" w:type="dxa"/>
                  <w:vMerge w:val="continue"/>
                  <w:noWrap w:val="0"/>
                  <w:vAlign w:val="center"/>
                </w:tcPr>
                <w:p w14:paraId="75674F63">
                  <w:pPr>
                    <w:pStyle w:val="32"/>
                    <w:bidi w:val="0"/>
                    <w:jc w:val="center"/>
                    <w:rPr>
                      <w:rFonts w:hint="eastAsia"/>
                    </w:rPr>
                  </w:pPr>
                </w:p>
              </w:tc>
            </w:tr>
            <w:tr w14:paraId="30B6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continue"/>
                  <w:noWrap w:val="0"/>
                  <w:vAlign w:val="center"/>
                </w:tcPr>
                <w:p w14:paraId="1E9D5EDD">
                  <w:pPr>
                    <w:pStyle w:val="32"/>
                    <w:bidi w:val="0"/>
                    <w:jc w:val="center"/>
                  </w:pPr>
                </w:p>
              </w:tc>
              <w:tc>
                <w:tcPr>
                  <w:tcW w:w="1065" w:type="dxa"/>
                  <w:noWrap w:val="0"/>
                  <w:vAlign w:val="center"/>
                </w:tcPr>
                <w:p w14:paraId="2792EA09">
                  <w:pPr>
                    <w:pStyle w:val="32"/>
                    <w:bidi w:val="0"/>
                    <w:jc w:val="center"/>
                    <w:rPr>
                      <w:rFonts w:hint="default"/>
                      <w:lang w:val="en-US" w:eastAsia="zh-CN"/>
                    </w:rPr>
                  </w:pPr>
                  <w:r>
                    <w:rPr>
                      <w:rFonts w:hint="eastAsia"/>
                      <w:lang w:val="en-US" w:eastAsia="zh-CN"/>
                    </w:rPr>
                    <w:t>隔油处理</w:t>
                  </w:r>
                </w:p>
              </w:tc>
              <w:tc>
                <w:tcPr>
                  <w:tcW w:w="2905" w:type="dxa"/>
                  <w:shd w:val="clear" w:color="auto" w:fill="auto"/>
                  <w:noWrap w:val="0"/>
                  <w:vAlign w:val="center"/>
                </w:tcPr>
                <w:p w14:paraId="61B4FD79">
                  <w:pPr>
                    <w:pStyle w:val="32"/>
                    <w:bidi w:val="0"/>
                    <w:jc w:val="center"/>
                    <w:rPr>
                      <w:rFonts w:hint="eastAsia"/>
                      <w:lang w:val="en-US" w:eastAsia="zh-CN"/>
                    </w:rPr>
                  </w:pPr>
                  <w:r>
                    <w:rPr>
                      <w:rFonts w:hint="eastAsia"/>
                      <w:lang w:val="en-US" w:eastAsia="zh-CN"/>
                    </w:rPr>
                    <w:t>厨余垃圾</w:t>
                  </w:r>
                </w:p>
              </w:tc>
              <w:tc>
                <w:tcPr>
                  <w:tcW w:w="3446" w:type="dxa"/>
                  <w:vMerge w:val="continue"/>
                  <w:noWrap w:val="0"/>
                  <w:vAlign w:val="center"/>
                </w:tcPr>
                <w:p w14:paraId="2182F42F">
                  <w:pPr>
                    <w:pStyle w:val="32"/>
                    <w:bidi w:val="0"/>
                    <w:jc w:val="center"/>
                    <w:rPr>
                      <w:rFonts w:hint="eastAsia"/>
                    </w:rPr>
                  </w:pPr>
                </w:p>
              </w:tc>
              <w:tc>
                <w:tcPr>
                  <w:tcW w:w="623" w:type="dxa"/>
                  <w:vMerge w:val="continue"/>
                  <w:noWrap w:val="0"/>
                  <w:vAlign w:val="center"/>
                </w:tcPr>
                <w:p w14:paraId="47087336">
                  <w:pPr>
                    <w:pStyle w:val="32"/>
                    <w:bidi w:val="0"/>
                    <w:jc w:val="center"/>
                    <w:rPr>
                      <w:rFonts w:hint="eastAsia"/>
                    </w:rPr>
                  </w:pPr>
                </w:p>
              </w:tc>
            </w:tr>
            <w:tr w14:paraId="06F7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continue"/>
                  <w:noWrap w:val="0"/>
                  <w:vAlign w:val="center"/>
                </w:tcPr>
                <w:p w14:paraId="6C6A108C">
                  <w:pPr>
                    <w:pStyle w:val="32"/>
                    <w:bidi w:val="0"/>
                    <w:jc w:val="center"/>
                  </w:pPr>
                </w:p>
              </w:tc>
              <w:tc>
                <w:tcPr>
                  <w:tcW w:w="1065" w:type="dxa"/>
                  <w:noWrap w:val="0"/>
                  <w:vAlign w:val="center"/>
                </w:tcPr>
                <w:p w14:paraId="6AEA71E2">
                  <w:pPr>
                    <w:pStyle w:val="32"/>
                    <w:bidi w:val="0"/>
                    <w:jc w:val="center"/>
                    <w:rPr>
                      <w:rFonts w:hint="default"/>
                      <w:lang w:val="en-US" w:eastAsia="zh-CN"/>
                    </w:rPr>
                  </w:pPr>
                  <w:r>
                    <w:rPr>
                      <w:rFonts w:hint="eastAsia"/>
                      <w:lang w:val="en-US" w:eastAsia="zh-CN"/>
                    </w:rPr>
                    <w:t>药房</w:t>
                  </w:r>
                </w:p>
              </w:tc>
              <w:tc>
                <w:tcPr>
                  <w:tcW w:w="2905" w:type="dxa"/>
                  <w:shd w:val="clear" w:color="auto" w:fill="auto"/>
                  <w:noWrap w:val="0"/>
                  <w:vAlign w:val="center"/>
                </w:tcPr>
                <w:p w14:paraId="63BC8A18">
                  <w:pPr>
                    <w:pStyle w:val="32"/>
                    <w:bidi w:val="0"/>
                    <w:jc w:val="center"/>
                    <w:rPr>
                      <w:rFonts w:hint="default"/>
                      <w:lang w:val="en-US" w:eastAsia="zh-CN"/>
                    </w:rPr>
                  </w:pPr>
                  <w:r>
                    <w:rPr>
                      <w:rFonts w:hint="eastAsia"/>
                      <w:lang w:val="en-US" w:eastAsia="zh-CN"/>
                    </w:rPr>
                    <w:t>废包装材料</w:t>
                  </w:r>
                </w:p>
              </w:tc>
              <w:tc>
                <w:tcPr>
                  <w:tcW w:w="3446" w:type="dxa"/>
                  <w:noWrap w:val="0"/>
                  <w:vAlign w:val="center"/>
                </w:tcPr>
                <w:p w14:paraId="2F546869">
                  <w:pPr>
                    <w:pStyle w:val="32"/>
                    <w:bidi w:val="0"/>
                    <w:jc w:val="center"/>
                    <w:rPr>
                      <w:rFonts w:hint="eastAsia" w:eastAsia="宋体"/>
                      <w:lang w:val="en-US" w:eastAsia="zh-CN"/>
                    </w:rPr>
                  </w:pPr>
                  <w:r>
                    <w:rPr>
                      <w:rFonts w:hint="eastAsia"/>
                      <w:lang w:val="en-US" w:eastAsia="zh-CN"/>
                    </w:rPr>
                    <w:t>外售</w:t>
                  </w:r>
                </w:p>
              </w:tc>
              <w:tc>
                <w:tcPr>
                  <w:tcW w:w="623" w:type="dxa"/>
                  <w:vMerge w:val="continue"/>
                  <w:noWrap w:val="0"/>
                  <w:vAlign w:val="center"/>
                </w:tcPr>
                <w:p w14:paraId="6AAFBAC2">
                  <w:pPr>
                    <w:pStyle w:val="32"/>
                    <w:bidi w:val="0"/>
                    <w:jc w:val="center"/>
                    <w:rPr>
                      <w:rFonts w:hint="eastAsia"/>
                    </w:rPr>
                  </w:pPr>
                </w:p>
              </w:tc>
            </w:tr>
            <w:tr w14:paraId="488B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continue"/>
                  <w:noWrap w:val="0"/>
                  <w:vAlign w:val="center"/>
                </w:tcPr>
                <w:p w14:paraId="79A96027">
                  <w:pPr>
                    <w:bidi w:val="0"/>
                    <w:jc w:val="center"/>
                    <w:rPr>
                      <w:color w:val="auto"/>
                    </w:rPr>
                  </w:pPr>
                </w:p>
              </w:tc>
              <w:tc>
                <w:tcPr>
                  <w:tcW w:w="1065" w:type="dxa"/>
                  <w:noWrap w:val="0"/>
                  <w:vAlign w:val="center"/>
                </w:tcPr>
                <w:p w14:paraId="2817B317">
                  <w:pPr>
                    <w:pStyle w:val="32"/>
                    <w:bidi w:val="0"/>
                    <w:jc w:val="center"/>
                    <w:rPr>
                      <w:rFonts w:hint="eastAsia"/>
                      <w:color w:val="auto"/>
                    </w:rPr>
                  </w:pPr>
                  <w:r>
                    <w:rPr>
                      <w:rFonts w:hint="eastAsia"/>
                    </w:rPr>
                    <w:t>废气处理</w:t>
                  </w:r>
                </w:p>
              </w:tc>
              <w:tc>
                <w:tcPr>
                  <w:tcW w:w="2905" w:type="dxa"/>
                  <w:noWrap w:val="0"/>
                  <w:vAlign w:val="center"/>
                </w:tcPr>
                <w:p w14:paraId="5BCCEC82">
                  <w:pPr>
                    <w:pStyle w:val="32"/>
                    <w:bidi w:val="0"/>
                    <w:jc w:val="center"/>
                    <w:rPr>
                      <w:rFonts w:hint="eastAsia" w:eastAsia="宋体"/>
                      <w:color w:val="auto"/>
                      <w:lang w:eastAsia="zh-CN"/>
                    </w:rPr>
                  </w:pPr>
                  <w:r>
                    <w:rPr>
                      <w:rFonts w:hint="eastAsia"/>
                      <w:lang w:val="en-US" w:eastAsia="zh-CN"/>
                    </w:rPr>
                    <w:t>活性炭</w:t>
                  </w:r>
                </w:p>
              </w:tc>
              <w:tc>
                <w:tcPr>
                  <w:tcW w:w="3446" w:type="dxa"/>
                  <w:vMerge w:val="restart"/>
                  <w:noWrap w:val="0"/>
                  <w:vAlign w:val="center"/>
                </w:tcPr>
                <w:p w14:paraId="58A659BD">
                  <w:pPr>
                    <w:pStyle w:val="32"/>
                    <w:bidi w:val="0"/>
                    <w:rPr>
                      <w:rFonts w:hint="eastAsia"/>
                      <w:color w:val="auto"/>
                    </w:rPr>
                  </w:pPr>
                  <w:r>
                    <w:rPr>
                      <w:rFonts w:hint="eastAsia"/>
                    </w:rPr>
                    <w:t>暂存厂区危废间内，定期交由资质单位处理</w:t>
                  </w:r>
                </w:p>
              </w:tc>
              <w:tc>
                <w:tcPr>
                  <w:tcW w:w="623" w:type="dxa"/>
                  <w:vMerge w:val="continue"/>
                  <w:noWrap w:val="0"/>
                  <w:vAlign w:val="center"/>
                </w:tcPr>
                <w:p w14:paraId="44962F43">
                  <w:pPr>
                    <w:bidi w:val="0"/>
                    <w:jc w:val="center"/>
                    <w:rPr>
                      <w:rFonts w:hint="eastAsia"/>
                      <w:color w:val="auto"/>
                    </w:rPr>
                  </w:pPr>
                </w:p>
              </w:tc>
            </w:tr>
            <w:tr w14:paraId="3495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4" w:type="dxa"/>
                  <w:vMerge w:val="continue"/>
                  <w:noWrap w:val="0"/>
                  <w:vAlign w:val="center"/>
                </w:tcPr>
                <w:p w14:paraId="4EF85525">
                  <w:pPr>
                    <w:bidi w:val="0"/>
                    <w:jc w:val="center"/>
                    <w:rPr>
                      <w:color w:val="auto"/>
                    </w:rPr>
                  </w:pPr>
                </w:p>
              </w:tc>
              <w:tc>
                <w:tcPr>
                  <w:tcW w:w="1065" w:type="dxa"/>
                  <w:noWrap w:val="0"/>
                  <w:vAlign w:val="center"/>
                </w:tcPr>
                <w:p w14:paraId="1C0AEA06">
                  <w:pPr>
                    <w:pStyle w:val="32"/>
                    <w:bidi w:val="0"/>
                    <w:jc w:val="center"/>
                    <w:rPr>
                      <w:rFonts w:hint="default"/>
                      <w:color w:val="auto"/>
                      <w:lang w:val="en-US" w:eastAsia="zh-CN"/>
                    </w:rPr>
                  </w:pPr>
                  <w:r>
                    <w:rPr>
                      <w:rFonts w:hint="eastAsia"/>
                      <w:lang w:val="en-US" w:eastAsia="zh-CN"/>
                    </w:rPr>
                    <w:t>废水处理</w:t>
                  </w:r>
                </w:p>
              </w:tc>
              <w:tc>
                <w:tcPr>
                  <w:tcW w:w="2905" w:type="dxa"/>
                  <w:noWrap w:val="0"/>
                  <w:vAlign w:val="center"/>
                </w:tcPr>
                <w:p w14:paraId="497EA531">
                  <w:pPr>
                    <w:pStyle w:val="32"/>
                    <w:bidi w:val="0"/>
                    <w:jc w:val="center"/>
                    <w:rPr>
                      <w:rFonts w:hint="default"/>
                      <w:color w:val="auto"/>
                      <w:lang w:val="en-US" w:eastAsia="zh-CN"/>
                    </w:rPr>
                  </w:pPr>
                  <w:r>
                    <w:rPr>
                      <w:rFonts w:hint="eastAsia"/>
                      <w:lang w:val="en-US" w:eastAsia="zh-CN"/>
                    </w:rPr>
                    <w:t>污泥、栅渣</w:t>
                  </w:r>
                </w:p>
              </w:tc>
              <w:tc>
                <w:tcPr>
                  <w:tcW w:w="3446" w:type="dxa"/>
                  <w:vMerge w:val="continue"/>
                  <w:noWrap w:val="0"/>
                  <w:vAlign w:val="center"/>
                </w:tcPr>
                <w:p w14:paraId="313E983F">
                  <w:pPr>
                    <w:pStyle w:val="32"/>
                    <w:bidi w:val="0"/>
                    <w:jc w:val="center"/>
                    <w:rPr>
                      <w:color w:val="auto"/>
                    </w:rPr>
                  </w:pPr>
                </w:p>
              </w:tc>
              <w:tc>
                <w:tcPr>
                  <w:tcW w:w="623" w:type="dxa"/>
                  <w:vMerge w:val="continue"/>
                  <w:noWrap w:val="0"/>
                  <w:vAlign w:val="center"/>
                </w:tcPr>
                <w:p w14:paraId="5726A72F">
                  <w:pPr>
                    <w:bidi w:val="0"/>
                    <w:jc w:val="center"/>
                    <w:rPr>
                      <w:rFonts w:hint="eastAsia"/>
                      <w:color w:val="auto"/>
                    </w:rPr>
                  </w:pPr>
                </w:p>
              </w:tc>
            </w:tr>
            <w:tr w14:paraId="641A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restart"/>
                  <w:noWrap w:val="0"/>
                  <w:vAlign w:val="center"/>
                </w:tcPr>
                <w:p w14:paraId="76721389">
                  <w:pPr>
                    <w:pStyle w:val="32"/>
                    <w:bidi w:val="0"/>
                    <w:rPr>
                      <w:rFonts w:hint="eastAsia" w:eastAsia="宋体"/>
                      <w:color w:val="auto"/>
                      <w:lang w:val="en-US" w:eastAsia="zh-CN"/>
                    </w:rPr>
                  </w:pPr>
                  <w:r>
                    <w:rPr>
                      <w:rFonts w:hint="eastAsia"/>
                      <w:lang w:val="en-US" w:eastAsia="zh-CN"/>
                    </w:rPr>
                    <w:t>废气</w:t>
                  </w:r>
                </w:p>
              </w:tc>
              <w:tc>
                <w:tcPr>
                  <w:tcW w:w="1065" w:type="dxa"/>
                  <w:noWrap w:val="0"/>
                  <w:vAlign w:val="center"/>
                </w:tcPr>
                <w:p w14:paraId="1AA2C3C0">
                  <w:pPr>
                    <w:pStyle w:val="32"/>
                    <w:bidi w:val="0"/>
                    <w:jc w:val="center"/>
                    <w:rPr>
                      <w:rFonts w:hint="default"/>
                      <w:lang w:val="en-US" w:eastAsia="zh-CN"/>
                    </w:rPr>
                  </w:pPr>
                  <w:r>
                    <w:rPr>
                      <w:rFonts w:hint="eastAsia"/>
                      <w:lang w:val="en-US" w:eastAsia="zh-CN"/>
                    </w:rPr>
                    <w:t>污水处理站</w:t>
                  </w:r>
                </w:p>
              </w:tc>
              <w:tc>
                <w:tcPr>
                  <w:tcW w:w="2905" w:type="dxa"/>
                  <w:noWrap w:val="0"/>
                  <w:vAlign w:val="center"/>
                </w:tcPr>
                <w:p w14:paraId="397E91E9">
                  <w:pPr>
                    <w:pStyle w:val="32"/>
                    <w:bidi w:val="0"/>
                    <w:jc w:val="center"/>
                    <w:rPr>
                      <w:rFonts w:hint="default"/>
                      <w:lang w:val="en-US" w:eastAsia="zh-CN"/>
                    </w:rPr>
                  </w:pPr>
                  <w:r>
                    <w:rPr>
                      <w:rFonts w:hint="eastAsia"/>
                      <w:lang w:val="en-US" w:eastAsia="zh-CN"/>
                    </w:rPr>
                    <w:t>臭气、氨、硫化氢</w:t>
                  </w:r>
                </w:p>
              </w:tc>
              <w:tc>
                <w:tcPr>
                  <w:tcW w:w="3446" w:type="dxa"/>
                  <w:noWrap w:val="0"/>
                  <w:vAlign w:val="center"/>
                </w:tcPr>
                <w:p w14:paraId="0ABA6F93">
                  <w:pPr>
                    <w:pStyle w:val="32"/>
                    <w:bidi w:val="0"/>
                    <w:jc w:val="center"/>
                    <w:rPr>
                      <w:rFonts w:hint="default" w:eastAsia="宋体"/>
                      <w:color w:val="auto"/>
                      <w:lang w:val="en-US" w:eastAsia="zh-CN"/>
                    </w:rPr>
                  </w:pPr>
                  <w:r>
                    <w:rPr>
                      <w:rFonts w:hint="eastAsia"/>
                      <w:color w:val="auto"/>
                      <w:lang w:val="en-US" w:eastAsia="zh-CN"/>
                    </w:rPr>
                    <w:t>经二级活性炭吸附装置处理+18m排气筒</w:t>
                  </w:r>
                </w:p>
              </w:tc>
              <w:tc>
                <w:tcPr>
                  <w:tcW w:w="623" w:type="dxa"/>
                  <w:noWrap w:val="0"/>
                  <w:vAlign w:val="center"/>
                </w:tcPr>
                <w:p w14:paraId="6F7ADF03">
                  <w:pPr>
                    <w:pStyle w:val="32"/>
                    <w:bidi w:val="0"/>
                    <w:rPr>
                      <w:rFonts w:hint="default" w:eastAsia="宋体"/>
                      <w:color w:val="auto"/>
                      <w:lang w:val="en-US" w:eastAsia="zh-CN"/>
                    </w:rPr>
                  </w:pPr>
                  <w:r>
                    <w:rPr>
                      <w:rFonts w:hint="eastAsia"/>
                      <w:lang w:val="en-US" w:eastAsia="zh-CN"/>
                    </w:rPr>
                    <w:t>有组织排放</w:t>
                  </w:r>
                </w:p>
              </w:tc>
            </w:tr>
            <w:tr w14:paraId="215F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vMerge w:val="continue"/>
                  <w:noWrap w:val="0"/>
                  <w:vAlign w:val="center"/>
                </w:tcPr>
                <w:p w14:paraId="10AD7872">
                  <w:pPr>
                    <w:pStyle w:val="32"/>
                    <w:bidi w:val="0"/>
                    <w:rPr>
                      <w:rFonts w:hint="eastAsia"/>
                      <w:lang w:val="en-US" w:eastAsia="zh-CN"/>
                    </w:rPr>
                  </w:pPr>
                </w:p>
              </w:tc>
              <w:tc>
                <w:tcPr>
                  <w:tcW w:w="1065" w:type="dxa"/>
                  <w:noWrap w:val="0"/>
                  <w:vAlign w:val="center"/>
                </w:tcPr>
                <w:p w14:paraId="5B2F089C">
                  <w:pPr>
                    <w:pStyle w:val="32"/>
                    <w:bidi w:val="0"/>
                    <w:jc w:val="center"/>
                    <w:rPr>
                      <w:rFonts w:hint="default"/>
                      <w:lang w:val="en-US" w:eastAsia="zh-CN"/>
                    </w:rPr>
                  </w:pPr>
                  <w:r>
                    <w:rPr>
                      <w:rFonts w:hint="eastAsia"/>
                      <w:lang w:val="en-US" w:eastAsia="zh-CN"/>
                    </w:rPr>
                    <w:t>食堂</w:t>
                  </w:r>
                </w:p>
              </w:tc>
              <w:tc>
                <w:tcPr>
                  <w:tcW w:w="2905" w:type="dxa"/>
                  <w:noWrap w:val="0"/>
                  <w:vAlign w:val="center"/>
                </w:tcPr>
                <w:p w14:paraId="6919FF33">
                  <w:pPr>
                    <w:pStyle w:val="32"/>
                    <w:bidi w:val="0"/>
                    <w:jc w:val="center"/>
                    <w:rPr>
                      <w:rFonts w:hint="default"/>
                      <w:lang w:val="en-US" w:eastAsia="zh-CN"/>
                    </w:rPr>
                  </w:pPr>
                  <w:r>
                    <w:rPr>
                      <w:rFonts w:hint="eastAsia"/>
                      <w:lang w:val="en-US" w:eastAsia="zh-CN"/>
                    </w:rPr>
                    <w:t>油烟</w:t>
                  </w:r>
                </w:p>
              </w:tc>
              <w:tc>
                <w:tcPr>
                  <w:tcW w:w="3446" w:type="dxa"/>
                  <w:noWrap w:val="0"/>
                  <w:vAlign w:val="center"/>
                </w:tcPr>
                <w:p w14:paraId="369C801F">
                  <w:pPr>
                    <w:pStyle w:val="32"/>
                    <w:bidi w:val="0"/>
                    <w:jc w:val="center"/>
                    <w:rPr>
                      <w:rFonts w:hint="default"/>
                      <w:color w:val="auto"/>
                      <w:lang w:val="en-US" w:eastAsia="zh-CN"/>
                    </w:rPr>
                  </w:pPr>
                  <w:r>
                    <w:rPr>
                      <w:rFonts w:hint="eastAsia"/>
                      <w:color w:val="auto"/>
                      <w:lang w:val="en-US" w:eastAsia="zh-CN"/>
                    </w:rPr>
                    <w:t>经油烟净化器处理后排放</w:t>
                  </w:r>
                </w:p>
              </w:tc>
              <w:tc>
                <w:tcPr>
                  <w:tcW w:w="623" w:type="dxa"/>
                  <w:noWrap w:val="0"/>
                  <w:vAlign w:val="center"/>
                </w:tcPr>
                <w:p w14:paraId="5410AE78">
                  <w:pPr>
                    <w:pStyle w:val="32"/>
                    <w:bidi w:val="0"/>
                    <w:rPr>
                      <w:rFonts w:hint="default"/>
                      <w:lang w:val="en-US" w:eastAsia="zh-CN"/>
                    </w:rPr>
                  </w:pPr>
                  <w:r>
                    <w:rPr>
                      <w:rFonts w:hint="eastAsia"/>
                      <w:lang w:val="en-US" w:eastAsia="zh-CN"/>
                    </w:rPr>
                    <w:t>有组织</w:t>
                  </w:r>
                </w:p>
              </w:tc>
            </w:tr>
            <w:tr w14:paraId="6C23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54" w:type="dxa"/>
                  <w:noWrap w:val="0"/>
                  <w:vAlign w:val="center"/>
                </w:tcPr>
                <w:p w14:paraId="3939BCFB">
                  <w:pPr>
                    <w:pStyle w:val="32"/>
                    <w:bidi w:val="0"/>
                    <w:jc w:val="center"/>
                    <w:rPr>
                      <w:color w:val="auto"/>
                    </w:rPr>
                  </w:pPr>
                  <w:r>
                    <w:t>噪声</w:t>
                  </w:r>
                </w:p>
              </w:tc>
              <w:tc>
                <w:tcPr>
                  <w:tcW w:w="8039" w:type="dxa"/>
                  <w:gridSpan w:val="4"/>
                  <w:noWrap w:val="0"/>
                  <w:vAlign w:val="center"/>
                </w:tcPr>
                <w:p w14:paraId="0F17E223">
                  <w:pPr>
                    <w:pStyle w:val="32"/>
                    <w:bidi w:val="0"/>
                    <w:jc w:val="center"/>
                    <w:rPr>
                      <w:rFonts w:hint="default" w:eastAsia="宋体"/>
                      <w:color w:val="auto"/>
                      <w:lang w:val="en-US" w:eastAsia="zh-CN"/>
                    </w:rPr>
                  </w:pPr>
                  <w:r>
                    <w:rPr>
                      <w:rFonts w:hint="eastAsia"/>
                    </w:rPr>
                    <w:t>主要是</w:t>
                  </w:r>
                  <w:r>
                    <w:rPr>
                      <w:rFonts w:hint="eastAsia"/>
                      <w:lang w:val="en-US" w:eastAsia="zh-CN"/>
                    </w:rPr>
                    <w:t>风机及水泵</w:t>
                  </w:r>
                  <w:r>
                    <w:rPr>
                      <w:rFonts w:hint="eastAsia"/>
                    </w:rPr>
                    <w:t>运转产生机械噪声</w:t>
                  </w:r>
                  <w:r>
                    <w:rPr>
                      <w:rFonts w:hint="eastAsia"/>
                      <w:lang w:val="en-US" w:eastAsia="zh-CN"/>
                    </w:rPr>
                    <w:t>及来往人员活动的社会生活噪声</w:t>
                  </w:r>
                </w:p>
              </w:tc>
            </w:tr>
          </w:tbl>
          <w:p w14:paraId="0E11F0FC">
            <w:pPr>
              <w:ind w:left="0" w:leftChars="0" w:firstLine="0" w:firstLineChars="0"/>
              <w:rPr>
                <w:rFonts w:ascii="Times New Roman" w:hAnsi="Times New Roman" w:eastAsia="宋体" w:cs="Times New Roman"/>
                <w:color w:val="auto"/>
                <w:kern w:val="2"/>
                <w:sz w:val="24"/>
                <w:szCs w:val="24"/>
                <w:lang w:val="en-US" w:eastAsia="zh-CN" w:bidi="ar-SA"/>
              </w:rPr>
            </w:pPr>
          </w:p>
        </w:tc>
      </w:tr>
      <w:tr w14:paraId="75F8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6" w:hRule="atLeast"/>
          <w:jc w:val="center"/>
        </w:trPr>
        <w:tc>
          <w:tcPr>
            <w:tcW w:w="569" w:type="dxa"/>
            <w:tcBorders>
              <w:tl2br w:val="nil"/>
              <w:tr2bl w:val="nil"/>
            </w:tcBorders>
            <w:vAlign w:val="center"/>
          </w:tcPr>
          <w:p w14:paraId="5D4905D6">
            <w:pPr>
              <w:ind w:firstLine="0" w:firstLineChars="0"/>
              <w:jc w:val="center"/>
            </w:pPr>
            <w:r>
              <w:rPr>
                <w:rFonts w:ascii="宋体"/>
              </w:rPr>
              <w:t>与项目有关的原有环境污染问题</w:t>
            </w:r>
          </w:p>
        </w:tc>
        <w:tc>
          <w:tcPr>
            <w:tcW w:w="8719" w:type="dxa"/>
            <w:tcBorders>
              <w:tl2br w:val="nil"/>
              <w:tr2bl w:val="nil"/>
            </w:tcBorders>
            <w:shd w:val="clear" w:color="auto" w:fill="auto"/>
            <w:vAlign w:val="top"/>
          </w:tcPr>
          <w:p w14:paraId="0D091DCD">
            <w:pPr>
              <w:bidi w:val="0"/>
              <w:rPr>
                <w:rFonts w:hint="eastAsia"/>
              </w:rPr>
            </w:pPr>
            <w:r>
              <w:rPr>
                <w:rFonts w:hint="eastAsia"/>
              </w:rPr>
              <w:t>本项目</w:t>
            </w:r>
            <w:r>
              <w:rPr>
                <w:rFonts w:hint="eastAsia"/>
                <w:lang w:val="en-US" w:eastAsia="zh-CN"/>
              </w:rPr>
              <w:t>利用原福利院闲置房屋</w:t>
            </w:r>
            <w:r>
              <w:rPr>
                <w:rFonts w:hint="eastAsia"/>
                <w:lang w:eastAsia="zh-CN"/>
              </w:rPr>
              <w:t>，</w:t>
            </w:r>
            <w:r>
              <w:rPr>
                <w:rFonts w:hint="eastAsia"/>
              </w:rPr>
              <w:t>经现场</w:t>
            </w:r>
            <w:r>
              <w:rPr>
                <w:rFonts w:hint="eastAsia"/>
                <w:lang w:val="en-US" w:eastAsia="zh-CN"/>
              </w:rPr>
              <w:t>勘察可知精神卫生福利中心主楼</w:t>
            </w:r>
            <w:r>
              <w:rPr>
                <w:rFonts w:hint="eastAsia"/>
              </w:rPr>
              <w:t>目前为闲置状态，地面已硬化。因此，无环境遗留问题。</w:t>
            </w:r>
          </w:p>
          <w:p w14:paraId="74F78593">
            <w:pPr>
              <w:bidi w:val="0"/>
              <w:ind w:left="0" w:leftChars="0" w:firstLine="0" w:firstLineChars="0"/>
              <w:rPr>
                <w:rFonts w:hint="default" w:ascii="Times New Roman" w:hAnsi="Times New Roman" w:eastAsia="宋体" w:cs="Times New Roman"/>
                <w:color w:val="auto"/>
                <w:kern w:val="0"/>
                <w:lang w:val="en-US" w:eastAsia="zh-CN"/>
              </w:rPr>
            </w:pPr>
          </w:p>
          <w:p w14:paraId="775C305D">
            <w:pPr>
              <w:pStyle w:val="9"/>
              <w:rPr>
                <w:rFonts w:hint="default" w:ascii="Times New Roman" w:hAnsi="Times New Roman" w:eastAsia="宋体" w:cs="Times New Roman"/>
                <w:color w:val="auto"/>
                <w:kern w:val="0"/>
                <w:lang w:val="en-US" w:eastAsia="zh-CN"/>
              </w:rPr>
            </w:pPr>
          </w:p>
          <w:p w14:paraId="66144A50">
            <w:pPr>
              <w:rPr>
                <w:rFonts w:hint="default" w:ascii="Times New Roman" w:hAnsi="Times New Roman" w:eastAsia="宋体" w:cs="Times New Roman"/>
                <w:color w:val="auto"/>
                <w:kern w:val="0"/>
                <w:lang w:val="en-US" w:eastAsia="zh-CN"/>
              </w:rPr>
            </w:pPr>
          </w:p>
          <w:p w14:paraId="24359F95">
            <w:pPr>
              <w:pStyle w:val="9"/>
              <w:rPr>
                <w:rFonts w:hint="default" w:ascii="Times New Roman" w:hAnsi="Times New Roman" w:eastAsia="宋体" w:cs="Times New Roman"/>
                <w:color w:val="auto"/>
                <w:kern w:val="0"/>
                <w:lang w:val="en-US" w:eastAsia="zh-CN"/>
              </w:rPr>
            </w:pPr>
          </w:p>
          <w:p w14:paraId="61D580AC">
            <w:pPr>
              <w:rPr>
                <w:rFonts w:hint="default" w:ascii="Times New Roman" w:hAnsi="Times New Roman" w:eastAsia="宋体" w:cs="Times New Roman"/>
                <w:color w:val="auto"/>
                <w:kern w:val="0"/>
                <w:lang w:val="en-US" w:eastAsia="zh-CN"/>
              </w:rPr>
            </w:pPr>
          </w:p>
          <w:p w14:paraId="2EAF2553">
            <w:pPr>
              <w:pStyle w:val="9"/>
              <w:rPr>
                <w:rFonts w:hint="default" w:ascii="Times New Roman" w:hAnsi="Times New Roman" w:eastAsia="宋体" w:cs="Times New Roman"/>
                <w:color w:val="auto"/>
                <w:kern w:val="0"/>
                <w:lang w:val="en-US" w:eastAsia="zh-CN"/>
              </w:rPr>
            </w:pPr>
          </w:p>
          <w:p w14:paraId="1493C033">
            <w:pPr>
              <w:rPr>
                <w:rFonts w:hint="default" w:ascii="Times New Roman" w:hAnsi="Times New Roman" w:eastAsia="宋体" w:cs="Times New Roman"/>
                <w:color w:val="auto"/>
                <w:kern w:val="0"/>
                <w:lang w:val="en-US" w:eastAsia="zh-CN"/>
              </w:rPr>
            </w:pPr>
          </w:p>
          <w:p w14:paraId="43D34B0F">
            <w:pPr>
              <w:pStyle w:val="9"/>
              <w:rPr>
                <w:rFonts w:hint="default" w:ascii="Times New Roman" w:hAnsi="Times New Roman" w:eastAsia="宋体" w:cs="Times New Roman"/>
                <w:color w:val="auto"/>
                <w:kern w:val="0"/>
                <w:lang w:val="en-US" w:eastAsia="zh-CN"/>
              </w:rPr>
            </w:pPr>
          </w:p>
          <w:p w14:paraId="4B5C551A">
            <w:pPr>
              <w:rPr>
                <w:rFonts w:hint="default" w:ascii="Times New Roman" w:hAnsi="Times New Roman" w:eastAsia="宋体" w:cs="Times New Roman"/>
                <w:color w:val="auto"/>
                <w:kern w:val="0"/>
                <w:lang w:val="en-US" w:eastAsia="zh-CN"/>
              </w:rPr>
            </w:pPr>
          </w:p>
          <w:p w14:paraId="12439050">
            <w:pPr>
              <w:pStyle w:val="9"/>
              <w:rPr>
                <w:rFonts w:hint="default" w:ascii="Times New Roman" w:hAnsi="Times New Roman" w:eastAsia="宋体" w:cs="Times New Roman"/>
                <w:color w:val="auto"/>
                <w:kern w:val="0"/>
                <w:lang w:val="en-US" w:eastAsia="zh-CN"/>
              </w:rPr>
            </w:pPr>
          </w:p>
          <w:p w14:paraId="60C296B2">
            <w:pPr>
              <w:rPr>
                <w:rFonts w:hint="default" w:ascii="Times New Roman" w:hAnsi="Times New Roman" w:eastAsia="宋体" w:cs="Times New Roman"/>
                <w:color w:val="auto"/>
                <w:kern w:val="0"/>
                <w:lang w:val="en-US" w:eastAsia="zh-CN"/>
              </w:rPr>
            </w:pPr>
          </w:p>
          <w:p w14:paraId="6FCBA5F6">
            <w:pPr>
              <w:pStyle w:val="9"/>
              <w:rPr>
                <w:rFonts w:hint="default" w:ascii="Times New Roman" w:hAnsi="Times New Roman" w:eastAsia="宋体" w:cs="Times New Roman"/>
                <w:color w:val="auto"/>
                <w:kern w:val="0"/>
                <w:lang w:val="en-US" w:eastAsia="zh-CN"/>
              </w:rPr>
            </w:pPr>
          </w:p>
          <w:p w14:paraId="320D462E">
            <w:pPr>
              <w:ind w:left="0" w:leftChars="0" w:firstLine="0" w:firstLineChars="0"/>
              <w:rPr>
                <w:rFonts w:hint="default" w:ascii="Times New Roman" w:hAnsi="Times New Roman" w:eastAsia="宋体" w:cs="Times New Roman"/>
                <w:color w:val="auto"/>
                <w:kern w:val="0"/>
                <w:lang w:val="en-US" w:eastAsia="zh-CN"/>
              </w:rPr>
            </w:pPr>
          </w:p>
          <w:p w14:paraId="69F9D255">
            <w:pPr>
              <w:pStyle w:val="9"/>
              <w:rPr>
                <w:rFonts w:hint="default"/>
                <w:lang w:val="en-US" w:eastAsia="zh-CN"/>
              </w:rPr>
            </w:pPr>
          </w:p>
        </w:tc>
      </w:tr>
    </w:tbl>
    <w:p w14:paraId="4CF4C97C">
      <w:pPr>
        <w:pStyle w:val="4"/>
        <w:ind w:firstLine="0" w:firstLineChars="0"/>
        <w:jc w:val="center"/>
      </w:pPr>
      <w:r>
        <w:rPr>
          <w:rFonts w:hint="eastAsia"/>
        </w:rPr>
        <w:br w:type="page"/>
      </w:r>
      <w:bookmarkStart w:id="4" w:name="_Toc5666"/>
      <w:r>
        <w:rPr>
          <w:rFonts w:hint="eastAsia"/>
        </w:rPr>
        <w:t>三</w:t>
      </w:r>
      <w:r>
        <w:t>、</w:t>
      </w:r>
      <w:r>
        <w:rPr>
          <w:rFonts w:hint="eastAsia"/>
        </w:rPr>
        <w:t>区域环境质量现状、环境保护目标及评价标准</w:t>
      </w:r>
      <w:bookmarkEnd w:id="4"/>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581"/>
      </w:tblGrid>
      <w:tr w14:paraId="0352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7" w:type="dxa"/>
            <w:tcBorders>
              <w:tl2br w:val="nil"/>
              <w:tr2bl w:val="nil"/>
            </w:tcBorders>
            <w:shd w:val="clear" w:color="auto" w:fill="auto"/>
            <w:vAlign w:val="center"/>
          </w:tcPr>
          <w:p w14:paraId="72184E7D">
            <w:pPr>
              <w:ind w:firstLine="0" w:firstLineChars="0"/>
              <w:jc w:val="center"/>
              <w:rPr>
                <w:color w:val="auto"/>
              </w:rPr>
            </w:pPr>
            <w:r>
              <w:rPr>
                <w:rFonts w:hint="eastAsia" w:ascii="宋体"/>
                <w:color w:val="auto"/>
              </w:rPr>
              <w:t>区域环境质量现状</w:t>
            </w:r>
          </w:p>
        </w:tc>
        <w:tc>
          <w:tcPr>
            <w:tcW w:w="8581" w:type="dxa"/>
            <w:tcBorders>
              <w:tl2br w:val="nil"/>
              <w:tr2bl w:val="nil"/>
            </w:tcBorders>
            <w:shd w:val="clear" w:color="auto" w:fill="auto"/>
          </w:tcPr>
          <w:p w14:paraId="1D37BF4E">
            <w:pPr>
              <w:bidi w:val="0"/>
            </w:pPr>
            <w:r>
              <w:rPr>
                <w:rFonts w:hint="eastAsia"/>
              </w:rPr>
              <w:t>建设项目环境质量现状及主要环境问题</w:t>
            </w:r>
          </w:p>
          <w:p w14:paraId="39DCB8D2">
            <w:pPr>
              <w:bidi w:val="0"/>
              <w:rPr>
                <w:b/>
                <w:bCs/>
              </w:rPr>
            </w:pPr>
            <w:r>
              <w:rPr>
                <w:rFonts w:hint="eastAsia"/>
                <w:b/>
                <w:bCs/>
              </w:rPr>
              <w:t>1、环境空气质量</w:t>
            </w:r>
          </w:p>
          <w:p w14:paraId="54017314">
            <w:pPr>
              <w:bidi w:val="0"/>
              <w:rPr>
                <w:b/>
                <w:bCs/>
              </w:rPr>
            </w:pPr>
            <w:r>
              <w:rPr>
                <w:rFonts w:hint="eastAsia"/>
                <w:b/>
                <w:bCs/>
              </w:rPr>
              <w:t>（1）基本因子：</w:t>
            </w:r>
          </w:p>
          <w:p w14:paraId="1674DC5B">
            <w:pPr>
              <w:bidi w:val="0"/>
            </w:pPr>
            <w:r>
              <w:rPr>
                <w:rFonts w:hint="eastAsia"/>
              </w:rPr>
              <w:t>本次评价引用《2023年淮南市环境质量状况公报》（https://sthjj.huainan.gov.cn/xwdt/tzgg/551760265.html）中环境空气质量部分内容，具体如下：</w:t>
            </w:r>
          </w:p>
          <w:p w14:paraId="14D25D05">
            <w:pPr>
              <w:ind w:firstLine="480"/>
              <w:rPr>
                <w:rFonts w:ascii="微软雅黑" w:hAnsi="微软雅黑" w:eastAsia="微软雅黑" w:cs="微软雅黑"/>
                <w:color w:val="auto"/>
              </w:rPr>
            </w:pPr>
            <w:r>
              <w:rPr>
                <w:rFonts w:hint="eastAsia"/>
                <w:color w:val="auto"/>
              </w:rPr>
              <w:t>细颗粒物（PM</w:t>
            </w:r>
            <w:r>
              <w:rPr>
                <w:rFonts w:hint="eastAsia"/>
                <w:color w:val="auto"/>
                <w:vertAlign w:val="subscript"/>
              </w:rPr>
              <w:t>2.5</w:t>
            </w:r>
            <w:r>
              <w:rPr>
                <w:rFonts w:hint="eastAsia"/>
                <w:color w:val="auto"/>
              </w:rPr>
              <w:t>）日均浓度范围为8～252微克/立方米，日均值达标率为93.0%。年均值为38.7微克/立方米，与上年相比下降了4.4个百分点。可吸入颗粒物（PM</w:t>
            </w:r>
            <w:r>
              <w:rPr>
                <w:rFonts w:hint="eastAsia"/>
                <w:color w:val="auto"/>
                <w:vertAlign w:val="subscript"/>
              </w:rPr>
              <w:t>10</w:t>
            </w:r>
            <w:r>
              <w:rPr>
                <w:rFonts w:hint="eastAsia"/>
                <w:color w:val="auto"/>
              </w:rPr>
              <w:t>）日均浓度范围为12～313微克/立方米，日均值达标率为97.6%。年均值为65.9微克/立方米，与上年相比下降了0.8个百分点。二氧化氮（NO</w:t>
            </w:r>
            <w:r>
              <w:rPr>
                <w:rFonts w:hint="eastAsia"/>
                <w:color w:val="auto"/>
                <w:vertAlign w:val="subscript"/>
              </w:rPr>
              <w:t>2</w:t>
            </w:r>
            <w:r>
              <w:rPr>
                <w:rFonts w:hint="eastAsia"/>
                <w:color w:val="auto"/>
              </w:rPr>
              <w:t>）日均浓度范围为6～70微克/立方米，日均值达标率为100%。年均浓度为21微克/立方米，与上年相比上升了10.5个百分点。二氧化硫（SO</w:t>
            </w:r>
            <w:r>
              <w:rPr>
                <w:rFonts w:hint="eastAsia"/>
                <w:color w:val="auto"/>
                <w:vertAlign w:val="subscript"/>
              </w:rPr>
              <w:t>2</w:t>
            </w:r>
            <w:r>
              <w:rPr>
                <w:rFonts w:hint="eastAsia"/>
                <w:color w:val="auto"/>
              </w:rPr>
              <w:t>）日均浓度范围为3～15微克/立方米，日均值达标率为100%。年均浓度为8微克/立方米，与上年持平。一氧化碳（CO）日均浓度范围为0.2～1.5毫克/立方米，日均值达标率为100%。日均值第95百分位数为0.7毫克/立方米，与上年相比下降了12.5个百分点。臭氧日最大8小时（O</w:t>
            </w:r>
            <w:r>
              <w:rPr>
                <w:rFonts w:hint="eastAsia"/>
                <w:color w:val="auto"/>
                <w:vertAlign w:val="subscript"/>
              </w:rPr>
              <w:t>3</w:t>
            </w:r>
            <w:r>
              <w:rPr>
                <w:rFonts w:hint="eastAsia"/>
                <w:color w:val="auto"/>
              </w:rPr>
              <w:t>-8h）滑动平均值范围为4～210微克/立方米，达标率为91.8%。日最大8小时滑动平均值第90百分位数为157微克/立方米，与上年相比上升了4.0个百分点。</w:t>
            </w:r>
          </w:p>
          <w:p w14:paraId="58E0FF00">
            <w:pPr>
              <w:bidi w:val="0"/>
            </w:pPr>
            <w:r>
              <w:rPr>
                <w:rFonts w:hint="eastAsia"/>
              </w:rPr>
              <w:t>依据《2023年淮南市环境质量状况公报》，淮南市属于环境空气质量不达标区域，超标污染物为细颗粒物（PM</w:t>
            </w:r>
            <w:r>
              <w:rPr>
                <w:rFonts w:hint="eastAsia"/>
                <w:vertAlign w:val="subscript"/>
              </w:rPr>
              <w:t>2.5</w:t>
            </w:r>
            <w:r>
              <w:rPr>
                <w:rFonts w:hint="eastAsia"/>
              </w:rPr>
              <w:t>）。</w:t>
            </w:r>
          </w:p>
          <w:p w14:paraId="2C723E05">
            <w:pPr>
              <w:pStyle w:val="27"/>
              <w:bidi w:val="0"/>
            </w:pPr>
            <w:r>
              <w:rPr>
                <w:rFonts w:hint="eastAsia"/>
              </w:rPr>
              <w:t xml:space="preserve">表3-1 </w:t>
            </w:r>
            <w:r>
              <w:rPr>
                <w:rFonts w:hint="eastAsia"/>
                <w:lang w:val="en-US" w:eastAsia="zh-CN"/>
              </w:rPr>
              <w:t xml:space="preserve"> </w:t>
            </w:r>
            <w:r>
              <w:rPr>
                <w:rFonts w:hint="eastAsia"/>
              </w:rPr>
              <w:t>2023年度大气环境质量状况</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703"/>
              <w:gridCol w:w="992"/>
              <w:gridCol w:w="1318"/>
              <w:gridCol w:w="1549"/>
              <w:gridCol w:w="1562"/>
            </w:tblGrid>
            <w:tr w14:paraId="7A95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ign w:val="center"/>
                </w:tcPr>
                <w:p w14:paraId="1439E431">
                  <w:pPr>
                    <w:pStyle w:val="32"/>
                    <w:rPr>
                      <w:b/>
                      <w:bCs/>
                      <w:color w:val="auto"/>
                    </w:rPr>
                  </w:pPr>
                  <w:r>
                    <w:rPr>
                      <w:rFonts w:hint="eastAsia"/>
                      <w:b/>
                      <w:bCs/>
                      <w:color w:val="auto"/>
                    </w:rPr>
                    <w:t>环境要素</w:t>
                  </w:r>
                </w:p>
              </w:tc>
              <w:tc>
                <w:tcPr>
                  <w:tcW w:w="1020" w:type="pct"/>
                  <w:noWrap/>
                  <w:vAlign w:val="center"/>
                </w:tcPr>
                <w:p w14:paraId="0B559D40">
                  <w:pPr>
                    <w:pStyle w:val="32"/>
                    <w:rPr>
                      <w:b/>
                      <w:bCs/>
                      <w:color w:val="auto"/>
                    </w:rPr>
                  </w:pPr>
                  <w:r>
                    <w:rPr>
                      <w:rFonts w:hint="eastAsia"/>
                      <w:b/>
                      <w:bCs/>
                      <w:color w:val="auto"/>
                    </w:rPr>
                    <w:t>评价因子</w:t>
                  </w:r>
                </w:p>
              </w:tc>
              <w:tc>
                <w:tcPr>
                  <w:tcW w:w="594" w:type="pct"/>
                  <w:noWrap/>
                  <w:vAlign w:val="center"/>
                </w:tcPr>
                <w:p w14:paraId="09849506">
                  <w:pPr>
                    <w:pStyle w:val="32"/>
                    <w:rPr>
                      <w:b/>
                      <w:bCs/>
                      <w:color w:val="auto"/>
                    </w:rPr>
                  </w:pPr>
                  <w:r>
                    <w:rPr>
                      <w:rFonts w:hint="eastAsia"/>
                      <w:b/>
                      <w:bCs/>
                      <w:color w:val="auto"/>
                    </w:rPr>
                    <w:t>监测值</w:t>
                  </w:r>
                </w:p>
              </w:tc>
              <w:tc>
                <w:tcPr>
                  <w:tcW w:w="789" w:type="pct"/>
                  <w:noWrap/>
                  <w:vAlign w:val="center"/>
                </w:tcPr>
                <w:p w14:paraId="63DCA29D">
                  <w:pPr>
                    <w:pStyle w:val="32"/>
                    <w:rPr>
                      <w:b/>
                      <w:bCs/>
                      <w:color w:val="auto"/>
                    </w:rPr>
                  </w:pPr>
                  <w:r>
                    <w:rPr>
                      <w:rFonts w:hint="eastAsia"/>
                      <w:b/>
                      <w:bCs/>
                      <w:color w:val="auto"/>
                    </w:rPr>
                    <w:t>标准值</w:t>
                  </w:r>
                </w:p>
              </w:tc>
              <w:tc>
                <w:tcPr>
                  <w:tcW w:w="927" w:type="pct"/>
                  <w:noWrap/>
                  <w:vAlign w:val="center"/>
                </w:tcPr>
                <w:p w14:paraId="561B1173">
                  <w:pPr>
                    <w:pStyle w:val="32"/>
                    <w:rPr>
                      <w:b/>
                      <w:bCs/>
                      <w:color w:val="auto"/>
                    </w:rPr>
                  </w:pPr>
                  <w:r>
                    <w:rPr>
                      <w:rFonts w:hint="eastAsia"/>
                      <w:b/>
                      <w:bCs/>
                      <w:color w:val="auto"/>
                    </w:rPr>
                    <w:t>是否达标</w:t>
                  </w:r>
                </w:p>
              </w:tc>
              <w:tc>
                <w:tcPr>
                  <w:tcW w:w="935" w:type="pct"/>
                  <w:noWrap/>
                  <w:vAlign w:val="center"/>
                </w:tcPr>
                <w:p w14:paraId="07D05066">
                  <w:pPr>
                    <w:pStyle w:val="32"/>
                    <w:rPr>
                      <w:b/>
                      <w:bCs/>
                      <w:color w:val="auto"/>
                    </w:rPr>
                  </w:pPr>
                  <w:r>
                    <w:rPr>
                      <w:rFonts w:hint="eastAsia"/>
                      <w:b/>
                      <w:bCs/>
                      <w:color w:val="auto"/>
                    </w:rPr>
                    <w:t>超标倍数</w:t>
                  </w:r>
                </w:p>
              </w:tc>
            </w:tr>
            <w:tr w14:paraId="0984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noWrap/>
                  <w:vAlign w:val="center"/>
                </w:tcPr>
                <w:p w14:paraId="2B60CB9A">
                  <w:pPr>
                    <w:pStyle w:val="32"/>
                    <w:rPr>
                      <w:color w:val="auto"/>
                    </w:rPr>
                  </w:pPr>
                  <w:r>
                    <w:rPr>
                      <w:rFonts w:hint="eastAsia"/>
                      <w:color w:val="auto"/>
                    </w:rPr>
                    <w:t>环境空气</w:t>
                  </w:r>
                </w:p>
              </w:tc>
              <w:tc>
                <w:tcPr>
                  <w:tcW w:w="1020" w:type="pct"/>
                  <w:noWrap/>
                  <w:vAlign w:val="center"/>
                </w:tcPr>
                <w:p w14:paraId="465790ED">
                  <w:pPr>
                    <w:pStyle w:val="32"/>
                    <w:rPr>
                      <w:color w:val="auto"/>
                    </w:rPr>
                  </w:pPr>
                  <w:r>
                    <w:rPr>
                      <w:color w:val="auto"/>
                    </w:rPr>
                    <w:t>SO</w:t>
                  </w:r>
                  <w:r>
                    <w:rPr>
                      <w:color w:val="auto"/>
                      <w:sz w:val="16"/>
                      <w:szCs w:val="20"/>
                    </w:rPr>
                    <w:t>2</w:t>
                  </w:r>
                  <w:r>
                    <w:rPr>
                      <w:rFonts w:hint="eastAsia"/>
                      <w:color w:val="auto"/>
                    </w:rPr>
                    <w:t>(</w:t>
                  </w:r>
                  <w:r>
                    <w:rPr>
                      <w:rFonts w:hint="default" w:ascii="Times New Roman" w:hAnsi="Times New Roman" w:cs="Times New Roman"/>
                      <w:color w:val="auto"/>
                    </w:rPr>
                    <w:t>μ</w:t>
                  </w:r>
                  <w:r>
                    <w:rPr>
                      <w:rFonts w:hint="eastAsia" w:cs="Times New Roman"/>
                      <w:color w:val="auto"/>
                      <w:lang w:val="en-US" w:eastAsia="zh-CN"/>
                    </w:rPr>
                    <w:t>g</w:t>
                  </w:r>
                  <w:r>
                    <w:rPr>
                      <w:rFonts w:hint="eastAsia"/>
                      <w:color w:val="auto"/>
                    </w:rPr>
                    <w:t>/m³)</w:t>
                  </w:r>
                </w:p>
              </w:tc>
              <w:tc>
                <w:tcPr>
                  <w:tcW w:w="594" w:type="pct"/>
                  <w:noWrap/>
                  <w:vAlign w:val="center"/>
                </w:tcPr>
                <w:p w14:paraId="386304FC">
                  <w:pPr>
                    <w:pStyle w:val="32"/>
                    <w:rPr>
                      <w:color w:val="auto"/>
                    </w:rPr>
                  </w:pPr>
                  <w:r>
                    <w:rPr>
                      <w:rFonts w:hint="eastAsia"/>
                      <w:color w:val="auto"/>
                    </w:rPr>
                    <w:t>8</w:t>
                  </w:r>
                </w:p>
              </w:tc>
              <w:tc>
                <w:tcPr>
                  <w:tcW w:w="789" w:type="pct"/>
                  <w:noWrap/>
                  <w:vAlign w:val="center"/>
                </w:tcPr>
                <w:p w14:paraId="633E1A26">
                  <w:pPr>
                    <w:pStyle w:val="32"/>
                    <w:rPr>
                      <w:color w:val="auto"/>
                    </w:rPr>
                  </w:pPr>
                  <w:r>
                    <w:rPr>
                      <w:rFonts w:hint="eastAsia"/>
                      <w:color w:val="auto"/>
                    </w:rPr>
                    <w:t>60</w:t>
                  </w:r>
                </w:p>
              </w:tc>
              <w:tc>
                <w:tcPr>
                  <w:tcW w:w="927" w:type="pct"/>
                  <w:noWrap/>
                  <w:vAlign w:val="center"/>
                </w:tcPr>
                <w:p w14:paraId="629D51D0">
                  <w:pPr>
                    <w:pStyle w:val="32"/>
                    <w:rPr>
                      <w:color w:val="auto"/>
                    </w:rPr>
                  </w:pPr>
                  <w:r>
                    <w:rPr>
                      <w:rFonts w:hint="eastAsia"/>
                      <w:color w:val="auto"/>
                    </w:rPr>
                    <w:t>是</w:t>
                  </w:r>
                </w:p>
              </w:tc>
              <w:tc>
                <w:tcPr>
                  <w:tcW w:w="935" w:type="pct"/>
                  <w:noWrap/>
                  <w:vAlign w:val="center"/>
                </w:tcPr>
                <w:p w14:paraId="37FB5278">
                  <w:pPr>
                    <w:pStyle w:val="32"/>
                    <w:rPr>
                      <w:color w:val="auto"/>
                    </w:rPr>
                  </w:pPr>
                  <w:r>
                    <w:rPr>
                      <w:rFonts w:hint="eastAsia"/>
                      <w:color w:val="auto"/>
                    </w:rPr>
                    <w:t>-</w:t>
                  </w:r>
                </w:p>
              </w:tc>
            </w:tr>
            <w:tr w14:paraId="2A47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ign w:val="center"/>
                </w:tcPr>
                <w:p w14:paraId="179C4AFF">
                  <w:pPr>
                    <w:pStyle w:val="32"/>
                    <w:rPr>
                      <w:color w:val="auto"/>
                    </w:rPr>
                  </w:pPr>
                </w:p>
              </w:tc>
              <w:tc>
                <w:tcPr>
                  <w:tcW w:w="1020" w:type="pct"/>
                  <w:noWrap/>
                  <w:vAlign w:val="center"/>
                </w:tcPr>
                <w:p w14:paraId="26934D33">
                  <w:pPr>
                    <w:pStyle w:val="32"/>
                    <w:rPr>
                      <w:color w:val="auto"/>
                    </w:rPr>
                  </w:pPr>
                  <w:r>
                    <w:rPr>
                      <w:color w:val="auto"/>
                    </w:rPr>
                    <w:t>NO</w:t>
                  </w:r>
                  <w:r>
                    <w:rPr>
                      <w:color w:val="auto"/>
                      <w:sz w:val="16"/>
                      <w:szCs w:val="20"/>
                    </w:rPr>
                    <w:t>2</w:t>
                  </w:r>
                  <w:r>
                    <w:rPr>
                      <w:rFonts w:hint="eastAsia"/>
                      <w:color w:val="auto"/>
                    </w:rPr>
                    <w:t>(</w:t>
                  </w:r>
                  <w:r>
                    <w:rPr>
                      <w:rFonts w:hint="default" w:ascii="Times New Roman" w:hAnsi="Times New Roman" w:cs="Times New Roman"/>
                      <w:color w:val="auto"/>
                    </w:rPr>
                    <w:t>μ</w:t>
                  </w:r>
                  <w:r>
                    <w:rPr>
                      <w:rFonts w:hint="eastAsia" w:cs="Times New Roman"/>
                      <w:color w:val="auto"/>
                      <w:lang w:val="en-US" w:eastAsia="zh-CN"/>
                    </w:rPr>
                    <w:t>g</w:t>
                  </w:r>
                  <w:r>
                    <w:rPr>
                      <w:rFonts w:hint="eastAsia"/>
                      <w:color w:val="auto"/>
                    </w:rPr>
                    <w:t>/m³)</w:t>
                  </w:r>
                </w:p>
              </w:tc>
              <w:tc>
                <w:tcPr>
                  <w:tcW w:w="594" w:type="pct"/>
                  <w:noWrap/>
                  <w:vAlign w:val="center"/>
                </w:tcPr>
                <w:p w14:paraId="4BCD3F5D">
                  <w:pPr>
                    <w:pStyle w:val="32"/>
                    <w:rPr>
                      <w:color w:val="auto"/>
                    </w:rPr>
                  </w:pPr>
                  <w:r>
                    <w:rPr>
                      <w:rFonts w:hint="eastAsia"/>
                      <w:color w:val="auto"/>
                    </w:rPr>
                    <w:t>21</w:t>
                  </w:r>
                </w:p>
              </w:tc>
              <w:tc>
                <w:tcPr>
                  <w:tcW w:w="789" w:type="pct"/>
                  <w:noWrap/>
                  <w:vAlign w:val="center"/>
                </w:tcPr>
                <w:p w14:paraId="0E951F1D">
                  <w:pPr>
                    <w:pStyle w:val="32"/>
                    <w:rPr>
                      <w:color w:val="auto"/>
                    </w:rPr>
                  </w:pPr>
                  <w:r>
                    <w:rPr>
                      <w:rFonts w:hint="eastAsia"/>
                      <w:color w:val="auto"/>
                    </w:rPr>
                    <w:t>40</w:t>
                  </w:r>
                </w:p>
              </w:tc>
              <w:tc>
                <w:tcPr>
                  <w:tcW w:w="927" w:type="pct"/>
                  <w:noWrap/>
                  <w:vAlign w:val="center"/>
                </w:tcPr>
                <w:p w14:paraId="0294E15A">
                  <w:pPr>
                    <w:pStyle w:val="32"/>
                    <w:rPr>
                      <w:color w:val="auto"/>
                    </w:rPr>
                  </w:pPr>
                  <w:r>
                    <w:rPr>
                      <w:rFonts w:hint="eastAsia"/>
                      <w:color w:val="auto"/>
                    </w:rPr>
                    <w:t>是</w:t>
                  </w:r>
                </w:p>
              </w:tc>
              <w:tc>
                <w:tcPr>
                  <w:tcW w:w="935" w:type="pct"/>
                  <w:noWrap/>
                  <w:vAlign w:val="center"/>
                </w:tcPr>
                <w:p w14:paraId="40D5D121">
                  <w:pPr>
                    <w:pStyle w:val="32"/>
                    <w:rPr>
                      <w:color w:val="auto"/>
                    </w:rPr>
                  </w:pPr>
                  <w:r>
                    <w:rPr>
                      <w:rFonts w:hint="eastAsia"/>
                      <w:color w:val="auto"/>
                    </w:rPr>
                    <w:t>-</w:t>
                  </w:r>
                </w:p>
              </w:tc>
            </w:tr>
            <w:tr w14:paraId="0005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ign w:val="center"/>
                </w:tcPr>
                <w:p w14:paraId="53B579EC">
                  <w:pPr>
                    <w:pStyle w:val="32"/>
                    <w:rPr>
                      <w:color w:val="auto"/>
                    </w:rPr>
                  </w:pPr>
                </w:p>
              </w:tc>
              <w:tc>
                <w:tcPr>
                  <w:tcW w:w="1020" w:type="pct"/>
                  <w:noWrap/>
                  <w:vAlign w:val="center"/>
                </w:tcPr>
                <w:p w14:paraId="69A3296F">
                  <w:pPr>
                    <w:pStyle w:val="32"/>
                    <w:rPr>
                      <w:color w:val="auto"/>
                    </w:rPr>
                  </w:pPr>
                  <w:r>
                    <w:rPr>
                      <w:color w:val="auto"/>
                    </w:rPr>
                    <w:t>PM</w:t>
                  </w:r>
                  <w:r>
                    <w:rPr>
                      <w:color w:val="auto"/>
                      <w:sz w:val="16"/>
                      <w:szCs w:val="20"/>
                    </w:rPr>
                    <w:t>10</w:t>
                  </w:r>
                  <w:r>
                    <w:rPr>
                      <w:rFonts w:hint="eastAsia"/>
                      <w:color w:val="auto"/>
                    </w:rPr>
                    <w:t>(</w:t>
                  </w:r>
                  <w:r>
                    <w:rPr>
                      <w:rFonts w:hint="default" w:ascii="Times New Roman" w:hAnsi="Times New Roman" w:cs="Times New Roman"/>
                      <w:color w:val="auto"/>
                    </w:rPr>
                    <w:t>μ</w:t>
                  </w:r>
                  <w:r>
                    <w:rPr>
                      <w:rFonts w:hint="eastAsia" w:cs="Times New Roman"/>
                      <w:color w:val="auto"/>
                      <w:lang w:val="en-US" w:eastAsia="zh-CN"/>
                    </w:rPr>
                    <w:t>g</w:t>
                  </w:r>
                  <w:r>
                    <w:rPr>
                      <w:rFonts w:hint="eastAsia"/>
                      <w:color w:val="auto"/>
                    </w:rPr>
                    <w:t>/m³)</w:t>
                  </w:r>
                </w:p>
              </w:tc>
              <w:tc>
                <w:tcPr>
                  <w:tcW w:w="594" w:type="pct"/>
                  <w:noWrap/>
                  <w:vAlign w:val="center"/>
                </w:tcPr>
                <w:p w14:paraId="48F28724">
                  <w:pPr>
                    <w:pStyle w:val="32"/>
                    <w:rPr>
                      <w:color w:val="auto"/>
                    </w:rPr>
                  </w:pPr>
                  <w:r>
                    <w:rPr>
                      <w:rFonts w:hint="eastAsia"/>
                      <w:color w:val="auto"/>
                    </w:rPr>
                    <w:t>65.9</w:t>
                  </w:r>
                </w:p>
              </w:tc>
              <w:tc>
                <w:tcPr>
                  <w:tcW w:w="789" w:type="pct"/>
                  <w:noWrap/>
                  <w:vAlign w:val="center"/>
                </w:tcPr>
                <w:p w14:paraId="5B33411B">
                  <w:pPr>
                    <w:pStyle w:val="32"/>
                    <w:rPr>
                      <w:color w:val="auto"/>
                    </w:rPr>
                  </w:pPr>
                  <w:r>
                    <w:rPr>
                      <w:rFonts w:hint="eastAsia"/>
                      <w:color w:val="auto"/>
                    </w:rPr>
                    <w:t>70</w:t>
                  </w:r>
                </w:p>
              </w:tc>
              <w:tc>
                <w:tcPr>
                  <w:tcW w:w="927" w:type="pct"/>
                  <w:noWrap/>
                  <w:vAlign w:val="center"/>
                </w:tcPr>
                <w:p w14:paraId="3DC233AC">
                  <w:pPr>
                    <w:pStyle w:val="32"/>
                    <w:rPr>
                      <w:color w:val="auto"/>
                    </w:rPr>
                  </w:pPr>
                  <w:r>
                    <w:rPr>
                      <w:rFonts w:hint="eastAsia"/>
                      <w:color w:val="auto"/>
                    </w:rPr>
                    <w:t>是</w:t>
                  </w:r>
                </w:p>
              </w:tc>
              <w:tc>
                <w:tcPr>
                  <w:tcW w:w="935" w:type="pct"/>
                  <w:noWrap/>
                  <w:vAlign w:val="center"/>
                </w:tcPr>
                <w:p w14:paraId="15E79134">
                  <w:pPr>
                    <w:pStyle w:val="32"/>
                    <w:rPr>
                      <w:color w:val="auto"/>
                    </w:rPr>
                  </w:pPr>
                  <w:r>
                    <w:rPr>
                      <w:rFonts w:hint="eastAsia"/>
                      <w:color w:val="auto"/>
                    </w:rPr>
                    <w:t>-</w:t>
                  </w:r>
                </w:p>
              </w:tc>
            </w:tr>
            <w:tr w14:paraId="536B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ign w:val="center"/>
                </w:tcPr>
                <w:p w14:paraId="516D9A05">
                  <w:pPr>
                    <w:pStyle w:val="32"/>
                    <w:rPr>
                      <w:color w:val="auto"/>
                    </w:rPr>
                  </w:pPr>
                </w:p>
              </w:tc>
              <w:tc>
                <w:tcPr>
                  <w:tcW w:w="1020" w:type="pct"/>
                  <w:noWrap/>
                  <w:vAlign w:val="center"/>
                </w:tcPr>
                <w:p w14:paraId="5C320CA4">
                  <w:pPr>
                    <w:pStyle w:val="32"/>
                    <w:rPr>
                      <w:color w:val="auto"/>
                    </w:rPr>
                  </w:pPr>
                  <w:r>
                    <w:rPr>
                      <w:rFonts w:hint="eastAsia"/>
                      <w:color w:val="auto"/>
                    </w:rPr>
                    <w:t>PM</w:t>
                  </w:r>
                  <w:r>
                    <w:rPr>
                      <w:rFonts w:hint="eastAsia"/>
                      <w:color w:val="auto"/>
                      <w:vertAlign w:val="subscript"/>
                    </w:rPr>
                    <w:t>2.5</w:t>
                  </w:r>
                  <w:r>
                    <w:rPr>
                      <w:rFonts w:hint="eastAsia"/>
                      <w:color w:val="auto"/>
                    </w:rPr>
                    <w:t>(</w:t>
                  </w:r>
                  <w:r>
                    <w:rPr>
                      <w:rFonts w:hint="default" w:ascii="Times New Roman" w:hAnsi="Times New Roman" w:cs="Times New Roman"/>
                      <w:color w:val="auto"/>
                    </w:rPr>
                    <w:t>μ</w:t>
                  </w:r>
                  <w:r>
                    <w:rPr>
                      <w:rFonts w:hint="eastAsia" w:cs="Times New Roman"/>
                      <w:color w:val="auto"/>
                      <w:lang w:val="en-US" w:eastAsia="zh-CN"/>
                    </w:rPr>
                    <w:t>g</w:t>
                  </w:r>
                  <w:r>
                    <w:rPr>
                      <w:rFonts w:hint="eastAsia"/>
                      <w:color w:val="auto"/>
                    </w:rPr>
                    <w:t>/m³)</w:t>
                  </w:r>
                </w:p>
              </w:tc>
              <w:tc>
                <w:tcPr>
                  <w:tcW w:w="594" w:type="pct"/>
                  <w:noWrap/>
                  <w:vAlign w:val="center"/>
                </w:tcPr>
                <w:p w14:paraId="3F4D1D80">
                  <w:pPr>
                    <w:pStyle w:val="32"/>
                    <w:rPr>
                      <w:color w:val="auto"/>
                    </w:rPr>
                  </w:pPr>
                  <w:r>
                    <w:rPr>
                      <w:rFonts w:hint="eastAsia"/>
                      <w:color w:val="auto"/>
                    </w:rPr>
                    <w:t>38.7</w:t>
                  </w:r>
                </w:p>
              </w:tc>
              <w:tc>
                <w:tcPr>
                  <w:tcW w:w="789" w:type="pct"/>
                  <w:noWrap/>
                  <w:vAlign w:val="center"/>
                </w:tcPr>
                <w:p w14:paraId="666E9399">
                  <w:pPr>
                    <w:pStyle w:val="32"/>
                    <w:rPr>
                      <w:color w:val="auto"/>
                    </w:rPr>
                  </w:pPr>
                  <w:r>
                    <w:rPr>
                      <w:rFonts w:hint="eastAsia"/>
                      <w:color w:val="auto"/>
                    </w:rPr>
                    <w:t>35</w:t>
                  </w:r>
                </w:p>
              </w:tc>
              <w:tc>
                <w:tcPr>
                  <w:tcW w:w="927" w:type="pct"/>
                  <w:noWrap/>
                  <w:vAlign w:val="center"/>
                </w:tcPr>
                <w:p w14:paraId="03E952C8">
                  <w:pPr>
                    <w:pStyle w:val="32"/>
                    <w:rPr>
                      <w:color w:val="auto"/>
                    </w:rPr>
                  </w:pPr>
                  <w:r>
                    <w:rPr>
                      <w:rFonts w:hint="eastAsia"/>
                      <w:color w:val="auto"/>
                    </w:rPr>
                    <w:t>否</w:t>
                  </w:r>
                </w:p>
              </w:tc>
              <w:tc>
                <w:tcPr>
                  <w:tcW w:w="935" w:type="pct"/>
                  <w:noWrap/>
                  <w:vAlign w:val="center"/>
                </w:tcPr>
                <w:p w14:paraId="4E3D490D">
                  <w:pPr>
                    <w:pStyle w:val="32"/>
                    <w:rPr>
                      <w:color w:val="auto"/>
                    </w:rPr>
                  </w:pPr>
                  <w:r>
                    <w:rPr>
                      <w:rFonts w:hint="eastAsia"/>
                      <w:color w:val="auto"/>
                    </w:rPr>
                    <w:t>0.11</w:t>
                  </w:r>
                </w:p>
              </w:tc>
            </w:tr>
            <w:tr w14:paraId="6F38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ign w:val="center"/>
                </w:tcPr>
                <w:p w14:paraId="52AA8DC1">
                  <w:pPr>
                    <w:pStyle w:val="32"/>
                    <w:rPr>
                      <w:color w:val="auto"/>
                    </w:rPr>
                  </w:pPr>
                </w:p>
              </w:tc>
              <w:tc>
                <w:tcPr>
                  <w:tcW w:w="1020" w:type="pct"/>
                  <w:noWrap/>
                  <w:vAlign w:val="center"/>
                </w:tcPr>
                <w:p w14:paraId="2E1130B2">
                  <w:pPr>
                    <w:pStyle w:val="32"/>
                    <w:rPr>
                      <w:color w:val="auto"/>
                    </w:rPr>
                  </w:pPr>
                  <w:r>
                    <w:rPr>
                      <w:color w:val="auto"/>
                    </w:rPr>
                    <w:t>CO</w:t>
                  </w:r>
                  <w:r>
                    <w:rPr>
                      <w:rFonts w:hint="eastAsia"/>
                      <w:color w:val="auto"/>
                      <w:lang w:eastAsia="zh-CN"/>
                    </w:rPr>
                    <w:t>(</w:t>
                  </w:r>
                  <w:r>
                    <w:rPr>
                      <w:rFonts w:hint="eastAsia"/>
                      <w:color w:val="auto"/>
                    </w:rPr>
                    <w:t>mg/m³</w:t>
                  </w:r>
                  <w:r>
                    <w:rPr>
                      <w:rFonts w:hint="eastAsia"/>
                      <w:color w:val="auto"/>
                      <w:lang w:eastAsia="zh-CN"/>
                    </w:rPr>
                    <w:t>)</w:t>
                  </w:r>
                </w:p>
              </w:tc>
              <w:tc>
                <w:tcPr>
                  <w:tcW w:w="594" w:type="pct"/>
                  <w:noWrap/>
                  <w:vAlign w:val="center"/>
                </w:tcPr>
                <w:p w14:paraId="2EE2234B">
                  <w:pPr>
                    <w:pStyle w:val="32"/>
                    <w:rPr>
                      <w:color w:val="auto"/>
                    </w:rPr>
                  </w:pPr>
                  <w:r>
                    <w:rPr>
                      <w:rFonts w:hint="eastAsia"/>
                      <w:color w:val="auto"/>
                    </w:rPr>
                    <w:t>0.7</w:t>
                  </w:r>
                </w:p>
              </w:tc>
              <w:tc>
                <w:tcPr>
                  <w:tcW w:w="789" w:type="pct"/>
                  <w:noWrap/>
                  <w:vAlign w:val="center"/>
                </w:tcPr>
                <w:p w14:paraId="59931063">
                  <w:pPr>
                    <w:pStyle w:val="32"/>
                    <w:rPr>
                      <w:color w:val="auto"/>
                    </w:rPr>
                  </w:pPr>
                  <w:r>
                    <w:rPr>
                      <w:rFonts w:hint="eastAsia"/>
                      <w:color w:val="auto"/>
                    </w:rPr>
                    <w:t>4</w:t>
                  </w:r>
                </w:p>
              </w:tc>
              <w:tc>
                <w:tcPr>
                  <w:tcW w:w="927" w:type="pct"/>
                  <w:noWrap/>
                  <w:vAlign w:val="center"/>
                </w:tcPr>
                <w:p w14:paraId="1C19B1B9">
                  <w:pPr>
                    <w:pStyle w:val="32"/>
                    <w:rPr>
                      <w:color w:val="auto"/>
                    </w:rPr>
                  </w:pPr>
                  <w:r>
                    <w:rPr>
                      <w:rFonts w:hint="eastAsia"/>
                      <w:color w:val="auto"/>
                    </w:rPr>
                    <w:t>是</w:t>
                  </w:r>
                </w:p>
              </w:tc>
              <w:tc>
                <w:tcPr>
                  <w:tcW w:w="935" w:type="pct"/>
                  <w:noWrap/>
                  <w:vAlign w:val="center"/>
                </w:tcPr>
                <w:p w14:paraId="0BF54AEE">
                  <w:pPr>
                    <w:pStyle w:val="32"/>
                    <w:rPr>
                      <w:color w:val="auto"/>
                    </w:rPr>
                  </w:pPr>
                  <w:r>
                    <w:rPr>
                      <w:rFonts w:hint="eastAsia"/>
                      <w:color w:val="auto"/>
                    </w:rPr>
                    <w:t>-</w:t>
                  </w:r>
                </w:p>
              </w:tc>
            </w:tr>
            <w:tr w14:paraId="510F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ign w:val="center"/>
                </w:tcPr>
                <w:p w14:paraId="052309A2">
                  <w:pPr>
                    <w:pStyle w:val="32"/>
                    <w:rPr>
                      <w:color w:val="auto"/>
                    </w:rPr>
                  </w:pPr>
                </w:p>
              </w:tc>
              <w:tc>
                <w:tcPr>
                  <w:tcW w:w="1020" w:type="pct"/>
                  <w:noWrap/>
                  <w:vAlign w:val="center"/>
                </w:tcPr>
                <w:p w14:paraId="66D1AE5A">
                  <w:pPr>
                    <w:pStyle w:val="32"/>
                    <w:rPr>
                      <w:color w:val="auto"/>
                    </w:rPr>
                  </w:pPr>
                  <w:r>
                    <w:rPr>
                      <w:color w:val="auto"/>
                    </w:rPr>
                    <w:t>O</w:t>
                  </w:r>
                  <w:r>
                    <w:rPr>
                      <w:color w:val="auto"/>
                      <w:sz w:val="16"/>
                      <w:szCs w:val="20"/>
                    </w:rPr>
                    <w:t>3</w:t>
                  </w:r>
                  <w:r>
                    <w:rPr>
                      <w:rFonts w:hint="eastAsia"/>
                      <w:color w:val="auto"/>
                    </w:rPr>
                    <w:t>(</w:t>
                  </w:r>
                  <w:r>
                    <w:rPr>
                      <w:rFonts w:hint="default" w:ascii="Times New Roman" w:hAnsi="Times New Roman" w:cs="Times New Roman"/>
                      <w:color w:val="auto"/>
                    </w:rPr>
                    <w:t>μ</w:t>
                  </w:r>
                  <w:r>
                    <w:rPr>
                      <w:rFonts w:hint="eastAsia" w:cs="Times New Roman"/>
                      <w:color w:val="auto"/>
                      <w:lang w:val="en-US" w:eastAsia="zh-CN"/>
                    </w:rPr>
                    <w:t>g</w:t>
                  </w:r>
                  <w:r>
                    <w:rPr>
                      <w:rFonts w:hint="eastAsia"/>
                      <w:color w:val="auto"/>
                    </w:rPr>
                    <w:t>/m³)</w:t>
                  </w:r>
                </w:p>
              </w:tc>
              <w:tc>
                <w:tcPr>
                  <w:tcW w:w="594" w:type="pct"/>
                  <w:noWrap/>
                  <w:vAlign w:val="center"/>
                </w:tcPr>
                <w:p w14:paraId="5D2802BE">
                  <w:pPr>
                    <w:pStyle w:val="32"/>
                    <w:rPr>
                      <w:color w:val="auto"/>
                    </w:rPr>
                  </w:pPr>
                  <w:r>
                    <w:rPr>
                      <w:rFonts w:hint="eastAsia"/>
                      <w:color w:val="auto"/>
                    </w:rPr>
                    <w:t>157</w:t>
                  </w:r>
                </w:p>
              </w:tc>
              <w:tc>
                <w:tcPr>
                  <w:tcW w:w="789" w:type="pct"/>
                  <w:noWrap/>
                  <w:vAlign w:val="center"/>
                </w:tcPr>
                <w:p w14:paraId="0106224B">
                  <w:pPr>
                    <w:pStyle w:val="32"/>
                    <w:rPr>
                      <w:color w:val="auto"/>
                    </w:rPr>
                  </w:pPr>
                  <w:r>
                    <w:rPr>
                      <w:rFonts w:hint="eastAsia"/>
                      <w:color w:val="auto"/>
                    </w:rPr>
                    <w:t>160</w:t>
                  </w:r>
                </w:p>
              </w:tc>
              <w:tc>
                <w:tcPr>
                  <w:tcW w:w="927" w:type="pct"/>
                  <w:noWrap/>
                  <w:vAlign w:val="center"/>
                </w:tcPr>
                <w:p w14:paraId="232DB395">
                  <w:pPr>
                    <w:pStyle w:val="32"/>
                    <w:rPr>
                      <w:color w:val="auto"/>
                    </w:rPr>
                  </w:pPr>
                  <w:r>
                    <w:rPr>
                      <w:rFonts w:hint="eastAsia"/>
                      <w:color w:val="auto"/>
                    </w:rPr>
                    <w:t>是</w:t>
                  </w:r>
                </w:p>
              </w:tc>
              <w:tc>
                <w:tcPr>
                  <w:tcW w:w="935" w:type="pct"/>
                  <w:noWrap/>
                  <w:vAlign w:val="center"/>
                </w:tcPr>
                <w:p w14:paraId="579286B4">
                  <w:pPr>
                    <w:pStyle w:val="32"/>
                    <w:rPr>
                      <w:color w:val="auto"/>
                    </w:rPr>
                  </w:pPr>
                  <w:r>
                    <w:rPr>
                      <w:rFonts w:hint="eastAsia"/>
                      <w:color w:val="auto"/>
                    </w:rPr>
                    <w:t>-</w:t>
                  </w:r>
                </w:p>
              </w:tc>
            </w:tr>
          </w:tbl>
          <w:p w14:paraId="5D6AF577">
            <w:pPr>
              <w:ind w:firstLine="482"/>
              <w:rPr>
                <w:b/>
                <w:bCs/>
                <w:color w:val="auto"/>
              </w:rPr>
            </w:pPr>
            <w:r>
              <w:rPr>
                <w:rFonts w:hint="eastAsia"/>
                <w:b/>
                <w:bCs/>
                <w:color w:val="auto"/>
              </w:rPr>
              <w:t>（2）其他污染物</w:t>
            </w:r>
          </w:p>
          <w:p w14:paraId="2A1C63A8">
            <w:pPr>
              <w:widowControl/>
              <w:ind w:firstLine="480"/>
              <w:rPr>
                <w:color w:val="auto"/>
              </w:rPr>
            </w:pPr>
            <w:r>
              <w:rPr>
                <w:rFonts w:hint="eastAsia"/>
                <w:color w:val="auto"/>
              </w:rPr>
              <w:t>根据本项目工程分析可知，本项目特征污染物为</w:t>
            </w:r>
            <w:r>
              <w:rPr>
                <w:rFonts w:hint="eastAsia"/>
                <w:color w:val="auto"/>
                <w:lang w:val="en-US" w:eastAsia="zh-CN"/>
              </w:rPr>
              <w:t>氨、硫化氢、臭气浓度</w:t>
            </w:r>
            <w:r>
              <w:rPr>
                <w:rFonts w:hint="eastAsia"/>
                <w:color w:val="auto"/>
              </w:rPr>
              <w:t>。</w:t>
            </w:r>
          </w:p>
          <w:p w14:paraId="63392691">
            <w:pPr>
              <w:bidi w:val="0"/>
            </w:pPr>
            <w:r>
              <w:rPr>
                <w:rFonts w:hint="eastAsia"/>
              </w:rPr>
              <w:t>特征污染物</w:t>
            </w:r>
            <w:r>
              <w:rPr>
                <w:rFonts w:hint="eastAsia"/>
                <w:color w:val="auto"/>
                <w:lang w:val="en-US" w:eastAsia="zh-CN"/>
              </w:rPr>
              <w:t>氨、硫化氢</w:t>
            </w:r>
            <w:r>
              <w:rPr>
                <w:rFonts w:hint="eastAsia"/>
              </w:rPr>
              <w:t>环境空气质量数据引用《</w:t>
            </w:r>
            <w:r>
              <w:rPr>
                <w:rFonts w:hint="eastAsia"/>
                <w:lang w:val="en-US" w:eastAsia="zh-CN"/>
              </w:rPr>
              <w:t>淮南高新技术产业开发区</w:t>
            </w:r>
            <w:r>
              <w:rPr>
                <w:rFonts w:hint="eastAsia"/>
                <w:lang w:eastAsia="zh-CN"/>
              </w:rPr>
              <w:t>环境影响区域评估报告</w:t>
            </w:r>
            <w:r>
              <w:rPr>
                <w:rFonts w:hint="eastAsia"/>
                <w:lang w:val="en-US" w:eastAsia="zh-CN"/>
              </w:rPr>
              <w:t>2022</w:t>
            </w:r>
            <w:r>
              <w:rPr>
                <w:rFonts w:hint="eastAsia"/>
              </w:rPr>
              <w:t>》</w:t>
            </w:r>
            <w:r>
              <w:t>中</w:t>
            </w:r>
            <w:r>
              <w:rPr>
                <w:rFonts w:hint="eastAsia"/>
                <w:lang w:val="en-US" w:eastAsia="zh-CN"/>
              </w:rPr>
              <w:t>4#~5#环境空气</w:t>
            </w:r>
            <w:r>
              <w:t>现状监测数据</w:t>
            </w:r>
            <w:r>
              <w:rPr>
                <w:rFonts w:hint="eastAsia"/>
              </w:rPr>
              <w:t>，</w:t>
            </w:r>
            <w:r>
              <w:t>监测时间：</w:t>
            </w:r>
            <w:r>
              <w:rPr>
                <w:rFonts w:hint="eastAsia"/>
              </w:rPr>
              <w:t>2022年</w:t>
            </w:r>
            <w:r>
              <w:rPr>
                <w:rFonts w:hint="eastAsia"/>
                <w:lang w:val="en-US" w:eastAsia="zh-CN"/>
              </w:rPr>
              <w:t>5</w:t>
            </w:r>
            <w:r>
              <w:rPr>
                <w:rFonts w:hint="eastAsia"/>
              </w:rPr>
              <w:t>月</w:t>
            </w:r>
            <w:r>
              <w:rPr>
                <w:rFonts w:hint="eastAsia"/>
                <w:lang w:val="en-US" w:eastAsia="zh-CN"/>
              </w:rPr>
              <w:t>23</w:t>
            </w:r>
            <w:r>
              <w:rPr>
                <w:rFonts w:hint="eastAsia"/>
              </w:rPr>
              <w:t>日</w:t>
            </w:r>
            <w:r>
              <w:rPr>
                <w:rFonts w:hint="eastAsia"/>
                <w:lang w:eastAsia="zh-CN"/>
              </w:rPr>
              <w:t>—</w:t>
            </w:r>
            <w:r>
              <w:rPr>
                <w:rFonts w:hint="eastAsia"/>
                <w:lang w:val="en-US" w:eastAsia="zh-CN"/>
              </w:rPr>
              <w:t>5</w:t>
            </w:r>
            <w:r>
              <w:rPr>
                <w:rFonts w:hint="eastAsia"/>
              </w:rPr>
              <w:t>月</w:t>
            </w:r>
            <w:r>
              <w:rPr>
                <w:rFonts w:hint="eastAsia"/>
                <w:lang w:val="en-US" w:eastAsia="zh-CN"/>
              </w:rPr>
              <w:t>29</w:t>
            </w:r>
            <w:r>
              <w:rPr>
                <w:rFonts w:hint="eastAsia"/>
              </w:rPr>
              <w:t>日，</w:t>
            </w:r>
            <w:r>
              <w:rPr>
                <w:rFonts w:hint="eastAsia"/>
                <w:lang w:val="en-US" w:eastAsia="zh-CN"/>
              </w:rPr>
              <w:t>G4监测点位距离本项目约2.7km，G5监测点位距离本项目约2.3km，监测点位</w:t>
            </w:r>
            <w:r>
              <w:rPr>
                <w:rFonts w:hint="eastAsia"/>
              </w:rPr>
              <w:t>与本项目相对位置及距离见图3-</w:t>
            </w:r>
            <w:r>
              <w:rPr>
                <w:rFonts w:hint="eastAsia"/>
                <w:lang w:val="en-US" w:eastAsia="zh-CN"/>
              </w:rPr>
              <w:t>1。</w:t>
            </w:r>
            <w:r>
              <w:rPr>
                <w:rFonts w:hint="eastAsia"/>
              </w:rPr>
              <w:t>监测数据满足本项目特征污染物数据引用条件。</w:t>
            </w:r>
          </w:p>
          <w:p w14:paraId="77C90CE8">
            <w:pPr>
              <w:pStyle w:val="27"/>
              <w:bidi w:val="0"/>
            </w:pPr>
            <w:r>
              <w:rPr>
                <w:rFonts w:hint="eastAsia"/>
              </w:rPr>
              <w:t xml:space="preserve">表3-2 </w:t>
            </w:r>
            <w:r>
              <w:rPr>
                <w:rFonts w:hint="eastAsia"/>
                <w:lang w:val="en-US" w:eastAsia="zh-CN"/>
              </w:rPr>
              <w:t xml:space="preserve"> </w:t>
            </w:r>
            <w:r>
              <w:rPr>
                <w:rFonts w:hint="eastAsia"/>
              </w:rPr>
              <w:t>环境空气现状检测结果统计表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127"/>
              <w:gridCol w:w="684"/>
              <w:gridCol w:w="1134"/>
              <w:gridCol w:w="1378"/>
              <w:gridCol w:w="1197"/>
              <w:gridCol w:w="708"/>
              <w:gridCol w:w="1076"/>
            </w:tblGrid>
            <w:tr w14:paraId="674A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9" w:type="pct"/>
                  <w:noWrap/>
                  <w:vAlign w:val="center"/>
                </w:tcPr>
                <w:p w14:paraId="3AA906A3">
                  <w:pPr>
                    <w:pStyle w:val="32"/>
                    <w:bidi w:val="0"/>
                    <w:rPr>
                      <w:b/>
                      <w:bCs/>
                    </w:rPr>
                  </w:pPr>
                  <w:r>
                    <w:rPr>
                      <w:b/>
                      <w:bCs/>
                    </w:rPr>
                    <w:t>监测</w:t>
                  </w:r>
                </w:p>
                <w:p w14:paraId="3CE1D7C0">
                  <w:pPr>
                    <w:pStyle w:val="32"/>
                    <w:bidi w:val="0"/>
                    <w:rPr>
                      <w:b/>
                      <w:bCs/>
                    </w:rPr>
                  </w:pPr>
                  <w:r>
                    <w:rPr>
                      <w:b/>
                      <w:bCs/>
                    </w:rPr>
                    <w:t>因子</w:t>
                  </w:r>
                </w:p>
              </w:tc>
              <w:tc>
                <w:tcPr>
                  <w:tcW w:w="674" w:type="pct"/>
                  <w:noWrap/>
                  <w:vAlign w:val="center"/>
                </w:tcPr>
                <w:p w14:paraId="20680BB7">
                  <w:pPr>
                    <w:pStyle w:val="32"/>
                    <w:bidi w:val="0"/>
                    <w:rPr>
                      <w:b/>
                      <w:bCs/>
                    </w:rPr>
                  </w:pPr>
                  <w:r>
                    <w:rPr>
                      <w:rFonts w:hint="eastAsia"/>
                      <w:b/>
                      <w:bCs/>
                    </w:rPr>
                    <w:t>监测点位</w:t>
                  </w:r>
                </w:p>
              </w:tc>
              <w:tc>
                <w:tcPr>
                  <w:tcW w:w="409" w:type="pct"/>
                  <w:noWrap/>
                  <w:vAlign w:val="center"/>
                </w:tcPr>
                <w:p w14:paraId="5D86CB29">
                  <w:pPr>
                    <w:pStyle w:val="32"/>
                    <w:bidi w:val="0"/>
                    <w:rPr>
                      <w:b/>
                      <w:bCs/>
                    </w:rPr>
                  </w:pPr>
                  <w:r>
                    <w:rPr>
                      <w:rFonts w:hint="eastAsia"/>
                      <w:b/>
                      <w:bCs/>
                    </w:rPr>
                    <w:t>平均</w:t>
                  </w:r>
                </w:p>
                <w:p w14:paraId="03A96779">
                  <w:pPr>
                    <w:pStyle w:val="32"/>
                    <w:bidi w:val="0"/>
                    <w:rPr>
                      <w:b/>
                      <w:bCs/>
                    </w:rPr>
                  </w:pPr>
                  <w:r>
                    <w:rPr>
                      <w:rFonts w:hint="eastAsia"/>
                      <w:b/>
                      <w:bCs/>
                    </w:rPr>
                    <w:t>时间</w:t>
                  </w:r>
                </w:p>
              </w:tc>
              <w:tc>
                <w:tcPr>
                  <w:tcW w:w="678" w:type="pct"/>
                  <w:noWrap/>
                  <w:vAlign w:val="center"/>
                </w:tcPr>
                <w:p w14:paraId="63448151">
                  <w:pPr>
                    <w:pStyle w:val="32"/>
                    <w:bidi w:val="0"/>
                    <w:rPr>
                      <w:b/>
                      <w:bCs/>
                    </w:rPr>
                  </w:pPr>
                  <w:r>
                    <w:rPr>
                      <w:rFonts w:hint="eastAsia"/>
                      <w:b/>
                      <w:bCs/>
                    </w:rPr>
                    <w:t>评价</w:t>
                  </w:r>
                </w:p>
                <w:p w14:paraId="46C18699">
                  <w:pPr>
                    <w:pStyle w:val="32"/>
                    <w:bidi w:val="0"/>
                    <w:rPr>
                      <w:b/>
                      <w:bCs/>
                    </w:rPr>
                  </w:pPr>
                  <w:r>
                    <w:rPr>
                      <w:rFonts w:hint="eastAsia"/>
                      <w:b/>
                      <w:bCs/>
                    </w:rPr>
                    <w:t>标准</w:t>
                  </w:r>
                </w:p>
              </w:tc>
              <w:tc>
                <w:tcPr>
                  <w:tcW w:w="824" w:type="pct"/>
                  <w:noWrap/>
                  <w:vAlign w:val="center"/>
                </w:tcPr>
                <w:p w14:paraId="349BFED4">
                  <w:pPr>
                    <w:pStyle w:val="32"/>
                    <w:bidi w:val="0"/>
                    <w:rPr>
                      <w:b/>
                      <w:bCs/>
                    </w:rPr>
                  </w:pPr>
                  <w:r>
                    <w:rPr>
                      <w:rFonts w:hint="eastAsia"/>
                      <w:b/>
                      <w:bCs/>
                    </w:rPr>
                    <w:t>监测浓度范围</w:t>
                  </w:r>
                  <w:r>
                    <w:rPr>
                      <w:rFonts w:hint="default" w:ascii="Times New Roman" w:hAnsi="Times New Roman" w:cs="Times New Roman"/>
                      <w:b/>
                      <w:bCs/>
                      <w:lang w:val="en-US" w:eastAsia="zh-CN"/>
                    </w:rPr>
                    <w:t>μ</w:t>
                  </w:r>
                  <w:r>
                    <w:rPr>
                      <w:rFonts w:hint="eastAsia"/>
                      <w:b/>
                      <w:bCs/>
                      <w:lang w:val="en-US" w:eastAsia="zh-CN"/>
                    </w:rPr>
                    <w:t>g</w:t>
                  </w:r>
                  <w:r>
                    <w:rPr>
                      <w:b/>
                      <w:bCs/>
                    </w:rPr>
                    <w:t>/m³</w:t>
                  </w:r>
                </w:p>
              </w:tc>
              <w:tc>
                <w:tcPr>
                  <w:tcW w:w="716" w:type="pct"/>
                  <w:noWrap/>
                  <w:vAlign w:val="center"/>
                </w:tcPr>
                <w:p w14:paraId="17769FEC">
                  <w:pPr>
                    <w:pStyle w:val="32"/>
                    <w:bidi w:val="0"/>
                    <w:rPr>
                      <w:b/>
                      <w:bCs/>
                    </w:rPr>
                  </w:pPr>
                  <w:r>
                    <w:rPr>
                      <w:rFonts w:hint="eastAsia"/>
                      <w:b/>
                      <w:bCs/>
                    </w:rPr>
                    <w:t>最大浓度占标率%</w:t>
                  </w:r>
                </w:p>
              </w:tc>
              <w:tc>
                <w:tcPr>
                  <w:tcW w:w="423" w:type="pct"/>
                  <w:noWrap/>
                  <w:vAlign w:val="center"/>
                </w:tcPr>
                <w:p w14:paraId="22B02E74">
                  <w:pPr>
                    <w:pStyle w:val="32"/>
                    <w:bidi w:val="0"/>
                    <w:rPr>
                      <w:b/>
                      <w:bCs/>
                    </w:rPr>
                  </w:pPr>
                  <w:r>
                    <w:rPr>
                      <w:rFonts w:hint="eastAsia"/>
                      <w:b/>
                      <w:bCs/>
                    </w:rPr>
                    <w:t>超标率</w:t>
                  </w:r>
                </w:p>
              </w:tc>
              <w:tc>
                <w:tcPr>
                  <w:tcW w:w="643" w:type="pct"/>
                  <w:noWrap/>
                  <w:vAlign w:val="center"/>
                </w:tcPr>
                <w:p w14:paraId="32A329E7">
                  <w:pPr>
                    <w:pStyle w:val="32"/>
                    <w:bidi w:val="0"/>
                    <w:rPr>
                      <w:b/>
                      <w:bCs/>
                    </w:rPr>
                  </w:pPr>
                  <w:r>
                    <w:rPr>
                      <w:rFonts w:hint="eastAsia"/>
                      <w:b/>
                      <w:bCs/>
                    </w:rPr>
                    <w:t>达标情况</w:t>
                  </w:r>
                </w:p>
              </w:tc>
            </w:tr>
            <w:tr w14:paraId="14D1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629" w:type="pct"/>
                  <w:vMerge w:val="restart"/>
                  <w:noWrap/>
                  <w:vAlign w:val="center"/>
                </w:tcPr>
                <w:p w14:paraId="7B7400B3">
                  <w:pPr>
                    <w:pStyle w:val="32"/>
                    <w:bidi w:val="0"/>
                    <w:rPr>
                      <w:rFonts w:hint="eastAsia" w:eastAsia="宋体"/>
                      <w:lang w:eastAsia="zh-CN"/>
                    </w:rPr>
                  </w:pPr>
                  <w:r>
                    <w:rPr>
                      <w:rFonts w:hint="eastAsia"/>
                      <w:lang w:val="en-US" w:eastAsia="zh-CN"/>
                    </w:rPr>
                    <w:t>氨</w:t>
                  </w:r>
                </w:p>
              </w:tc>
              <w:tc>
                <w:tcPr>
                  <w:tcW w:w="674" w:type="pct"/>
                  <w:noWrap/>
                  <w:vAlign w:val="center"/>
                </w:tcPr>
                <w:p w14:paraId="1A4F1FA8">
                  <w:pPr>
                    <w:pStyle w:val="32"/>
                    <w:bidi w:val="0"/>
                    <w:rPr>
                      <w:rFonts w:hint="default"/>
                      <w:lang w:val="en-US" w:eastAsia="zh-CN"/>
                    </w:rPr>
                  </w:pPr>
                  <w:r>
                    <w:rPr>
                      <w:rFonts w:hint="eastAsia"/>
                      <w:lang w:val="en-US" w:eastAsia="zh-CN"/>
                    </w:rPr>
                    <w:t>G4四十店村</w:t>
                  </w:r>
                </w:p>
              </w:tc>
              <w:tc>
                <w:tcPr>
                  <w:tcW w:w="409" w:type="pct"/>
                  <w:vMerge w:val="restart"/>
                  <w:noWrap/>
                  <w:vAlign w:val="center"/>
                </w:tcPr>
                <w:p w14:paraId="0DE6DA4D">
                  <w:pPr>
                    <w:pStyle w:val="32"/>
                    <w:bidi w:val="0"/>
                  </w:pPr>
                  <w:r>
                    <w:rPr>
                      <w:rFonts w:hint="eastAsia"/>
                    </w:rPr>
                    <w:t>小时</w:t>
                  </w:r>
                </w:p>
                <w:p w14:paraId="0294DEC5">
                  <w:pPr>
                    <w:pStyle w:val="32"/>
                    <w:bidi w:val="0"/>
                  </w:pPr>
                  <w:r>
                    <w:rPr>
                      <w:rFonts w:hint="eastAsia"/>
                    </w:rPr>
                    <w:t>平均</w:t>
                  </w:r>
                </w:p>
              </w:tc>
              <w:tc>
                <w:tcPr>
                  <w:tcW w:w="678" w:type="pct"/>
                  <w:vMerge w:val="restart"/>
                  <w:noWrap/>
                  <w:vAlign w:val="center"/>
                </w:tcPr>
                <w:p w14:paraId="7F25950A">
                  <w:pPr>
                    <w:pStyle w:val="32"/>
                    <w:bidi w:val="0"/>
                  </w:pPr>
                  <w:r>
                    <w:rPr>
                      <w:rFonts w:hint="eastAsia"/>
                      <w:lang w:val="en-US" w:eastAsia="zh-CN"/>
                    </w:rPr>
                    <w:t>200</w:t>
                  </w:r>
                  <w:r>
                    <w:rPr>
                      <w:rFonts w:hint="default" w:ascii="Times New Roman" w:hAnsi="Times New Roman" w:cs="Times New Roman"/>
                      <w:lang w:val="en-US" w:eastAsia="zh-CN"/>
                    </w:rPr>
                    <w:t>μ</w:t>
                  </w:r>
                  <w:r>
                    <w:rPr>
                      <w:rFonts w:hint="eastAsia"/>
                      <w:lang w:val="en-US" w:eastAsia="zh-CN"/>
                    </w:rPr>
                    <w:t>g/m³</w:t>
                  </w:r>
                </w:p>
              </w:tc>
              <w:tc>
                <w:tcPr>
                  <w:tcW w:w="824" w:type="pct"/>
                  <w:noWrap/>
                  <w:vAlign w:val="center"/>
                </w:tcPr>
                <w:p w14:paraId="70F89B4E">
                  <w:pPr>
                    <w:pStyle w:val="32"/>
                    <w:bidi w:val="0"/>
                    <w:rPr>
                      <w:rFonts w:hint="default"/>
                      <w:lang w:val="en-US" w:eastAsia="zh-CN"/>
                    </w:rPr>
                  </w:pPr>
                  <w:r>
                    <w:rPr>
                      <w:rFonts w:hint="eastAsia"/>
                      <w:lang w:val="en-US" w:eastAsia="zh-CN"/>
                    </w:rPr>
                    <w:t>5</w:t>
                  </w:r>
                </w:p>
              </w:tc>
              <w:tc>
                <w:tcPr>
                  <w:tcW w:w="716" w:type="pct"/>
                  <w:noWrap/>
                  <w:vAlign w:val="center"/>
                </w:tcPr>
                <w:p w14:paraId="48FB0CB9">
                  <w:pPr>
                    <w:pStyle w:val="32"/>
                    <w:bidi w:val="0"/>
                    <w:rPr>
                      <w:rFonts w:hint="default"/>
                      <w:lang w:val="en-US" w:eastAsia="zh-CN"/>
                    </w:rPr>
                  </w:pPr>
                  <w:r>
                    <w:rPr>
                      <w:rFonts w:hint="eastAsia"/>
                      <w:lang w:val="en-US" w:eastAsia="zh-CN"/>
                    </w:rPr>
                    <w:t>2.5</w:t>
                  </w:r>
                </w:p>
              </w:tc>
              <w:tc>
                <w:tcPr>
                  <w:tcW w:w="423" w:type="pct"/>
                  <w:noWrap/>
                  <w:vAlign w:val="center"/>
                </w:tcPr>
                <w:p w14:paraId="78904908">
                  <w:pPr>
                    <w:pStyle w:val="32"/>
                    <w:bidi w:val="0"/>
                  </w:pPr>
                  <w:r>
                    <w:rPr>
                      <w:rFonts w:hint="eastAsia"/>
                    </w:rPr>
                    <w:t>0</w:t>
                  </w:r>
                </w:p>
              </w:tc>
              <w:tc>
                <w:tcPr>
                  <w:tcW w:w="643" w:type="pct"/>
                  <w:noWrap/>
                  <w:vAlign w:val="center"/>
                </w:tcPr>
                <w:p w14:paraId="76DDA88A">
                  <w:pPr>
                    <w:pStyle w:val="32"/>
                    <w:bidi w:val="0"/>
                  </w:pPr>
                  <w:r>
                    <w:rPr>
                      <w:rFonts w:hint="eastAsia"/>
                    </w:rPr>
                    <w:t>达标</w:t>
                  </w:r>
                </w:p>
              </w:tc>
            </w:tr>
            <w:tr w14:paraId="08C0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629" w:type="pct"/>
                  <w:vMerge w:val="continue"/>
                  <w:noWrap/>
                  <w:vAlign w:val="center"/>
                </w:tcPr>
                <w:p w14:paraId="152512B3">
                  <w:pPr>
                    <w:pStyle w:val="32"/>
                    <w:bidi w:val="0"/>
                  </w:pPr>
                </w:p>
              </w:tc>
              <w:tc>
                <w:tcPr>
                  <w:tcW w:w="674" w:type="pct"/>
                  <w:noWrap/>
                  <w:vAlign w:val="center"/>
                </w:tcPr>
                <w:p w14:paraId="25B4A6FD">
                  <w:pPr>
                    <w:pStyle w:val="32"/>
                    <w:bidi w:val="0"/>
                    <w:rPr>
                      <w:rFonts w:hint="default" w:eastAsia="宋体"/>
                      <w:lang w:val="en-US" w:eastAsia="zh-CN"/>
                    </w:rPr>
                  </w:pPr>
                  <w:r>
                    <w:rPr>
                      <w:rFonts w:hint="eastAsia"/>
                      <w:lang w:val="en-US" w:eastAsia="zh-CN"/>
                    </w:rPr>
                    <w:t>G5淮南卫校新校区</w:t>
                  </w:r>
                </w:p>
              </w:tc>
              <w:tc>
                <w:tcPr>
                  <w:tcW w:w="409" w:type="pct"/>
                  <w:vMerge w:val="continue"/>
                  <w:noWrap/>
                  <w:vAlign w:val="center"/>
                </w:tcPr>
                <w:p w14:paraId="7D414FDA">
                  <w:pPr>
                    <w:pStyle w:val="32"/>
                    <w:bidi w:val="0"/>
                    <w:rPr>
                      <w:rFonts w:hint="eastAsia"/>
                    </w:rPr>
                  </w:pPr>
                </w:p>
              </w:tc>
              <w:tc>
                <w:tcPr>
                  <w:tcW w:w="678" w:type="pct"/>
                  <w:vMerge w:val="continue"/>
                  <w:noWrap/>
                  <w:vAlign w:val="center"/>
                </w:tcPr>
                <w:p w14:paraId="76EAB6CA">
                  <w:pPr>
                    <w:pStyle w:val="32"/>
                    <w:bidi w:val="0"/>
                    <w:rPr>
                      <w:rFonts w:hint="eastAsia"/>
                    </w:rPr>
                  </w:pPr>
                </w:p>
              </w:tc>
              <w:tc>
                <w:tcPr>
                  <w:tcW w:w="824" w:type="pct"/>
                  <w:noWrap/>
                  <w:vAlign w:val="center"/>
                </w:tcPr>
                <w:p w14:paraId="625612F2">
                  <w:pPr>
                    <w:pStyle w:val="32"/>
                    <w:bidi w:val="0"/>
                    <w:rPr>
                      <w:rFonts w:hint="default"/>
                      <w:lang w:val="en-US" w:eastAsia="zh-CN"/>
                    </w:rPr>
                  </w:pPr>
                  <w:r>
                    <w:rPr>
                      <w:rFonts w:hint="eastAsia"/>
                      <w:lang w:val="en-US" w:eastAsia="zh-CN"/>
                    </w:rPr>
                    <w:t>5</w:t>
                  </w:r>
                </w:p>
              </w:tc>
              <w:tc>
                <w:tcPr>
                  <w:tcW w:w="716" w:type="pct"/>
                  <w:noWrap/>
                  <w:vAlign w:val="center"/>
                </w:tcPr>
                <w:p w14:paraId="3BE27F86">
                  <w:pPr>
                    <w:pStyle w:val="32"/>
                    <w:bidi w:val="0"/>
                    <w:rPr>
                      <w:rFonts w:hint="default"/>
                      <w:lang w:val="en-US" w:eastAsia="zh-CN"/>
                    </w:rPr>
                  </w:pPr>
                  <w:r>
                    <w:rPr>
                      <w:rFonts w:hint="eastAsia"/>
                      <w:lang w:val="en-US" w:eastAsia="zh-CN"/>
                    </w:rPr>
                    <w:t>2.5</w:t>
                  </w:r>
                </w:p>
              </w:tc>
              <w:tc>
                <w:tcPr>
                  <w:tcW w:w="423" w:type="pct"/>
                  <w:noWrap/>
                  <w:vAlign w:val="center"/>
                </w:tcPr>
                <w:p w14:paraId="6D37FBA2">
                  <w:pPr>
                    <w:pStyle w:val="32"/>
                    <w:bidi w:val="0"/>
                    <w:rPr>
                      <w:rFonts w:hint="eastAsia"/>
                      <w:lang w:val="en-US" w:eastAsia="zh-CN"/>
                    </w:rPr>
                  </w:pPr>
                  <w:r>
                    <w:rPr>
                      <w:rFonts w:hint="eastAsia"/>
                      <w:lang w:val="en-US" w:eastAsia="zh-CN"/>
                    </w:rPr>
                    <w:t>0</w:t>
                  </w:r>
                </w:p>
              </w:tc>
              <w:tc>
                <w:tcPr>
                  <w:tcW w:w="643" w:type="pct"/>
                  <w:noWrap/>
                  <w:vAlign w:val="center"/>
                </w:tcPr>
                <w:p w14:paraId="12D9E642">
                  <w:pPr>
                    <w:pStyle w:val="32"/>
                    <w:bidi w:val="0"/>
                    <w:rPr>
                      <w:rFonts w:hint="eastAsia"/>
                    </w:rPr>
                  </w:pPr>
                  <w:r>
                    <w:rPr>
                      <w:rFonts w:hint="eastAsia"/>
                    </w:rPr>
                    <w:t>达标</w:t>
                  </w:r>
                </w:p>
              </w:tc>
            </w:tr>
            <w:tr w14:paraId="30B8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629" w:type="pct"/>
                  <w:vMerge w:val="restart"/>
                  <w:noWrap/>
                  <w:vAlign w:val="center"/>
                </w:tcPr>
                <w:p w14:paraId="67007674">
                  <w:pPr>
                    <w:pStyle w:val="32"/>
                    <w:bidi w:val="0"/>
                    <w:rPr>
                      <w:rFonts w:hint="default"/>
                      <w:lang w:val="en-US" w:eastAsia="zh-CN"/>
                    </w:rPr>
                  </w:pPr>
                  <w:r>
                    <w:rPr>
                      <w:rFonts w:hint="eastAsia"/>
                      <w:lang w:val="en-US" w:eastAsia="zh-CN"/>
                    </w:rPr>
                    <w:t>硫化氢</w:t>
                  </w:r>
                </w:p>
              </w:tc>
              <w:tc>
                <w:tcPr>
                  <w:tcW w:w="674" w:type="pct"/>
                  <w:shd w:val="clear" w:color="auto" w:fill="auto"/>
                  <w:noWrap/>
                  <w:vAlign w:val="center"/>
                </w:tcPr>
                <w:p w14:paraId="78EFD4B4">
                  <w:pPr>
                    <w:pStyle w:val="32"/>
                    <w:bidi w:val="0"/>
                    <w:ind w:firstLine="0" w:firstLineChars="0"/>
                    <w:rPr>
                      <w:rFonts w:hint="eastAsia"/>
                      <w:lang w:val="en-US" w:eastAsia="zh-CN"/>
                    </w:rPr>
                  </w:pPr>
                  <w:r>
                    <w:rPr>
                      <w:rFonts w:hint="eastAsia"/>
                      <w:lang w:val="en-US" w:eastAsia="zh-CN"/>
                    </w:rPr>
                    <w:t>G4四十店村</w:t>
                  </w:r>
                </w:p>
              </w:tc>
              <w:tc>
                <w:tcPr>
                  <w:tcW w:w="409" w:type="pct"/>
                  <w:vMerge w:val="restart"/>
                  <w:noWrap/>
                  <w:vAlign w:val="center"/>
                </w:tcPr>
                <w:p w14:paraId="00DEAB6F">
                  <w:pPr>
                    <w:pStyle w:val="32"/>
                    <w:bidi w:val="0"/>
                  </w:pPr>
                  <w:r>
                    <w:rPr>
                      <w:rFonts w:hint="eastAsia"/>
                    </w:rPr>
                    <w:t>小时</w:t>
                  </w:r>
                </w:p>
                <w:p w14:paraId="77D5744B">
                  <w:pPr>
                    <w:pStyle w:val="32"/>
                    <w:bidi w:val="0"/>
                    <w:rPr>
                      <w:rFonts w:hint="default"/>
                      <w:lang w:val="en-US" w:eastAsia="zh-CN"/>
                    </w:rPr>
                  </w:pPr>
                  <w:r>
                    <w:rPr>
                      <w:rFonts w:hint="eastAsia"/>
                    </w:rPr>
                    <w:t>平均</w:t>
                  </w:r>
                </w:p>
              </w:tc>
              <w:tc>
                <w:tcPr>
                  <w:tcW w:w="678" w:type="pct"/>
                  <w:vMerge w:val="restart"/>
                  <w:noWrap/>
                  <w:vAlign w:val="center"/>
                </w:tcPr>
                <w:p w14:paraId="3D0FA83D">
                  <w:pPr>
                    <w:pStyle w:val="32"/>
                    <w:bidi w:val="0"/>
                    <w:rPr>
                      <w:rFonts w:hint="default"/>
                      <w:lang w:val="en-US" w:eastAsia="zh-CN"/>
                    </w:rPr>
                  </w:pPr>
                  <w:r>
                    <w:rPr>
                      <w:rFonts w:hint="eastAsia"/>
                      <w:lang w:val="en-US" w:eastAsia="zh-CN"/>
                    </w:rPr>
                    <w:t>10</w:t>
                  </w:r>
                  <w:r>
                    <w:rPr>
                      <w:rFonts w:hint="default" w:ascii="Times New Roman" w:hAnsi="Times New Roman" w:cs="Times New Roman"/>
                      <w:lang w:val="en-US" w:eastAsia="zh-CN"/>
                    </w:rPr>
                    <w:t>μ</w:t>
                  </w:r>
                  <w:r>
                    <w:rPr>
                      <w:rFonts w:hint="eastAsia"/>
                      <w:lang w:val="en-US" w:eastAsia="zh-CN"/>
                    </w:rPr>
                    <w:t>g/m³</w:t>
                  </w:r>
                </w:p>
              </w:tc>
              <w:tc>
                <w:tcPr>
                  <w:tcW w:w="824" w:type="pct"/>
                  <w:noWrap/>
                  <w:vAlign w:val="center"/>
                </w:tcPr>
                <w:p w14:paraId="7AD17DEC">
                  <w:pPr>
                    <w:pStyle w:val="32"/>
                    <w:bidi w:val="0"/>
                    <w:rPr>
                      <w:rFonts w:hint="default"/>
                      <w:lang w:val="en-US" w:eastAsia="zh-CN"/>
                    </w:rPr>
                  </w:pPr>
                  <w:r>
                    <w:rPr>
                      <w:rFonts w:hint="eastAsia"/>
                      <w:lang w:val="en-US" w:eastAsia="zh-CN"/>
                    </w:rPr>
                    <w:t>0.5</w:t>
                  </w:r>
                </w:p>
              </w:tc>
              <w:tc>
                <w:tcPr>
                  <w:tcW w:w="716" w:type="pct"/>
                  <w:noWrap/>
                  <w:vAlign w:val="center"/>
                </w:tcPr>
                <w:p w14:paraId="33DDD3E5">
                  <w:pPr>
                    <w:pStyle w:val="32"/>
                    <w:bidi w:val="0"/>
                    <w:rPr>
                      <w:rFonts w:hint="default"/>
                      <w:lang w:val="en-US" w:eastAsia="zh-CN"/>
                    </w:rPr>
                  </w:pPr>
                  <w:r>
                    <w:rPr>
                      <w:rFonts w:hint="eastAsia"/>
                      <w:lang w:val="en-US" w:eastAsia="zh-CN"/>
                    </w:rPr>
                    <w:t>5.0</w:t>
                  </w:r>
                </w:p>
              </w:tc>
              <w:tc>
                <w:tcPr>
                  <w:tcW w:w="423" w:type="pct"/>
                  <w:shd w:val="clear" w:color="auto" w:fill="auto"/>
                  <w:noWrap/>
                  <w:vAlign w:val="center"/>
                </w:tcPr>
                <w:p w14:paraId="42258735">
                  <w:pPr>
                    <w:pStyle w:val="32"/>
                    <w:bidi w:val="0"/>
                    <w:rPr>
                      <w:rFonts w:hint="eastAsia"/>
                      <w:lang w:val="en-US" w:eastAsia="zh-CN"/>
                    </w:rPr>
                  </w:pPr>
                  <w:r>
                    <w:rPr>
                      <w:rFonts w:hint="eastAsia"/>
                    </w:rPr>
                    <w:t>0</w:t>
                  </w:r>
                </w:p>
              </w:tc>
              <w:tc>
                <w:tcPr>
                  <w:tcW w:w="643" w:type="pct"/>
                  <w:shd w:val="clear" w:color="auto" w:fill="auto"/>
                  <w:noWrap/>
                  <w:vAlign w:val="center"/>
                </w:tcPr>
                <w:p w14:paraId="670C7ECD">
                  <w:pPr>
                    <w:pStyle w:val="32"/>
                    <w:bidi w:val="0"/>
                    <w:rPr>
                      <w:rFonts w:hint="eastAsia"/>
                      <w:lang w:val="en-US" w:eastAsia="zh-CN"/>
                    </w:rPr>
                  </w:pPr>
                  <w:r>
                    <w:rPr>
                      <w:rFonts w:hint="eastAsia"/>
                    </w:rPr>
                    <w:t>达标</w:t>
                  </w:r>
                </w:p>
              </w:tc>
            </w:tr>
            <w:tr w14:paraId="7E50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629" w:type="pct"/>
                  <w:vMerge w:val="continue"/>
                  <w:noWrap/>
                  <w:vAlign w:val="center"/>
                </w:tcPr>
                <w:p w14:paraId="2774B5B2">
                  <w:pPr>
                    <w:pStyle w:val="32"/>
                    <w:bidi w:val="0"/>
                  </w:pPr>
                </w:p>
              </w:tc>
              <w:tc>
                <w:tcPr>
                  <w:tcW w:w="674" w:type="pct"/>
                  <w:shd w:val="clear" w:color="auto" w:fill="auto"/>
                  <w:noWrap/>
                  <w:vAlign w:val="center"/>
                </w:tcPr>
                <w:p w14:paraId="116CCC1E">
                  <w:pPr>
                    <w:pStyle w:val="32"/>
                    <w:bidi w:val="0"/>
                    <w:ind w:firstLine="0" w:firstLineChars="0"/>
                    <w:rPr>
                      <w:rFonts w:hint="eastAsia"/>
                      <w:lang w:val="en-US" w:eastAsia="zh-CN"/>
                    </w:rPr>
                  </w:pPr>
                  <w:r>
                    <w:rPr>
                      <w:rFonts w:hint="eastAsia"/>
                      <w:lang w:val="en-US" w:eastAsia="zh-CN"/>
                    </w:rPr>
                    <w:t>G5淮南卫校新校区</w:t>
                  </w:r>
                </w:p>
              </w:tc>
              <w:tc>
                <w:tcPr>
                  <w:tcW w:w="409" w:type="pct"/>
                  <w:vMerge w:val="continue"/>
                  <w:noWrap/>
                  <w:vAlign w:val="center"/>
                </w:tcPr>
                <w:p w14:paraId="7F1AEFE0">
                  <w:pPr>
                    <w:pStyle w:val="32"/>
                    <w:bidi w:val="0"/>
                    <w:rPr>
                      <w:rFonts w:hint="eastAsia"/>
                    </w:rPr>
                  </w:pPr>
                </w:p>
              </w:tc>
              <w:tc>
                <w:tcPr>
                  <w:tcW w:w="678" w:type="pct"/>
                  <w:vMerge w:val="continue"/>
                  <w:noWrap/>
                  <w:vAlign w:val="center"/>
                </w:tcPr>
                <w:p w14:paraId="52EC1CF0">
                  <w:pPr>
                    <w:pStyle w:val="32"/>
                    <w:bidi w:val="0"/>
                    <w:rPr>
                      <w:rFonts w:hint="eastAsia"/>
                    </w:rPr>
                  </w:pPr>
                </w:p>
              </w:tc>
              <w:tc>
                <w:tcPr>
                  <w:tcW w:w="824" w:type="pct"/>
                  <w:noWrap/>
                  <w:vAlign w:val="center"/>
                </w:tcPr>
                <w:p w14:paraId="54AF0ED4">
                  <w:pPr>
                    <w:pStyle w:val="32"/>
                    <w:bidi w:val="0"/>
                    <w:rPr>
                      <w:rFonts w:hint="default"/>
                      <w:lang w:val="en-US" w:eastAsia="zh-CN"/>
                    </w:rPr>
                  </w:pPr>
                  <w:r>
                    <w:rPr>
                      <w:rFonts w:hint="eastAsia"/>
                      <w:lang w:val="en-US" w:eastAsia="zh-CN"/>
                    </w:rPr>
                    <w:t>0.5</w:t>
                  </w:r>
                </w:p>
              </w:tc>
              <w:tc>
                <w:tcPr>
                  <w:tcW w:w="716" w:type="pct"/>
                  <w:noWrap/>
                  <w:vAlign w:val="center"/>
                </w:tcPr>
                <w:p w14:paraId="749261EF">
                  <w:pPr>
                    <w:pStyle w:val="32"/>
                    <w:bidi w:val="0"/>
                    <w:rPr>
                      <w:rFonts w:hint="default"/>
                      <w:lang w:val="en-US" w:eastAsia="zh-CN"/>
                    </w:rPr>
                  </w:pPr>
                  <w:r>
                    <w:rPr>
                      <w:rFonts w:hint="eastAsia"/>
                      <w:lang w:val="en-US" w:eastAsia="zh-CN"/>
                    </w:rPr>
                    <w:t>5.0</w:t>
                  </w:r>
                </w:p>
              </w:tc>
              <w:tc>
                <w:tcPr>
                  <w:tcW w:w="423" w:type="pct"/>
                  <w:shd w:val="clear" w:color="auto" w:fill="auto"/>
                  <w:noWrap/>
                  <w:vAlign w:val="center"/>
                </w:tcPr>
                <w:p w14:paraId="535BDCCB">
                  <w:pPr>
                    <w:pStyle w:val="32"/>
                    <w:bidi w:val="0"/>
                    <w:rPr>
                      <w:rFonts w:hint="eastAsia"/>
                      <w:lang w:val="en-US" w:eastAsia="zh-CN"/>
                    </w:rPr>
                  </w:pPr>
                  <w:r>
                    <w:rPr>
                      <w:rFonts w:hint="eastAsia"/>
                      <w:lang w:val="en-US" w:eastAsia="zh-CN"/>
                    </w:rPr>
                    <w:t>0</w:t>
                  </w:r>
                </w:p>
              </w:tc>
              <w:tc>
                <w:tcPr>
                  <w:tcW w:w="643" w:type="pct"/>
                  <w:shd w:val="clear" w:color="auto" w:fill="auto"/>
                  <w:noWrap/>
                  <w:vAlign w:val="center"/>
                </w:tcPr>
                <w:p w14:paraId="56B58D2F">
                  <w:pPr>
                    <w:pStyle w:val="32"/>
                    <w:bidi w:val="0"/>
                    <w:rPr>
                      <w:rFonts w:hint="eastAsia"/>
                      <w:lang w:val="en-US" w:eastAsia="zh-CN"/>
                    </w:rPr>
                  </w:pPr>
                  <w:r>
                    <w:rPr>
                      <w:rFonts w:hint="eastAsia"/>
                    </w:rPr>
                    <w:t>达标</w:t>
                  </w:r>
                </w:p>
              </w:tc>
            </w:tr>
          </w:tbl>
          <w:p w14:paraId="3A9DF730">
            <w:pPr>
              <w:ind w:firstLine="0" w:firstLineChars="0"/>
              <w:jc w:val="center"/>
              <w:rPr>
                <w:rFonts w:hint="eastAsia" w:eastAsia="宋体"/>
                <w:color w:val="auto"/>
                <w:lang w:eastAsia="zh-CN"/>
              </w:rPr>
            </w:pPr>
            <w:r>
              <w:rPr>
                <w:rFonts w:hAnsi="宋体"/>
                <w:b/>
                <w:bCs/>
                <w:color w:val="auto"/>
              </w:rPr>
              <w:drawing>
                <wp:anchor distT="0" distB="0" distL="114300" distR="114300" simplePos="0" relativeHeight="251660288" behindDoc="0" locked="0" layoutInCell="1" allowOverlap="1">
                  <wp:simplePos x="0" y="0"/>
                  <wp:positionH relativeFrom="column">
                    <wp:posOffset>4590415</wp:posOffset>
                  </wp:positionH>
                  <wp:positionV relativeFrom="paragraph">
                    <wp:posOffset>64770</wp:posOffset>
                  </wp:positionV>
                  <wp:extent cx="685165" cy="584835"/>
                  <wp:effectExtent l="9525" t="9525" r="10160" b="15240"/>
                  <wp:wrapNone/>
                  <wp:docPr id="41"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67"/>
                          <pic:cNvPicPr>
                            <a:picLocks noChangeAspect="1"/>
                          </pic:cNvPicPr>
                        </pic:nvPicPr>
                        <pic:blipFill>
                          <a:blip r:embed="rId24"/>
                          <a:stretch>
                            <a:fillRect/>
                          </a:stretch>
                        </pic:blipFill>
                        <pic:spPr>
                          <a:xfrm>
                            <a:off x="0" y="0"/>
                            <a:ext cx="685165" cy="584835"/>
                          </a:xfrm>
                          <a:prstGeom prst="rect">
                            <a:avLst/>
                          </a:prstGeom>
                          <a:noFill/>
                          <a:ln w="9525" cap="flat" cmpd="sng">
                            <a:solidFill>
                              <a:srgbClr val="000000"/>
                            </a:solidFill>
                            <a:prstDash val="solid"/>
                            <a:miter/>
                            <a:headEnd type="none" w="med" len="med"/>
                            <a:tailEnd type="none" w="med" len="med"/>
                          </a:ln>
                        </pic:spPr>
                      </pic:pic>
                    </a:graphicData>
                  </a:graphic>
                </wp:anchor>
              </w:drawing>
            </w:r>
            <w:r>
              <w:rPr>
                <w:color w:val="auto"/>
              </w:rPr>
              <mc:AlternateContent>
                <mc:Choice Requires="wps">
                  <w:drawing>
                    <wp:anchor distT="0" distB="0" distL="114300" distR="114300" simplePos="0" relativeHeight="251661312" behindDoc="0" locked="0" layoutInCell="1" allowOverlap="1">
                      <wp:simplePos x="0" y="0"/>
                      <wp:positionH relativeFrom="column">
                        <wp:posOffset>2412365</wp:posOffset>
                      </wp:positionH>
                      <wp:positionV relativeFrom="paragraph">
                        <wp:posOffset>3268980</wp:posOffset>
                      </wp:positionV>
                      <wp:extent cx="581025" cy="314325"/>
                      <wp:effectExtent l="0" t="0" r="0" b="0"/>
                      <wp:wrapNone/>
                      <wp:docPr id="39" name="文本框 3"/>
                      <wp:cNvGraphicFramePr/>
                      <a:graphic xmlns:a="http://schemas.openxmlformats.org/drawingml/2006/main">
                        <a:graphicData uri="http://schemas.microsoft.com/office/word/2010/wordprocessingShape">
                          <wps:wsp>
                            <wps:cNvSpPr txBox="1"/>
                            <wps:spPr>
                              <a:xfrm>
                                <a:off x="0" y="0"/>
                                <a:ext cx="581025" cy="314325"/>
                              </a:xfrm>
                              <a:prstGeom prst="rect">
                                <a:avLst/>
                              </a:prstGeom>
                              <a:noFill/>
                              <a:ln>
                                <a:noFill/>
                              </a:ln>
                              <a:effectLst/>
                            </wps:spPr>
                            <wps:txbx>
                              <w:txbxContent>
                                <w:p w14:paraId="3129203C">
                                  <w:pPr>
                                    <w:spacing w:line="240" w:lineRule="auto"/>
                                    <w:ind w:firstLine="0" w:firstLineChars="0"/>
                                    <w:rPr>
                                      <w:rFonts w:hint="default" w:eastAsia="宋体"/>
                                      <w:sz w:val="20"/>
                                      <w:szCs w:val="20"/>
                                      <w:highlight w:val="yellow"/>
                                      <w:lang w:val="en-US" w:eastAsia="zh-CN"/>
                                    </w:rPr>
                                  </w:pPr>
                                  <w:r>
                                    <w:rPr>
                                      <w:rFonts w:hint="eastAsia"/>
                                      <w:sz w:val="20"/>
                                      <w:szCs w:val="20"/>
                                      <w:highlight w:val="yellow"/>
                                      <w:lang w:val="en-US" w:eastAsia="zh-CN"/>
                                    </w:rPr>
                                    <w:t>G4</w:t>
                                  </w:r>
                                </w:p>
                              </w:txbxContent>
                            </wps:txbx>
                            <wps:bodyPr upright="1"/>
                          </wps:wsp>
                        </a:graphicData>
                      </a:graphic>
                    </wp:anchor>
                  </w:drawing>
                </mc:Choice>
                <mc:Fallback>
                  <w:pict>
                    <v:shape id="文本框 3" o:spid="_x0000_s1026" o:spt="202" type="#_x0000_t202" style="position:absolute;left:0pt;margin-left:189.95pt;margin-top:257.4pt;height:24.75pt;width:45.75pt;z-index:251661312;mso-width-relative:page;mso-height-relative:page;" filled="f" stroked="f" coordsize="21600,21600" o:gfxdata="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CCdj2AAAAAsBAAAPAAAAAAAAAAEAIAAAACIAAABkcnMvZG93bnJldi54bWxQSwECFAAUAAAACACH&#10;TuJAwzexurIBAABcAwAADgAAAAAAAAABACAAAAAnAQAAZHJzL2Uyb0RvYy54bWxQSwUGAAAAAAYA&#10;BgBZAQAASwUAAAAA&#10;">
                      <v:fill on="f" focussize="0,0"/>
                      <v:stroke on="f"/>
                      <v:imagedata o:title=""/>
                      <o:lock v:ext="edit" aspectratio="f"/>
                      <v:textbox>
                        <w:txbxContent>
                          <w:p w14:paraId="3129203C">
                            <w:pPr>
                              <w:spacing w:line="240" w:lineRule="auto"/>
                              <w:ind w:firstLine="0" w:firstLineChars="0"/>
                              <w:rPr>
                                <w:rFonts w:hint="default" w:eastAsia="宋体"/>
                                <w:sz w:val="20"/>
                                <w:szCs w:val="20"/>
                                <w:highlight w:val="yellow"/>
                                <w:lang w:val="en-US" w:eastAsia="zh-CN"/>
                              </w:rPr>
                            </w:pPr>
                            <w:r>
                              <w:rPr>
                                <w:rFonts w:hint="eastAsia"/>
                                <w:sz w:val="20"/>
                                <w:szCs w:val="20"/>
                                <w:highlight w:val="yellow"/>
                                <w:lang w:val="en-US" w:eastAsia="zh-CN"/>
                              </w:rPr>
                              <w:t>G4</w:t>
                            </w:r>
                          </w:p>
                        </w:txbxContent>
                      </v:textbox>
                    </v:shape>
                  </w:pict>
                </mc:Fallback>
              </mc:AlternateContent>
            </w:r>
            <w:r>
              <w:rPr>
                <w:color w:val="auto"/>
              </w:rPr>
              <mc:AlternateContent>
                <mc:Choice Requires="wps">
                  <w:drawing>
                    <wp:anchor distT="0" distB="0" distL="114300" distR="114300" simplePos="0" relativeHeight="251659264" behindDoc="0" locked="0" layoutInCell="1" allowOverlap="1">
                      <wp:simplePos x="0" y="0"/>
                      <wp:positionH relativeFrom="column">
                        <wp:posOffset>1631315</wp:posOffset>
                      </wp:positionH>
                      <wp:positionV relativeFrom="paragraph">
                        <wp:posOffset>3011805</wp:posOffset>
                      </wp:positionV>
                      <wp:extent cx="581025" cy="314325"/>
                      <wp:effectExtent l="0" t="0" r="0" b="0"/>
                      <wp:wrapNone/>
                      <wp:docPr id="34" name="文本框 3"/>
                      <wp:cNvGraphicFramePr/>
                      <a:graphic xmlns:a="http://schemas.openxmlformats.org/drawingml/2006/main">
                        <a:graphicData uri="http://schemas.microsoft.com/office/word/2010/wordprocessingShape">
                          <wps:wsp>
                            <wps:cNvSpPr txBox="1"/>
                            <wps:spPr>
                              <a:xfrm>
                                <a:off x="0" y="0"/>
                                <a:ext cx="581025" cy="314325"/>
                              </a:xfrm>
                              <a:prstGeom prst="rect">
                                <a:avLst/>
                              </a:prstGeom>
                              <a:noFill/>
                              <a:ln>
                                <a:noFill/>
                              </a:ln>
                              <a:effectLst/>
                            </wps:spPr>
                            <wps:txbx>
                              <w:txbxContent>
                                <w:p w14:paraId="3B97D419">
                                  <w:pPr>
                                    <w:spacing w:line="240" w:lineRule="auto"/>
                                    <w:ind w:firstLine="0" w:firstLineChars="0"/>
                                    <w:rPr>
                                      <w:rFonts w:hint="default" w:eastAsia="宋体"/>
                                      <w:sz w:val="20"/>
                                      <w:szCs w:val="20"/>
                                      <w:highlight w:val="yellow"/>
                                      <w:lang w:val="en-US" w:eastAsia="zh-CN"/>
                                    </w:rPr>
                                  </w:pPr>
                                  <w:r>
                                    <w:rPr>
                                      <w:rFonts w:hint="eastAsia"/>
                                      <w:sz w:val="20"/>
                                      <w:szCs w:val="20"/>
                                      <w:highlight w:val="yellow"/>
                                      <w:lang w:val="en-US" w:eastAsia="zh-CN"/>
                                    </w:rPr>
                                    <w:t>G5</w:t>
                                  </w:r>
                                </w:p>
                              </w:txbxContent>
                            </wps:txbx>
                            <wps:bodyPr upright="1"/>
                          </wps:wsp>
                        </a:graphicData>
                      </a:graphic>
                    </wp:anchor>
                  </w:drawing>
                </mc:Choice>
                <mc:Fallback>
                  <w:pict>
                    <v:shape id="文本框 3" o:spid="_x0000_s1026" o:spt="202" type="#_x0000_t202" style="position:absolute;left:0pt;margin-left:128.45pt;margin-top:237.15pt;height:24.75pt;width:45.75pt;z-index:251659264;mso-width-relative:page;mso-height-relative:page;" filled="f" stroked="f" coordsize="21600,21600" o:gfxdata="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2&#10;OmsC2QAAAAsBAAAPAAAAAAAAAAEAIAAAACIAAABkcnMvZG93bnJldi54bWxQSwECFAAUAAAACACH&#10;TuJAHN6dVbEBAABcAwAADgAAAAAAAAABACAAAAAoAQAAZHJzL2Uyb0RvYy54bWxQSwUGAAAAAAYA&#10;BgBZAQAASwUAAAAA&#10;">
                      <v:fill on="f" focussize="0,0"/>
                      <v:stroke on="f"/>
                      <v:imagedata o:title=""/>
                      <o:lock v:ext="edit" aspectratio="f"/>
                      <v:textbox>
                        <w:txbxContent>
                          <w:p w14:paraId="3B97D419">
                            <w:pPr>
                              <w:spacing w:line="240" w:lineRule="auto"/>
                              <w:ind w:firstLine="0" w:firstLineChars="0"/>
                              <w:rPr>
                                <w:rFonts w:hint="default" w:eastAsia="宋体"/>
                                <w:sz w:val="20"/>
                                <w:szCs w:val="20"/>
                                <w:highlight w:val="yellow"/>
                                <w:lang w:val="en-US" w:eastAsia="zh-CN"/>
                              </w:rPr>
                            </w:pPr>
                            <w:r>
                              <w:rPr>
                                <w:rFonts w:hint="eastAsia"/>
                                <w:sz w:val="20"/>
                                <w:szCs w:val="20"/>
                                <w:highlight w:val="yellow"/>
                                <w:lang w:val="en-US" w:eastAsia="zh-CN"/>
                              </w:rPr>
                              <w:t>G5</w:t>
                            </w:r>
                          </w:p>
                        </w:txbxContent>
                      </v:textbox>
                    </v:shape>
                  </w:pict>
                </mc:Fallback>
              </mc:AlternateContent>
            </w:r>
            <w:r>
              <w:rPr>
                <w:rFonts w:hAnsi="宋体"/>
                <w:b/>
                <w:bCs/>
                <w:color w:val="auto"/>
              </w:rPr>
              <w:drawing>
                <wp:inline distT="0" distB="0" distL="114300" distR="114300">
                  <wp:extent cx="5076825" cy="4248150"/>
                  <wp:effectExtent l="0" t="0" r="9525" b="0"/>
                  <wp:docPr id="5" name="图片 5" descr="173327225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3272251494"/>
                          <pic:cNvPicPr>
                            <a:picLocks noChangeAspect="1"/>
                          </pic:cNvPicPr>
                        </pic:nvPicPr>
                        <pic:blipFill>
                          <a:blip r:embed="rId25"/>
                          <a:stretch>
                            <a:fillRect/>
                          </a:stretch>
                        </pic:blipFill>
                        <pic:spPr>
                          <a:xfrm>
                            <a:off x="0" y="0"/>
                            <a:ext cx="5076825" cy="4248150"/>
                          </a:xfrm>
                          <a:prstGeom prst="rect">
                            <a:avLst/>
                          </a:prstGeom>
                        </pic:spPr>
                      </pic:pic>
                    </a:graphicData>
                  </a:graphic>
                </wp:inline>
              </w:drawing>
            </w:r>
          </w:p>
          <w:p w14:paraId="227B0DE9">
            <w:pPr>
              <w:pStyle w:val="27"/>
              <w:bidi w:val="0"/>
              <w:rPr>
                <w:rFonts w:hint="eastAsia"/>
                <w:lang w:eastAsia="zh-CN"/>
              </w:rPr>
            </w:pPr>
            <w:r>
              <w:t xml:space="preserve">图3-1 </w:t>
            </w:r>
            <w:r>
              <w:rPr>
                <w:rFonts w:hint="eastAsia"/>
                <w:lang w:val="en-US" w:eastAsia="zh-CN"/>
              </w:rPr>
              <w:t xml:space="preserve"> 氨、硫化氢</w:t>
            </w:r>
            <w:r>
              <w:t>监测点示意图</w:t>
            </w:r>
          </w:p>
          <w:p w14:paraId="1E31359D">
            <w:pPr>
              <w:ind w:firstLine="480"/>
              <w:rPr>
                <w:color w:val="auto"/>
              </w:rPr>
            </w:pPr>
            <w:r>
              <w:rPr>
                <w:rFonts w:hint="eastAsia"/>
                <w:color w:val="auto"/>
              </w:rPr>
              <w:t>根据监测数据可知，项目所在区域</w:t>
            </w:r>
            <w:r>
              <w:rPr>
                <w:rFonts w:hint="eastAsia"/>
                <w:color w:val="auto"/>
                <w:lang w:val="en-US" w:eastAsia="zh-CN"/>
              </w:rPr>
              <w:t>氨、硫化氢</w:t>
            </w:r>
            <w:r>
              <w:rPr>
                <w:rFonts w:hint="eastAsia"/>
                <w:color w:val="auto"/>
              </w:rPr>
              <w:t>满足《环境影响评价技术导则大气环境》(HJ2.2-2018)附录 D</w:t>
            </w:r>
            <w:r>
              <w:rPr>
                <w:rFonts w:hint="eastAsia"/>
                <w:color w:val="auto"/>
                <w:lang w:val="en-US" w:eastAsia="zh-CN"/>
              </w:rPr>
              <w:t>中</w:t>
            </w:r>
            <w:r>
              <w:rPr>
                <w:rFonts w:hint="eastAsia"/>
                <w:color w:val="auto"/>
              </w:rPr>
              <w:t>标准</w:t>
            </w:r>
            <w:r>
              <w:rPr>
                <w:rFonts w:hint="eastAsia"/>
                <w:color w:val="auto"/>
                <w:lang w:eastAsia="zh-CN"/>
              </w:rPr>
              <w:t>，</w:t>
            </w:r>
            <w:r>
              <w:rPr>
                <w:rFonts w:hint="eastAsia"/>
                <w:color w:val="auto"/>
              </w:rPr>
              <w:t>区域环境质量良好。</w:t>
            </w:r>
          </w:p>
          <w:p w14:paraId="1E082022">
            <w:pPr>
              <w:ind w:firstLine="482"/>
              <w:rPr>
                <w:b/>
                <w:bCs/>
                <w:color w:val="auto"/>
              </w:rPr>
            </w:pPr>
            <w:r>
              <w:rPr>
                <w:rFonts w:hint="eastAsia"/>
                <w:b/>
                <w:bCs/>
                <w:color w:val="auto"/>
              </w:rPr>
              <w:t>（3）改善区域环境空气质量对应措施</w:t>
            </w:r>
          </w:p>
          <w:p w14:paraId="61711F07">
            <w:pPr>
              <w:widowControl/>
              <w:ind w:firstLine="480"/>
              <w:rPr>
                <w:color w:val="auto"/>
              </w:rPr>
            </w:pPr>
            <w:r>
              <w:rPr>
                <w:rFonts w:hint="eastAsia"/>
                <w:color w:val="auto"/>
              </w:rPr>
              <w:t>淮南市人民政府就空气质量不达标提出《淮南市大气环境质量限期达标规划》针对不达标项目，文件提出的一</w:t>
            </w:r>
            <w:r>
              <w:rPr>
                <w:rFonts w:hint="eastAsia"/>
                <w:color w:val="auto"/>
                <w:lang w:eastAsia="zh-CN"/>
              </w:rPr>
              <w:t>系</w:t>
            </w:r>
            <w:r>
              <w:rPr>
                <w:rFonts w:hint="eastAsia"/>
                <w:color w:val="auto"/>
              </w:rPr>
              <w:t>列措施：</w:t>
            </w:r>
            <w:r>
              <w:rPr>
                <w:color w:val="auto"/>
              </w:rPr>
              <w:t>调整优化产业结构，构建绿色低碳产业体系</w:t>
            </w:r>
            <w:r>
              <w:rPr>
                <w:rFonts w:hint="eastAsia"/>
                <w:color w:val="auto"/>
              </w:rPr>
              <w:t>，</w:t>
            </w:r>
            <w:r>
              <w:rPr>
                <w:color w:val="auto"/>
              </w:rPr>
              <w:t>严格环境准入门槛</w:t>
            </w:r>
            <w:r>
              <w:rPr>
                <w:rFonts w:hint="eastAsia"/>
                <w:color w:val="auto"/>
              </w:rPr>
              <w:t>，</w:t>
            </w:r>
            <w:r>
              <w:rPr>
                <w:color w:val="auto"/>
              </w:rPr>
              <w:t>化解落后、过剩、低效产能</w:t>
            </w:r>
            <w:r>
              <w:rPr>
                <w:rFonts w:hint="eastAsia"/>
                <w:color w:val="auto"/>
              </w:rPr>
              <w:t>，</w:t>
            </w:r>
            <w:r>
              <w:rPr>
                <w:color w:val="auto"/>
              </w:rPr>
              <w:t>发展绿色低碳产业</w:t>
            </w:r>
            <w:r>
              <w:rPr>
                <w:rFonts w:hint="eastAsia"/>
                <w:color w:val="auto"/>
              </w:rPr>
              <w:t>；</w:t>
            </w:r>
            <w:r>
              <w:rPr>
                <w:color w:val="auto"/>
              </w:rPr>
              <w:t>深化工业行业污染治理，推动企业绿色升级</w:t>
            </w:r>
            <w:r>
              <w:rPr>
                <w:rFonts w:hint="eastAsia"/>
                <w:color w:val="auto"/>
              </w:rPr>
              <w:t>，</w:t>
            </w:r>
            <w:r>
              <w:rPr>
                <w:color w:val="auto"/>
              </w:rPr>
              <w:t>实施清洁生产提升行动</w:t>
            </w:r>
            <w:r>
              <w:rPr>
                <w:rFonts w:hint="eastAsia"/>
                <w:color w:val="auto"/>
              </w:rPr>
              <w:t>，</w:t>
            </w:r>
            <w:r>
              <w:rPr>
                <w:color w:val="auto"/>
              </w:rPr>
              <w:t>推进重点行业提标改造</w:t>
            </w:r>
            <w:r>
              <w:rPr>
                <w:rFonts w:hint="eastAsia"/>
                <w:color w:val="auto"/>
              </w:rPr>
              <w:t>，</w:t>
            </w:r>
            <w:r>
              <w:rPr>
                <w:color w:val="auto"/>
              </w:rPr>
              <w:t>混凝土（沥青）搅拌站行业采用产能减量置换、绿色生产、密闭化升级改造等手段，提升混凝土行业绿色发展水平。全市混凝土搅拌站需满足</w:t>
            </w:r>
            <w:r>
              <w:rPr>
                <w:rFonts w:hint="eastAsia"/>
                <w:color w:val="auto"/>
                <w:lang w:eastAsia="zh-CN"/>
              </w:rPr>
              <w:t>“</w:t>
            </w:r>
            <w:r>
              <w:rPr>
                <w:color w:val="auto"/>
              </w:rPr>
              <w:t>一硬化、两干净、三封闭、四符合、五具有</w:t>
            </w:r>
            <w:r>
              <w:rPr>
                <w:rFonts w:hint="eastAsia"/>
                <w:color w:val="auto"/>
                <w:lang w:eastAsia="zh-CN"/>
              </w:rPr>
              <w:t>”</w:t>
            </w:r>
            <w:r>
              <w:rPr>
                <w:color w:val="auto"/>
              </w:rPr>
              <w:t>标准，即：</w:t>
            </w:r>
            <w:r>
              <w:rPr>
                <w:rFonts w:hint="eastAsia"/>
                <w:color w:val="auto"/>
                <w:lang w:eastAsia="zh-CN"/>
              </w:rPr>
              <w:t>“</w:t>
            </w:r>
            <w:r>
              <w:rPr>
                <w:color w:val="auto"/>
              </w:rPr>
              <w:t>一硬化</w:t>
            </w:r>
            <w:r>
              <w:rPr>
                <w:rFonts w:hint="eastAsia"/>
                <w:color w:val="auto"/>
                <w:lang w:eastAsia="zh-CN"/>
              </w:rPr>
              <w:t>”</w:t>
            </w:r>
            <w:r>
              <w:rPr>
                <w:color w:val="auto"/>
              </w:rPr>
              <w:t>：厂区道路和生产作业区地面要硬化。</w:t>
            </w:r>
            <w:r>
              <w:rPr>
                <w:rFonts w:hint="eastAsia"/>
                <w:color w:val="auto"/>
                <w:lang w:eastAsia="zh-CN"/>
              </w:rPr>
              <w:t>“</w:t>
            </w:r>
            <w:r>
              <w:rPr>
                <w:color w:val="auto"/>
              </w:rPr>
              <w:t>两干净</w:t>
            </w:r>
            <w:r>
              <w:rPr>
                <w:rFonts w:hint="eastAsia"/>
                <w:color w:val="auto"/>
                <w:lang w:eastAsia="zh-CN"/>
              </w:rPr>
              <w:t>”</w:t>
            </w:r>
            <w:r>
              <w:rPr>
                <w:color w:val="auto"/>
              </w:rPr>
              <w:t>：厂区环境要干净；混凝土运输车辆要干净。</w:t>
            </w:r>
            <w:r>
              <w:rPr>
                <w:rFonts w:hint="eastAsia"/>
                <w:color w:val="auto"/>
                <w:lang w:eastAsia="zh-CN"/>
              </w:rPr>
              <w:t>“</w:t>
            </w:r>
            <w:r>
              <w:rPr>
                <w:color w:val="auto"/>
              </w:rPr>
              <w:t>三封闭</w:t>
            </w:r>
            <w:r>
              <w:rPr>
                <w:rFonts w:hint="eastAsia"/>
                <w:color w:val="auto"/>
                <w:lang w:eastAsia="zh-CN"/>
              </w:rPr>
              <w:t>”</w:t>
            </w:r>
            <w:r>
              <w:rPr>
                <w:color w:val="auto"/>
              </w:rPr>
              <w:t>：堆场、料仓要封闭；搅拌站要封闭；场内废弃物存放点要封闭。</w:t>
            </w:r>
            <w:r>
              <w:rPr>
                <w:rFonts w:hint="eastAsia"/>
                <w:color w:val="auto"/>
                <w:lang w:eastAsia="zh-CN"/>
              </w:rPr>
              <w:t>“</w:t>
            </w:r>
            <w:r>
              <w:rPr>
                <w:color w:val="auto"/>
              </w:rPr>
              <w:t>四符合</w:t>
            </w:r>
            <w:r>
              <w:rPr>
                <w:rFonts w:hint="eastAsia"/>
                <w:color w:val="auto"/>
                <w:lang w:eastAsia="zh-CN"/>
              </w:rPr>
              <w:t>”</w:t>
            </w:r>
            <w:r>
              <w:rPr>
                <w:color w:val="auto"/>
              </w:rPr>
              <w:t>：企业选址符合布点规划；工艺设备符合国家产业政策要求；生产运营符合行业管理要求；污染物排放符合国家、省和市有关排放标准。</w:t>
            </w:r>
            <w:r>
              <w:rPr>
                <w:rFonts w:hint="eastAsia"/>
                <w:color w:val="auto"/>
                <w:lang w:eastAsia="zh-CN"/>
              </w:rPr>
              <w:t>“</w:t>
            </w:r>
            <w:r>
              <w:rPr>
                <w:color w:val="auto"/>
              </w:rPr>
              <w:t>五具有</w:t>
            </w:r>
            <w:r>
              <w:rPr>
                <w:rFonts w:hint="eastAsia"/>
                <w:color w:val="auto"/>
                <w:lang w:eastAsia="zh-CN"/>
              </w:rPr>
              <w:t>”</w:t>
            </w:r>
            <w:r>
              <w:rPr>
                <w:color w:val="auto"/>
              </w:rPr>
              <w:t>：具有环保手续和资质；具有扬尘污染防治管理制度；具有专职环保管理人员；易产生扬尘工段具有喷淋、</w:t>
            </w:r>
            <w:r>
              <w:rPr>
                <w:rFonts w:hint="eastAsia"/>
                <w:color w:val="auto"/>
                <w:lang w:val="en-US" w:eastAsia="zh-CN"/>
              </w:rPr>
              <w:t>车辆洒水</w:t>
            </w:r>
            <w:r>
              <w:rPr>
                <w:color w:val="auto"/>
              </w:rPr>
              <w:t>、冲洗等抑尘设施；具有扬尘在线监控设施和运输车辆GPS定位系统，并与环保部门联网</w:t>
            </w:r>
            <w:r>
              <w:rPr>
                <w:rFonts w:hint="eastAsia"/>
                <w:color w:val="auto"/>
              </w:rPr>
              <w:t>，</w:t>
            </w:r>
            <w:r>
              <w:rPr>
                <w:color w:val="auto"/>
              </w:rPr>
              <w:t>强化工业企业无组织排放治理</w:t>
            </w:r>
            <w:r>
              <w:rPr>
                <w:rFonts w:hint="eastAsia"/>
                <w:color w:val="auto"/>
              </w:rPr>
              <w:t>；</w:t>
            </w:r>
            <w:r>
              <w:rPr>
                <w:color w:val="auto"/>
              </w:rPr>
              <w:t>积极调整运输结构，完善绿色低碳交通体系</w:t>
            </w:r>
            <w:r>
              <w:rPr>
                <w:rFonts w:hint="eastAsia"/>
                <w:color w:val="auto"/>
              </w:rPr>
              <w:t>，</w:t>
            </w:r>
            <w:r>
              <w:rPr>
                <w:color w:val="auto"/>
              </w:rPr>
              <w:t>提升道路扬尘治理水平</w:t>
            </w:r>
            <w:r>
              <w:rPr>
                <w:rFonts w:hint="eastAsia"/>
                <w:color w:val="auto"/>
              </w:rPr>
              <w:t>，</w:t>
            </w:r>
            <w:r>
              <w:rPr>
                <w:color w:val="auto"/>
              </w:rPr>
              <w:t>强化工业堆场扬尘整治</w:t>
            </w:r>
            <w:r>
              <w:rPr>
                <w:rFonts w:hint="eastAsia"/>
                <w:color w:val="auto"/>
              </w:rPr>
              <w:t>，</w:t>
            </w:r>
            <w:r>
              <w:rPr>
                <w:color w:val="auto"/>
              </w:rPr>
              <w:t>开展面源污染防治专项培训</w:t>
            </w:r>
            <w:r>
              <w:rPr>
                <w:rFonts w:hint="eastAsia"/>
                <w:color w:val="auto"/>
              </w:rPr>
              <w:t>，</w:t>
            </w:r>
            <w:r>
              <w:rPr>
                <w:color w:val="auto"/>
              </w:rPr>
              <w:t>落实扬尘污染防治专项培训制度。</w:t>
            </w:r>
          </w:p>
          <w:p w14:paraId="1B5ECEFC">
            <w:pPr>
              <w:ind w:firstLine="482"/>
              <w:rPr>
                <w:color w:val="auto"/>
              </w:rPr>
            </w:pPr>
            <w:r>
              <w:rPr>
                <w:rFonts w:hint="eastAsia"/>
                <w:b/>
                <w:bCs/>
                <w:color w:val="auto"/>
              </w:rPr>
              <w:t>2、地表水环境</w:t>
            </w:r>
          </w:p>
          <w:p w14:paraId="326AAD42">
            <w:pPr>
              <w:bidi w:val="0"/>
              <w:rPr>
                <w:rFonts w:hint="eastAsia"/>
              </w:rPr>
            </w:pPr>
            <w:r>
              <w:rPr>
                <w:rFonts w:hint="eastAsia"/>
              </w:rPr>
              <w:t>根据《建设项目环境影响报告表编制技术指南》，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p>
          <w:p w14:paraId="1812B5C2">
            <w:pPr>
              <w:bidi w:val="0"/>
              <w:rPr>
                <w:rFonts w:hint="eastAsia"/>
              </w:rPr>
            </w:pPr>
            <w:r>
              <w:rPr>
                <w:rFonts w:hint="eastAsia"/>
              </w:rPr>
              <w:t>本项目纳污水体是高塘湖，本次评价引用淮南市生态环境局发布的发布的《2023年淮南市环境质量状况公报》</w:t>
            </w:r>
            <w:r>
              <w:rPr>
                <w:rFonts w:hint="eastAsia"/>
                <w:lang w:val="en-US" w:eastAsia="zh-CN"/>
              </w:rPr>
              <w:t>中</w:t>
            </w:r>
            <w:r>
              <w:rPr>
                <w:rFonts w:hint="eastAsia"/>
              </w:rPr>
              <w:t>的结论。</w:t>
            </w:r>
          </w:p>
          <w:p w14:paraId="3F2BEF87">
            <w:pPr>
              <w:ind w:firstLine="480"/>
              <w:rPr>
                <w:color w:val="auto"/>
              </w:rPr>
            </w:pPr>
            <w:r>
              <w:rPr>
                <w:rFonts w:hint="eastAsia"/>
                <w:color w:val="auto"/>
              </w:rPr>
              <w:t>根据淮南市生态环境局发布的《2023年淮南市环境质量状况公报》，2023年，全市地表水24个监测断面中优良水质比例为95.8%，比上年提升了16.6个百分点，Ⅳ类水质比例4.2%，总体水质状况优。</w:t>
            </w:r>
          </w:p>
          <w:p w14:paraId="2C735891">
            <w:pPr>
              <w:ind w:firstLine="480"/>
              <w:rPr>
                <w:color w:val="auto"/>
              </w:rPr>
            </w:pPr>
            <w:r>
              <w:rPr>
                <w:rFonts w:hint="eastAsia"/>
                <w:color w:val="auto"/>
              </w:rPr>
              <w:t>湖库：瓦埠湖、焦岗湖和安丰塘点位水质年均值符合Ⅲ类标准，水质状况为良好；高塘湖点位水质年均值符合Ⅳ类标准，水质轻度污染，主要污染指标为总磷。瓦埠湖营养状态为中营养，焦岗湖、高塘湖和安丰塘营养状态均为轻度富营养。与上年相比，安丰塘点位水质类别由Ⅳ类好转为Ⅲ类，瓦埠湖、高塘湖和焦岗湖点位水质类别保持稳定。</w:t>
            </w:r>
          </w:p>
          <w:p w14:paraId="3B46766D">
            <w:pPr>
              <w:ind w:firstLine="482"/>
              <w:rPr>
                <w:b/>
                <w:bCs/>
                <w:color w:val="auto"/>
              </w:rPr>
            </w:pPr>
            <w:r>
              <w:rPr>
                <w:rFonts w:hint="eastAsia"/>
                <w:b/>
                <w:bCs/>
                <w:color w:val="auto"/>
              </w:rPr>
              <w:t>3、声环境</w:t>
            </w:r>
          </w:p>
          <w:p w14:paraId="7210885C">
            <w:pPr>
              <w:ind w:firstLine="480"/>
              <w:rPr>
                <w:rFonts w:hint="default"/>
                <w:color w:val="auto"/>
                <w:lang w:val="en-US"/>
              </w:rPr>
            </w:pPr>
            <w:r>
              <w:rPr>
                <w:rFonts w:hint="eastAsia"/>
                <w:color w:val="auto"/>
              </w:rPr>
              <w:t>本项目位于淮南市</w:t>
            </w:r>
            <w:r>
              <w:rPr>
                <w:rFonts w:hint="eastAsia"/>
                <w:color w:val="auto"/>
                <w:lang w:val="en-US" w:eastAsia="zh-CN"/>
              </w:rPr>
              <w:t>高新技术开发区</w:t>
            </w:r>
            <w:r>
              <w:rPr>
                <w:rFonts w:hint="eastAsia"/>
                <w:lang w:val="en-US" w:eastAsia="zh-CN"/>
              </w:rPr>
              <w:t>民裕大街与支四路交叉口</w:t>
            </w:r>
            <w:r>
              <w:rPr>
                <w:rFonts w:hint="eastAsia"/>
                <w:color w:val="auto"/>
              </w:rPr>
              <w:t>，项目厂界50m</w:t>
            </w:r>
            <w:r>
              <w:rPr>
                <w:rFonts w:hint="eastAsia"/>
                <w:color w:val="auto"/>
                <w:lang w:val="en-US" w:eastAsia="zh-CN"/>
              </w:rPr>
              <w:t>声环境敏感目标主要为西侧残疾人综合服务中心及北侧儿童福利院。</w:t>
            </w:r>
          </w:p>
          <w:p w14:paraId="0CB81561">
            <w:pPr>
              <w:ind w:firstLine="480"/>
              <w:rPr>
                <w:color w:val="auto"/>
                <w:highlight w:val="none"/>
              </w:rPr>
            </w:pPr>
            <w:r>
              <w:rPr>
                <w:rFonts w:hint="eastAsia"/>
                <w:color w:val="auto"/>
                <w:highlight w:val="none"/>
              </w:rPr>
              <w:t>根据淮南市宜青环境检测有限公司202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w:t>
            </w:r>
            <w:r>
              <w:rPr>
                <w:rFonts w:hint="eastAsia"/>
                <w:color w:val="auto"/>
                <w:highlight w:val="none"/>
              </w:rPr>
              <w:t>月</w:t>
            </w:r>
            <w:r>
              <w:rPr>
                <w:rFonts w:hint="eastAsia"/>
                <w:color w:val="auto"/>
                <w:highlight w:val="none"/>
                <w:lang w:val="en-US" w:eastAsia="zh-CN"/>
              </w:rPr>
              <w:t>2</w:t>
            </w:r>
            <w:r>
              <w:rPr>
                <w:rFonts w:hint="eastAsia"/>
                <w:color w:val="auto"/>
                <w:highlight w:val="none"/>
              </w:rPr>
              <w:t>日提供的声环境质量现状监测数据，厂界噪声监测结果如下：</w:t>
            </w:r>
          </w:p>
          <w:p w14:paraId="27ECB569">
            <w:pPr>
              <w:ind w:firstLine="480"/>
              <w:rPr>
                <w:color w:val="auto"/>
                <w:highlight w:val="none"/>
              </w:rPr>
            </w:pPr>
            <w:r>
              <w:rPr>
                <w:rFonts w:hint="eastAsia"/>
                <w:color w:val="auto"/>
                <w:highlight w:val="none"/>
              </w:rPr>
              <w:t>①</w:t>
            </w:r>
            <w:r>
              <w:rPr>
                <w:color w:val="auto"/>
                <w:highlight w:val="none"/>
              </w:rPr>
              <w:t>监测布点</w:t>
            </w:r>
            <w:r>
              <w:rPr>
                <w:rFonts w:hint="eastAsia"/>
                <w:color w:val="auto"/>
                <w:highlight w:val="none"/>
              </w:rPr>
              <w:t>：厂</w:t>
            </w:r>
            <w:r>
              <w:rPr>
                <w:color w:val="auto"/>
                <w:highlight w:val="none"/>
              </w:rPr>
              <w:t>界周围共布设</w:t>
            </w:r>
            <w:r>
              <w:rPr>
                <w:rFonts w:hint="eastAsia"/>
                <w:color w:val="auto"/>
                <w:highlight w:val="none"/>
                <w:lang w:val="en-US" w:eastAsia="zh-CN"/>
              </w:rPr>
              <w:t>4</w:t>
            </w:r>
            <w:r>
              <w:rPr>
                <w:color w:val="auto"/>
                <w:highlight w:val="none"/>
              </w:rPr>
              <w:t>个监测点位</w:t>
            </w:r>
            <w:r>
              <w:rPr>
                <w:rFonts w:hint="eastAsia"/>
                <w:color w:val="auto"/>
                <w:highlight w:val="none"/>
              </w:rPr>
              <w:t>。</w:t>
            </w:r>
          </w:p>
          <w:p w14:paraId="251A6F03">
            <w:pPr>
              <w:ind w:firstLine="480"/>
              <w:rPr>
                <w:color w:val="auto"/>
                <w:highlight w:val="none"/>
              </w:rPr>
            </w:pPr>
            <w:r>
              <w:rPr>
                <w:rFonts w:hint="eastAsia"/>
                <w:color w:val="auto"/>
                <w:highlight w:val="none"/>
              </w:rPr>
              <w:t>②</w:t>
            </w:r>
            <w:r>
              <w:rPr>
                <w:color w:val="auto"/>
                <w:highlight w:val="none"/>
              </w:rPr>
              <w:t>监测结果及评价</w:t>
            </w:r>
          </w:p>
          <w:p w14:paraId="782B84A2">
            <w:pPr>
              <w:pStyle w:val="27"/>
              <w:bidi w:val="0"/>
              <w:rPr>
                <w:highlight w:val="none"/>
              </w:rPr>
            </w:pPr>
            <w:r>
              <w:rPr>
                <w:rFonts w:hint="eastAsia"/>
                <w:highlight w:val="none"/>
              </w:rPr>
              <w:t>表3-</w:t>
            </w:r>
            <w:r>
              <w:rPr>
                <w:rFonts w:hint="eastAsia"/>
                <w:highlight w:val="none"/>
                <w:lang w:val="en-US" w:eastAsia="zh-CN"/>
              </w:rPr>
              <w:t>3</w:t>
            </w:r>
            <w:r>
              <w:rPr>
                <w:rFonts w:hint="eastAsia"/>
                <w:highlight w:val="none"/>
              </w:rPr>
              <w:t xml:space="preserve"> </w:t>
            </w:r>
            <w:r>
              <w:rPr>
                <w:rFonts w:hint="eastAsia"/>
                <w:highlight w:val="none"/>
                <w:lang w:val="en-US" w:eastAsia="zh-CN"/>
              </w:rPr>
              <w:t xml:space="preserve"> </w:t>
            </w:r>
            <w:r>
              <w:rPr>
                <w:rFonts w:hint="eastAsia"/>
                <w:highlight w:val="none"/>
              </w:rPr>
              <w:t>项目噪声监测结果</w:t>
            </w:r>
          </w:p>
          <w:tbl>
            <w:tblPr>
              <w:tblStyle w:val="18"/>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2297"/>
              <w:gridCol w:w="2483"/>
              <w:gridCol w:w="2488"/>
            </w:tblGrid>
            <w:tr w14:paraId="6F4F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restart"/>
                  <w:tcBorders>
                    <w:top w:val="single" w:color="auto" w:sz="4" w:space="0"/>
                    <w:left w:val="single" w:color="auto" w:sz="0" w:space="0"/>
                    <w:bottom w:val="single" w:color="auto" w:sz="4" w:space="0"/>
                  </w:tcBorders>
                  <w:vAlign w:val="center"/>
                </w:tcPr>
                <w:p w14:paraId="1D390B9C">
                  <w:pPr>
                    <w:pStyle w:val="32"/>
                    <w:bidi w:val="0"/>
                    <w:rPr>
                      <w:color w:val="auto"/>
                      <w:highlight w:val="none"/>
                    </w:rPr>
                  </w:pPr>
                  <w:r>
                    <w:rPr>
                      <w:rFonts w:hint="eastAsia"/>
                      <w:highlight w:val="none"/>
                    </w:rPr>
                    <w:t>采样日期</w:t>
                  </w:r>
                </w:p>
              </w:tc>
              <w:tc>
                <w:tcPr>
                  <w:tcW w:w="1401" w:type="pct"/>
                  <w:vMerge w:val="restart"/>
                  <w:tcBorders>
                    <w:top w:val="single" w:color="auto" w:sz="4" w:space="0"/>
                  </w:tcBorders>
                  <w:vAlign w:val="center"/>
                </w:tcPr>
                <w:p w14:paraId="38C85FE8">
                  <w:pPr>
                    <w:pStyle w:val="32"/>
                    <w:bidi w:val="0"/>
                    <w:rPr>
                      <w:color w:val="auto"/>
                      <w:highlight w:val="none"/>
                    </w:rPr>
                  </w:pPr>
                  <w:r>
                    <w:rPr>
                      <w:rFonts w:hint="eastAsia"/>
                      <w:highlight w:val="none"/>
                    </w:rPr>
                    <w:t>检测点位</w:t>
                  </w:r>
                </w:p>
              </w:tc>
              <w:tc>
                <w:tcPr>
                  <w:tcW w:w="3032" w:type="pct"/>
                  <w:gridSpan w:val="2"/>
                  <w:tcBorders>
                    <w:top w:val="single" w:color="auto" w:sz="4" w:space="0"/>
                    <w:bottom w:val="single" w:color="auto" w:sz="4" w:space="0"/>
                    <w:right w:val="single" w:color="auto" w:sz="4" w:space="0"/>
                  </w:tcBorders>
                  <w:vAlign w:val="center"/>
                </w:tcPr>
                <w:p w14:paraId="77D06B87">
                  <w:pPr>
                    <w:pStyle w:val="32"/>
                    <w:bidi w:val="0"/>
                    <w:rPr>
                      <w:color w:val="auto"/>
                      <w:highlight w:val="none"/>
                    </w:rPr>
                  </w:pPr>
                  <w:r>
                    <w:rPr>
                      <w:rFonts w:hint="eastAsia"/>
                      <w:highlight w:val="none"/>
                    </w:rPr>
                    <w:t>检测结果dB(A)</w:t>
                  </w:r>
                </w:p>
              </w:tc>
            </w:tr>
            <w:tr w14:paraId="45D6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continue"/>
                  <w:tcBorders>
                    <w:top w:val="single" w:color="auto" w:sz="4" w:space="0"/>
                    <w:left w:val="single" w:color="auto" w:sz="4" w:space="0"/>
                    <w:bottom w:val="single" w:color="auto" w:sz="4" w:space="0"/>
                  </w:tcBorders>
                  <w:vAlign w:val="center"/>
                </w:tcPr>
                <w:p w14:paraId="37299AED">
                  <w:pPr>
                    <w:spacing w:before="31" w:after="31"/>
                    <w:rPr>
                      <w:color w:val="auto"/>
                      <w:highlight w:val="none"/>
                    </w:rPr>
                  </w:pPr>
                </w:p>
              </w:tc>
              <w:tc>
                <w:tcPr>
                  <w:tcW w:w="1401" w:type="pct"/>
                  <w:vMerge w:val="continue"/>
                  <w:tcBorders>
                    <w:bottom w:val="single" w:color="auto" w:sz="4" w:space="0"/>
                  </w:tcBorders>
                  <w:vAlign w:val="center"/>
                </w:tcPr>
                <w:p w14:paraId="2001B92D">
                  <w:pPr>
                    <w:spacing w:before="31" w:after="31"/>
                    <w:rPr>
                      <w:color w:val="auto"/>
                      <w:highlight w:val="none"/>
                    </w:rPr>
                  </w:pPr>
                </w:p>
              </w:tc>
              <w:tc>
                <w:tcPr>
                  <w:tcW w:w="1514" w:type="pct"/>
                  <w:tcBorders>
                    <w:top w:val="single" w:color="auto" w:sz="4" w:space="0"/>
                    <w:bottom w:val="single" w:color="auto" w:sz="4" w:space="0"/>
                    <w:right w:val="single" w:color="auto" w:sz="4" w:space="0"/>
                  </w:tcBorders>
                  <w:vAlign w:val="center"/>
                </w:tcPr>
                <w:p w14:paraId="303F14A3">
                  <w:pPr>
                    <w:pStyle w:val="32"/>
                    <w:bidi w:val="0"/>
                    <w:rPr>
                      <w:color w:val="auto"/>
                      <w:highlight w:val="none"/>
                    </w:rPr>
                  </w:pPr>
                  <w:r>
                    <w:rPr>
                      <w:rFonts w:hint="eastAsia"/>
                      <w:highlight w:val="none"/>
                    </w:rPr>
                    <w:t>昼间Leq</w:t>
                  </w:r>
                </w:p>
              </w:tc>
              <w:tc>
                <w:tcPr>
                  <w:tcW w:w="1517" w:type="pct"/>
                  <w:tcBorders>
                    <w:top w:val="single" w:color="auto" w:sz="4" w:space="0"/>
                    <w:bottom w:val="single" w:color="auto" w:sz="4" w:space="0"/>
                    <w:right w:val="single" w:color="auto" w:sz="4" w:space="0"/>
                  </w:tcBorders>
                  <w:vAlign w:val="center"/>
                </w:tcPr>
                <w:p w14:paraId="2616E984">
                  <w:pPr>
                    <w:pStyle w:val="32"/>
                    <w:bidi w:val="0"/>
                    <w:rPr>
                      <w:rFonts w:hint="eastAsia"/>
                      <w:color w:val="auto"/>
                      <w:highlight w:val="none"/>
                    </w:rPr>
                  </w:pPr>
                  <w:r>
                    <w:rPr>
                      <w:rFonts w:hint="eastAsia"/>
                      <w:highlight w:val="none"/>
                      <w:lang w:val="en-US" w:eastAsia="zh-CN"/>
                    </w:rPr>
                    <w:t>夜间</w:t>
                  </w:r>
                  <w:r>
                    <w:rPr>
                      <w:rFonts w:hint="eastAsia"/>
                      <w:highlight w:val="none"/>
                    </w:rPr>
                    <w:t>Leq</w:t>
                  </w:r>
                </w:p>
              </w:tc>
            </w:tr>
            <w:tr w14:paraId="52E9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66" w:type="pct"/>
                  <w:vMerge w:val="restart"/>
                  <w:tcBorders>
                    <w:top w:val="single" w:color="auto" w:sz="4" w:space="0"/>
                    <w:left w:val="single" w:color="auto" w:sz="4" w:space="0"/>
                  </w:tcBorders>
                  <w:vAlign w:val="center"/>
                </w:tcPr>
                <w:p w14:paraId="3138A0EC">
                  <w:pPr>
                    <w:pStyle w:val="32"/>
                    <w:bidi w:val="0"/>
                    <w:rPr>
                      <w:rFonts w:hint="eastAsia" w:eastAsia="宋体"/>
                      <w:color w:val="auto"/>
                      <w:highlight w:val="none"/>
                      <w:lang w:val="en-US" w:eastAsia="zh-CN"/>
                    </w:rPr>
                  </w:pPr>
                  <w:r>
                    <w:rPr>
                      <w:rFonts w:hint="eastAsia"/>
                      <w:highlight w:val="none"/>
                    </w:rPr>
                    <w:t>202</w:t>
                  </w:r>
                  <w:r>
                    <w:rPr>
                      <w:rFonts w:hint="eastAsia"/>
                      <w:highlight w:val="none"/>
                      <w:lang w:val="en-US" w:eastAsia="zh-CN"/>
                    </w:rPr>
                    <w:t>5</w:t>
                  </w:r>
                  <w:r>
                    <w:rPr>
                      <w:rFonts w:hint="eastAsia"/>
                      <w:highlight w:val="none"/>
                    </w:rPr>
                    <w:t>年</w:t>
                  </w:r>
                  <w:r>
                    <w:rPr>
                      <w:rFonts w:hint="eastAsia"/>
                      <w:highlight w:val="none"/>
                      <w:lang w:val="en-US" w:eastAsia="zh-CN"/>
                    </w:rPr>
                    <w:t>1</w:t>
                  </w:r>
                  <w:r>
                    <w:rPr>
                      <w:rFonts w:hint="eastAsia"/>
                      <w:highlight w:val="none"/>
                    </w:rPr>
                    <w:t>月</w:t>
                  </w:r>
                  <w:r>
                    <w:rPr>
                      <w:rFonts w:hint="eastAsia"/>
                      <w:highlight w:val="none"/>
                      <w:lang w:val="en-US" w:eastAsia="zh-CN"/>
                    </w:rPr>
                    <w:t>2</w:t>
                  </w:r>
                  <w:r>
                    <w:rPr>
                      <w:rFonts w:hint="eastAsia"/>
                      <w:highlight w:val="none"/>
                    </w:rPr>
                    <w:t>日</w:t>
                  </w:r>
                </w:p>
              </w:tc>
              <w:tc>
                <w:tcPr>
                  <w:tcW w:w="1401" w:type="pct"/>
                  <w:tcBorders>
                    <w:top w:val="single" w:color="auto" w:sz="4" w:space="0"/>
                  </w:tcBorders>
                  <w:vAlign w:val="center"/>
                </w:tcPr>
                <w:p w14:paraId="1E9260FC">
                  <w:pPr>
                    <w:pStyle w:val="32"/>
                    <w:bidi w:val="0"/>
                    <w:rPr>
                      <w:color w:val="auto"/>
                      <w:highlight w:val="none"/>
                    </w:rPr>
                  </w:pPr>
                  <w:r>
                    <w:rPr>
                      <w:rFonts w:hint="eastAsia"/>
                      <w:highlight w:val="none"/>
                    </w:rPr>
                    <w:t>厂界东</w:t>
                  </w:r>
                </w:p>
              </w:tc>
              <w:tc>
                <w:tcPr>
                  <w:tcW w:w="1514" w:type="pct"/>
                  <w:tcBorders>
                    <w:top w:val="single" w:color="auto" w:sz="4" w:space="0"/>
                    <w:right w:val="single" w:color="auto" w:sz="4" w:space="0"/>
                  </w:tcBorders>
                  <w:vAlign w:val="center"/>
                </w:tcPr>
                <w:p w14:paraId="7ECADBFE">
                  <w:pPr>
                    <w:pStyle w:val="32"/>
                    <w:bidi w:val="0"/>
                    <w:rPr>
                      <w:rFonts w:hint="default" w:eastAsia="宋体"/>
                      <w:color w:val="auto"/>
                      <w:highlight w:val="none"/>
                      <w:lang w:val="en-US" w:eastAsia="zh-CN"/>
                    </w:rPr>
                  </w:pPr>
                  <w:r>
                    <w:rPr>
                      <w:rFonts w:hint="eastAsia"/>
                      <w:highlight w:val="none"/>
                      <w:lang w:val="en-US" w:eastAsia="zh-CN"/>
                    </w:rPr>
                    <w:t>50.8</w:t>
                  </w:r>
                </w:p>
              </w:tc>
              <w:tc>
                <w:tcPr>
                  <w:tcW w:w="1517" w:type="pct"/>
                  <w:tcBorders>
                    <w:top w:val="single" w:color="auto" w:sz="4" w:space="0"/>
                    <w:right w:val="single" w:color="auto" w:sz="4" w:space="0"/>
                  </w:tcBorders>
                  <w:vAlign w:val="center"/>
                </w:tcPr>
                <w:p w14:paraId="349D9705">
                  <w:pPr>
                    <w:pStyle w:val="32"/>
                    <w:bidi w:val="0"/>
                    <w:rPr>
                      <w:rFonts w:hint="default" w:eastAsia="宋体"/>
                      <w:color w:val="auto"/>
                      <w:highlight w:val="none"/>
                      <w:lang w:val="en-US" w:eastAsia="zh-CN"/>
                    </w:rPr>
                  </w:pPr>
                  <w:r>
                    <w:rPr>
                      <w:rFonts w:hint="eastAsia"/>
                      <w:highlight w:val="none"/>
                      <w:lang w:val="en-US" w:eastAsia="zh-CN"/>
                    </w:rPr>
                    <w:t>33.9</w:t>
                  </w:r>
                </w:p>
              </w:tc>
            </w:tr>
            <w:tr w14:paraId="4D3E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continue"/>
                  <w:tcBorders>
                    <w:left w:val="single" w:color="auto" w:sz="4" w:space="0"/>
                  </w:tcBorders>
                  <w:vAlign w:val="center"/>
                </w:tcPr>
                <w:p w14:paraId="439BAF82">
                  <w:pPr>
                    <w:spacing w:before="31" w:after="31"/>
                    <w:rPr>
                      <w:color w:val="auto"/>
                      <w:highlight w:val="none"/>
                    </w:rPr>
                  </w:pPr>
                </w:p>
              </w:tc>
              <w:tc>
                <w:tcPr>
                  <w:tcW w:w="1401" w:type="pct"/>
                  <w:vAlign w:val="center"/>
                </w:tcPr>
                <w:p w14:paraId="6189964F">
                  <w:pPr>
                    <w:pStyle w:val="32"/>
                    <w:bidi w:val="0"/>
                    <w:rPr>
                      <w:color w:val="auto"/>
                      <w:highlight w:val="none"/>
                    </w:rPr>
                  </w:pPr>
                  <w:r>
                    <w:rPr>
                      <w:rFonts w:hint="eastAsia"/>
                      <w:highlight w:val="none"/>
                    </w:rPr>
                    <w:t>厂界南</w:t>
                  </w:r>
                </w:p>
              </w:tc>
              <w:tc>
                <w:tcPr>
                  <w:tcW w:w="1514" w:type="pct"/>
                  <w:tcBorders>
                    <w:right w:val="single" w:color="auto" w:sz="4" w:space="0"/>
                  </w:tcBorders>
                  <w:vAlign w:val="center"/>
                </w:tcPr>
                <w:p w14:paraId="27B42C9E">
                  <w:pPr>
                    <w:pStyle w:val="32"/>
                    <w:bidi w:val="0"/>
                    <w:rPr>
                      <w:rFonts w:hint="default" w:eastAsia="宋体"/>
                      <w:color w:val="auto"/>
                      <w:highlight w:val="none"/>
                      <w:lang w:val="en-US" w:eastAsia="zh-CN"/>
                    </w:rPr>
                  </w:pPr>
                  <w:r>
                    <w:rPr>
                      <w:rFonts w:hint="eastAsia"/>
                      <w:highlight w:val="none"/>
                      <w:lang w:val="en-US" w:eastAsia="zh-CN"/>
                    </w:rPr>
                    <w:t>52.4</w:t>
                  </w:r>
                </w:p>
              </w:tc>
              <w:tc>
                <w:tcPr>
                  <w:tcW w:w="1517" w:type="pct"/>
                  <w:tcBorders>
                    <w:right w:val="single" w:color="auto" w:sz="4" w:space="0"/>
                  </w:tcBorders>
                  <w:vAlign w:val="center"/>
                </w:tcPr>
                <w:p w14:paraId="2C566924">
                  <w:pPr>
                    <w:pStyle w:val="32"/>
                    <w:bidi w:val="0"/>
                    <w:rPr>
                      <w:rFonts w:hint="default" w:eastAsia="宋体"/>
                      <w:color w:val="auto"/>
                      <w:highlight w:val="none"/>
                      <w:lang w:val="en-US" w:eastAsia="zh-CN"/>
                    </w:rPr>
                  </w:pPr>
                  <w:r>
                    <w:rPr>
                      <w:rFonts w:hint="eastAsia"/>
                      <w:highlight w:val="none"/>
                      <w:lang w:val="en-US" w:eastAsia="zh-CN"/>
                    </w:rPr>
                    <w:t>43.0</w:t>
                  </w:r>
                </w:p>
              </w:tc>
            </w:tr>
            <w:tr w14:paraId="2FDF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continue"/>
                  <w:tcBorders>
                    <w:left w:val="single" w:color="auto" w:sz="4" w:space="0"/>
                  </w:tcBorders>
                  <w:vAlign w:val="center"/>
                </w:tcPr>
                <w:p w14:paraId="6297B11F">
                  <w:pPr>
                    <w:spacing w:before="31" w:after="31"/>
                    <w:rPr>
                      <w:color w:val="auto"/>
                      <w:highlight w:val="none"/>
                    </w:rPr>
                  </w:pPr>
                </w:p>
              </w:tc>
              <w:tc>
                <w:tcPr>
                  <w:tcW w:w="1401" w:type="pct"/>
                  <w:vAlign w:val="center"/>
                </w:tcPr>
                <w:p w14:paraId="41B3CF58">
                  <w:pPr>
                    <w:pStyle w:val="32"/>
                    <w:bidi w:val="0"/>
                    <w:rPr>
                      <w:color w:val="auto"/>
                      <w:highlight w:val="none"/>
                    </w:rPr>
                  </w:pPr>
                  <w:r>
                    <w:rPr>
                      <w:rFonts w:hint="eastAsia"/>
                      <w:highlight w:val="none"/>
                    </w:rPr>
                    <w:t>厂界西</w:t>
                  </w:r>
                </w:p>
              </w:tc>
              <w:tc>
                <w:tcPr>
                  <w:tcW w:w="1514" w:type="pct"/>
                  <w:tcBorders>
                    <w:right w:val="single" w:color="auto" w:sz="4" w:space="0"/>
                  </w:tcBorders>
                  <w:vAlign w:val="center"/>
                </w:tcPr>
                <w:p w14:paraId="20338A80">
                  <w:pPr>
                    <w:pStyle w:val="32"/>
                    <w:bidi w:val="0"/>
                    <w:rPr>
                      <w:rFonts w:hint="default" w:eastAsia="宋体"/>
                      <w:color w:val="auto"/>
                      <w:highlight w:val="none"/>
                      <w:lang w:val="en-US" w:eastAsia="zh-CN"/>
                    </w:rPr>
                  </w:pPr>
                  <w:r>
                    <w:rPr>
                      <w:rFonts w:hint="eastAsia"/>
                      <w:highlight w:val="none"/>
                      <w:lang w:val="en-US" w:eastAsia="zh-CN"/>
                    </w:rPr>
                    <w:t>58.4</w:t>
                  </w:r>
                </w:p>
              </w:tc>
              <w:tc>
                <w:tcPr>
                  <w:tcW w:w="1517" w:type="pct"/>
                  <w:tcBorders>
                    <w:right w:val="single" w:color="auto" w:sz="4" w:space="0"/>
                  </w:tcBorders>
                  <w:vAlign w:val="center"/>
                </w:tcPr>
                <w:p w14:paraId="2C5BE267">
                  <w:pPr>
                    <w:pStyle w:val="32"/>
                    <w:bidi w:val="0"/>
                    <w:rPr>
                      <w:rFonts w:hint="default" w:eastAsia="宋体"/>
                      <w:color w:val="auto"/>
                      <w:highlight w:val="none"/>
                      <w:lang w:val="en-US" w:eastAsia="zh-CN"/>
                    </w:rPr>
                  </w:pPr>
                  <w:r>
                    <w:rPr>
                      <w:rFonts w:hint="eastAsia"/>
                      <w:highlight w:val="none"/>
                      <w:lang w:val="en-US" w:eastAsia="zh-CN"/>
                    </w:rPr>
                    <w:t>35.3</w:t>
                  </w:r>
                </w:p>
              </w:tc>
            </w:tr>
            <w:tr w14:paraId="4348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continue"/>
                  <w:tcBorders>
                    <w:left w:val="single" w:color="auto" w:sz="4" w:space="0"/>
                  </w:tcBorders>
                  <w:vAlign w:val="center"/>
                </w:tcPr>
                <w:p w14:paraId="29CAF5CE">
                  <w:pPr>
                    <w:spacing w:before="31" w:after="31"/>
                    <w:rPr>
                      <w:color w:val="auto"/>
                      <w:highlight w:val="none"/>
                    </w:rPr>
                  </w:pPr>
                </w:p>
              </w:tc>
              <w:tc>
                <w:tcPr>
                  <w:tcW w:w="1401" w:type="pct"/>
                  <w:vAlign w:val="center"/>
                </w:tcPr>
                <w:p w14:paraId="7B3DA122">
                  <w:pPr>
                    <w:pStyle w:val="32"/>
                    <w:bidi w:val="0"/>
                    <w:rPr>
                      <w:color w:val="auto"/>
                      <w:highlight w:val="none"/>
                    </w:rPr>
                  </w:pPr>
                  <w:r>
                    <w:rPr>
                      <w:rFonts w:hint="eastAsia"/>
                      <w:highlight w:val="none"/>
                    </w:rPr>
                    <w:t>厂界北</w:t>
                  </w:r>
                </w:p>
              </w:tc>
              <w:tc>
                <w:tcPr>
                  <w:tcW w:w="1514" w:type="pct"/>
                  <w:tcBorders>
                    <w:right w:val="single" w:color="auto" w:sz="4" w:space="0"/>
                  </w:tcBorders>
                  <w:vAlign w:val="center"/>
                </w:tcPr>
                <w:p w14:paraId="7CCEA0C7">
                  <w:pPr>
                    <w:pStyle w:val="32"/>
                    <w:bidi w:val="0"/>
                    <w:rPr>
                      <w:rFonts w:hint="default" w:eastAsia="宋体"/>
                      <w:color w:val="auto"/>
                      <w:highlight w:val="none"/>
                      <w:lang w:val="en-US" w:eastAsia="zh-CN"/>
                    </w:rPr>
                  </w:pPr>
                  <w:r>
                    <w:rPr>
                      <w:rFonts w:hint="eastAsia"/>
                      <w:highlight w:val="none"/>
                      <w:lang w:val="en-US" w:eastAsia="zh-CN"/>
                    </w:rPr>
                    <w:t>55.0</w:t>
                  </w:r>
                </w:p>
              </w:tc>
              <w:tc>
                <w:tcPr>
                  <w:tcW w:w="1517" w:type="pct"/>
                  <w:tcBorders>
                    <w:right w:val="single" w:color="auto" w:sz="4" w:space="0"/>
                  </w:tcBorders>
                  <w:vAlign w:val="center"/>
                </w:tcPr>
                <w:p w14:paraId="2C1B1B35">
                  <w:pPr>
                    <w:pStyle w:val="32"/>
                    <w:bidi w:val="0"/>
                    <w:rPr>
                      <w:rFonts w:hint="default" w:eastAsia="宋体"/>
                      <w:color w:val="auto"/>
                      <w:highlight w:val="none"/>
                      <w:lang w:val="en-US" w:eastAsia="zh-CN"/>
                    </w:rPr>
                  </w:pPr>
                  <w:r>
                    <w:rPr>
                      <w:rFonts w:hint="eastAsia"/>
                      <w:highlight w:val="none"/>
                      <w:lang w:val="en-US" w:eastAsia="zh-CN"/>
                    </w:rPr>
                    <w:t>44.3</w:t>
                  </w:r>
                </w:p>
              </w:tc>
            </w:tr>
            <w:tr w14:paraId="7646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continue"/>
                  <w:tcBorders>
                    <w:left w:val="single" w:color="auto" w:sz="4" w:space="0"/>
                  </w:tcBorders>
                  <w:vAlign w:val="center"/>
                </w:tcPr>
                <w:p w14:paraId="2D21B0D9">
                  <w:pPr>
                    <w:spacing w:before="31" w:after="31"/>
                    <w:rPr>
                      <w:color w:val="auto"/>
                      <w:highlight w:val="none"/>
                    </w:rPr>
                  </w:pPr>
                </w:p>
              </w:tc>
              <w:tc>
                <w:tcPr>
                  <w:tcW w:w="1401" w:type="pct"/>
                  <w:vAlign w:val="center"/>
                </w:tcPr>
                <w:p w14:paraId="5D66C0FC">
                  <w:pPr>
                    <w:pStyle w:val="32"/>
                    <w:bidi w:val="0"/>
                    <w:rPr>
                      <w:color w:val="auto"/>
                      <w:highlight w:val="none"/>
                    </w:rPr>
                  </w:pPr>
                  <w:r>
                    <w:rPr>
                      <w:rFonts w:hint="eastAsia"/>
                      <w:highlight w:val="none"/>
                    </w:rPr>
                    <w:t>标准限值</w:t>
                  </w:r>
                </w:p>
              </w:tc>
              <w:tc>
                <w:tcPr>
                  <w:tcW w:w="1514" w:type="pct"/>
                  <w:tcBorders>
                    <w:right w:val="single" w:color="auto" w:sz="4" w:space="0"/>
                  </w:tcBorders>
                  <w:vAlign w:val="center"/>
                </w:tcPr>
                <w:p w14:paraId="68021DFF">
                  <w:pPr>
                    <w:pStyle w:val="32"/>
                    <w:bidi w:val="0"/>
                    <w:rPr>
                      <w:rFonts w:hint="default" w:eastAsia="宋体"/>
                      <w:color w:val="auto"/>
                      <w:highlight w:val="none"/>
                      <w:lang w:val="en-US" w:eastAsia="zh-CN"/>
                    </w:rPr>
                  </w:pPr>
                  <w:r>
                    <w:rPr>
                      <w:rFonts w:hint="eastAsia"/>
                      <w:highlight w:val="none"/>
                      <w:lang w:val="en-US" w:eastAsia="zh-CN"/>
                    </w:rPr>
                    <w:t>60</w:t>
                  </w:r>
                </w:p>
              </w:tc>
              <w:tc>
                <w:tcPr>
                  <w:tcW w:w="1517" w:type="pct"/>
                  <w:tcBorders>
                    <w:right w:val="single" w:color="auto" w:sz="4" w:space="0"/>
                  </w:tcBorders>
                  <w:vAlign w:val="center"/>
                </w:tcPr>
                <w:p w14:paraId="020C9BC5">
                  <w:pPr>
                    <w:pStyle w:val="32"/>
                    <w:bidi w:val="0"/>
                    <w:rPr>
                      <w:rFonts w:hint="default" w:eastAsia="宋体"/>
                      <w:color w:val="auto"/>
                      <w:highlight w:val="none"/>
                      <w:lang w:val="en-US" w:eastAsia="zh-CN"/>
                    </w:rPr>
                  </w:pPr>
                  <w:r>
                    <w:rPr>
                      <w:rFonts w:hint="eastAsia"/>
                      <w:highlight w:val="none"/>
                      <w:lang w:val="en-US" w:eastAsia="zh-CN"/>
                    </w:rPr>
                    <w:t>50</w:t>
                  </w:r>
                </w:p>
              </w:tc>
            </w:tr>
            <w:tr w14:paraId="492F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continue"/>
                  <w:tcBorders>
                    <w:left w:val="single" w:color="auto" w:sz="4" w:space="0"/>
                  </w:tcBorders>
                  <w:vAlign w:val="center"/>
                </w:tcPr>
                <w:p w14:paraId="1B5FE765">
                  <w:pPr>
                    <w:spacing w:before="31" w:after="31"/>
                    <w:rPr>
                      <w:color w:val="auto"/>
                      <w:highlight w:val="none"/>
                    </w:rPr>
                  </w:pPr>
                </w:p>
              </w:tc>
              <w:tc>
                <w:tcPr>
                  <w:tcW w:w="1401" w:type="pct"/>
                  <w:vAlign w:val="center"/>
                </w:tcPr>
                <w:p w14:paraId="0D414178">
                  <w:pPr>
                    <w:pStyle w:val="32"/>
                    <w:bidi w:val="0"/>
                    <w:rPr>
                      <w:color w:val="auto"/>
                      <w:highlight w:val="none"/>
                    </w:rPr>
                  </w:pPr>
                  <w:r>
                    <w:rPr>
                      <w:rFonts w:hint="eastAsia"/>
                      <w:highlight w:val="none"/>
                    </w:rPr>
                    <w:t>达标情况</w:t>
                  </w:r>
                </w:p>
              </w:tc>
              <w:tc>
                <w:tcPr>
                  <w:tcW w:w="1514" w:type="pct"/>
                  <w:tcBorders>
                    <w:right w:val="single" w:color="auto" w:sz="4" w:space="0"/>
                  </w:tcBorders>
                  <w:vAlign w:val="center"/>
                </w:tcPr>
                <w:p w14:paraId="49AED141">
                  <w:pPr>
                    <w:pStyle w:val="32"/>
                    <w:bidi w:val="0"/>
                    <w:rPr>
                      <w:color w:val="auto"/>
                      <w:highlight w:val="none"/>
                    </w:rPr>
                  </w:pPr>
                  <w:r>
                    <w:rPr>
                      <w:rFonts w:hint="eastAsia"/>
                      <w:highlight w:val="none"/>
                    </w:rPr>
                    <w:t>达标</w:t>
                  </w:r>
                </w:p>
              </w:tc>
              <w:tc>
                <w:tcPr>
                  <w:tcW w:w="1517" w:type="pct"/>
                  <w:tcBorders>
                    <w:right w:val="single" w:color="auto" w:sz="4" w:space="0"/>
                  </w:tcBorders>
                  <w:vAlign w:val="center"/>
                </w:tcPr>
                <w:p w14:paraId="27AB21DD">
                  <w:pPr>
                    <w:pStyle w:val="32"/>
                    <w:bidi w:val="0"/>
                    <w:rPr>
                      <w:rFonts w:hint="eastAsia"/>
                      <w:color w:val="auto"/>
                      <w:highlight w:val="none"/>
                    </w:rPr>
                  </w:pPr>
                  <w:r>
                    <w:rPr>
                      <w:rFonts w:hint="eastAsia"/>
                      <w:highlight w:val="none"/>
                    </w:rPr>
                    <w:t>达标</w:t>
                  </w:r>
                </w:p>
              </w:tc>
            </w:tr>
            <w:tr w14:paraId="5E2A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continue"/>
                  <w:tcBorders>
                    <w:left w:val="single" w:color="auto" w:sz="4" w:space="0"/>
                  </w:tcBorders>
                  <w:vAlign w:val="center"/>
                </w:tcPr>
                <w:p w14:paraId="52874A42">
                  <w:pPr>
                    <w:spacing w:before="31" w:after="31"/>
                    <w:rPr>
                      <w:color w:val="auto"/>
                      <w:highlight w:val="none"/>
                    </w:rPr>
                  </w:pPr>
                </w:p>
              </w:tc>
              <w:tc>
                <w:tcPr>
                  <w:tcW w:w="1401" w:type="pct"/>
                  <w:vAlign w:val="center"/>
                </w:tcPr>
                <w:p w14:paraId="1A288F78">
                  <w:pPr>
                    <w:pStyle w:val="32"/>
                    <w:bidi w:val="0"/>
                    <w:rPr>
                      <w:color w:val="auto"/>
                      <w:highlight w:val="none"/>
                    </w:rPr>
                  </w:pPr>
                  <w:r>
                    <w:rPr>
                      <w:rFonts w:hint="eastAsia"/>
                      <w:highlight w:val="none"/>
                    </w:rPr>
                    <w:t>执行标准</w:t>
                  </w:r>
                </w:p>
              </w:tc>
              <w:tc>
                <w:tcPr>
                  <w:tcW w:w="3032" w:type="pct"/>
                  <w:gridSpan w:val="2"/>
                  <w:tcBorders>
                    <w:right w:val="single" w:color="auto" w:sz="4" w:space="0"/>
                  </w:tcBorders>
                  <w:vAlign w:val="center"/>
                </w:tcPr>
                <w:p w14:paraId="76F35A46">
                  <w:pPr>
                    <w:pStyle w:val="32"/>
                    <w:bidi w:val="0"/>
                    <w:rPr>
                      <w:color w:val="auto"/>
                      <w:highlight w:val="none"/>
                    </w:rPr>
                  </w:pPr>
                  <w:r>
                    <w:rPr>
                      <w:rFonts w:hint="eastAsia"/>
                      <w:highlight w:val="none"/>
                    </w:rPr>
                    <w:t>《声环境质量标准》（GB3096-2008）</w:t>
                  </w:r>
                  <w:r>
                    <w:rPr>
                      <w:rFonts w:hint="eastAsia"/>
                      <w:highlight w:val="none"/>
                      <w:lang w:val="en-US" w:eastAsia="zh-CN"/>
                    </w:rPr>
                    <w:t>2</w:t>
                  </w:r>
                  <w:r>
                    <w:rPr>
                      <w:rFonts w:hint="eastAsia"/>
                      <w:highlight w:val="none"/>
                    </w:rPr>
                    <w:t>类标准</w:t>
                  </w:r>
                </w:p>
              </w:tc>
            </w:tr>
          </w:tbl>
          <w:p w14:paraId="6010C72B">
            <w:pPr>
              <w:ind w:firstLine="480"/>
              <w:rPr>
                <w:color w:val="auto"/>
                <w:highlight w:val="none"/>
              </w:rPr>
            </w:pPr>
            <w:r>
              <w:rPr>
                <w:rFonts w:hint="eastAsia"/>
                <w:color w:val="auto"/>
                <w:highlight w:val="none"/>
              </w:rPr>
              <w:t>由上表可知，项目厂界</w:t>
            </w:r>
            <w:r>
              <w:rPr>
                <w:rFonts w:hint="eastAsia"/>
                <w:color w:val="auto"/>
                <w:highlight w:val="none"/>
                <w:lang w:val="en-US" w:eastAsia="zh-CN"/>
              </w:rPr>
              <w:t>均</w:t>
            </w:r>
            <w:r>
              <w:rPr>
                <w:rFonts w:hint="eastAsia"/>
                <w:color w:val="auto"/>
                <w:highlight w:val="none"/>
              </w:rPr>
              <w:t>能满足《声环境质量标准</w:t>
            </w:r>
            <w:r>
              <w:rPr>
                <w:rFonts w:hint="eastAsia"/>
                <w:color w:val="auto"/>
                <w:highlight w:val="none"/>
                <w:lang w:eastAsia="zh-CN"/>
              </w:rPr>
              <w:t>》</w:t>
            </w:r>
            <w:r>
              <w:rPr>
                <w:rFonts w:hint="eastAsia"/>
                <w:color w:val="auto"/>
                <w:highlight w:val="none"/>
              </w:rPr>
              <w:t>（GB3096-2008）</w:t>
            </w:r>
            <w:r>
              <w:rPr>
                <w:rFonts w:hint="eastAsia"/>
                <w:color w:val="auto"/>
                <w:highlight w:val="none"/>
                <w:lang w:val="en-US" w:eastAsia="zh-CN"/>
              </w:rPr>
              <w:t>2</w:t>
            </w:r>
            <w:r>
              <w:rPr>
                <w:rFonts w:hint="eastAsia"/>
                <w:color w:val="auto"/>
                <w:highlight w:val="none"/>
              </w:rPr>
              <w:t>类标准</w:t>
            </w:r>
            <w:r>
              <w:rPr>
                <w:rFonts w:hint="eastAsia"/>
                <w:color w:val="auto"/>
                <w:highlight w:val="none"/>
                <w:lang w:eastAsia="zh-CN"/>
              </w:rPr>
              <w:t>，</w:t>
            </w:r>
            <w:r>
              <w:rPr>
                <w:rFonts w:hint="eastAsia"/>
                <w:color w:val="auto"/>
                <w:highlight w:val="none"/>
              </w:rPr>
              <w:t>说明区域声环境质量较好。</w:t>
            </w:r>
          </w:p>
          <w:p w14:paraId="77307E6A">
            <w:pPr>
              <w:ind w:firstLine="482"/>
              <w:rPr>
                <w:b/>
                <w:bCs/>
                <w:color w:val="auto"/>
              </w:rPr>
            </w:pPr>
            <w:r>
              <w:rPr>
                <w:rFonts w:hint="eastAsia"/>
                <w:b/>
                <w:bCs/>
                <w:color w:val="auto"/>
              </w:rPr>
              <w:t>4、土壤、地下水</w:t>
            </w:r>
          </w:p>
          <w:p w14:paraId="4C85793B">
            <w:pPr>
              <w:ind w:firstLine="480"/>
              <w:rPr>
                <w:color w:val="auto"/>
              </w:rPr>
            </w:pPr>
            <w:r>
              <w:rPr>
                <w:rFonts w:hint="eastAsia"/>
                <w:color w:val="auto"/>
              </w:rPr>
              <w:t>根据《</w:t>
            </w:r>
            <w:bookmarkStart w:id="5" w:name="建设项目环境影响报告表编制技术指南"/>
            <w:bookmarkEnd w:id="5"/>
            <w:r>
              <w:rPr>
                <w:rFonts w:hint="eastAsia"/>
                <w:color w:val="auto"/>
              </w:rPr>
              <w:t>建设项目环境影响报告表编制技术指南</w:t>
            </w:r>
            <w:bookmarkStart w:id="6" w:name="（污染影响类）（试行）"/>
            <w:bookmarkEnd w:id="6"/>
            <w:r>
              <w:rPr>
                <w:rFonts w:hint="eastAsia"/>
                <w:color w:val="auto"/>
              </w:rPr>
              <w:t>（污染影响类）（试行）》地下水、土壤环境原则上不开展环境质量现状调查。建设项目存在土壤、地下水环境污染途径的，应结合污染源、保护目标分布情况开展现状调查以留作背景值。</w:t>
            </w:r>
            <w:r>
              <w:rPr>
                <w:rFonts w:hint="eastAsia"/>
                <w:color w:val="auto"/>
                <w:highlight w:val="none"/>
              </w:rPr>
              <w:t>本项目</w:t>
            </w:r>
            <w:r>
              <w:rPr>
                <w:rFonts w:hint="eastAsia"/>
                <w:color w:val="auto"/>
                <w:highlight w:val="none"/>
                <w:lang w:val="en-US" w:eastAsia="zh-CN"/>
              </w:rPr>
              <w:t>主楼</w:t>
            </w:r>
            <w:r>
              <w:rPr>
                <w:rFonts w:hint="eastAsia"/>
                <w:color w:val="auto"/>
                <w:highlight w:val="none"/>
              </w:rPr>
              <w:t>地面已硬化，</w:t>
            </w:r>
            <w:r>
              <w:rPr>
                <w:rFonts w:hint="eastAsia"/>
                <w:color w:val="auto"/>
                <w:highlight w:val="none"/>
                <w:lang w:val="en-US" w:eastAsia="zh-CN"/>
              </w:rPr>
              <w:t>不涉及重金属和持久性有机污染物的排放，正常情况下</w:t>
            </w:r>
            <w:r>
              <w:rPr>
                <w:rFonts w:hint="eastAsia"/>
                <w:color w:val="auto"/>
                <w:highlight w:val="none"/>
              </w:rPr>
              <w:t>不存在影响地下水和土壤环境的途径，故不开展地下水、土壤环境现状调查。</w:t>
            </w:r>
          </w:p>
          <w:p w14:paraId="406219BA">
            <w:pPr>
              <w:ind w:firstLine="482"/>
              <w:rPr>
                <w:b/>
                <w:bCs/>
                <w:color w:val="auto"/>
              </w:rPr>
            </w:pPr>
            <w:r>
              <w:rPr>
                <w:rFonts w:hint="eastAsia"/>
                <w:b/>
                <w:bCs/>
                <w:color w:val="auto"/>
              </w:rPr>
              <w:t>5、生态环境、电磁辐射</w:t>
            </w:r>
          </w:p>
          <w:p w14:paraId="23F1CCD1">
            <w:pPr>
              <w:ind w:firstLine="480"/>
              <w:rPr>
                <w:color w:val="auto"/>
              </w:rPr>
            </w:pPr>
            <w:r>
              <w:rPr>
                <w:rFonts w:hint="eastAsia"/>
                <w:color w:val="auto"/>
              </w:rPr>
              <w:t>根据《建设项目环境影响报告表编制技术指南（污染影响类）（试行）》，建设项目新增用地且用地范围内含有生态环境保护目标时，应进行生态现状调查。本项目</w:t>
            </w:r>
            <w:r>
              <w:rPr>
                <w:rFonts w:hint="eastAsia"/>
                <w:color w:val="auto"/>
                <w:lang w:val="en-US" w:eastAsia="zh-CN"/>
              </w:rPr>
              <w:t>利用</w:t>
            </w:r>
            <w:r>
              <w:rPr>
                <w:rFonts w:hint="eastAsia"/>
                <w:color w:val="auto"/>
                <w:highlight w:val="none"/>
              </w:rPr>
              <w:t>安徽淮南市</w:t>
            </w:r>
            <w:r>
              <w:rPr>
                <w:rFonts w:hint="eastAsia"/>
                <w:color w:val="auto"/>
                <w:highlight w:val="none"/>
                <w:lang w:val="en-US" w:eastAsia="zh-CN"/>
              </w:rPr>
              <w:t>高新技术开发区福利院东南侧已建主楼</w:t>
            </w:r>
            <w:r>
              <w:rPr>
                <w:rFonts w:hint="eastAsia"/>
                <w:color w:val="auto"/>
              </w:rPr>
              <w:t>，无新增用地且周边无生态环境保护目标，故</w:t>
            </w:r>
            <w:r>
              <w:rPr>
                <w:rFonts w:hint="eastAsia"/>
                <w:color w:val="auto"/>
                <w:lang w:val="en-US" w:eastAsia="zh-CN"/>
              </w:rPr>
              <w:t>不开展</w:t>
            </w:r>
            <w:r>
              <w:rPr>
                <w:rFonts w:hint="eastAsia"/>
                <w:color w:val="auto"/>
              </w:rPr>
              <w:t>生态环境质量监测。</w:t>
            </w:r>
          </w:p>
          <w:p w14:paraId="26F3A22F">
            <w:pPr>
              <w:ind w:firstLine="480"/>
              <w:rPr>
                <w:color w:val="auto"/>
              </w:rPr>
            </w:pPr>
            <w:r>
              <w:rPr>
                <w:rFonts w:hint="eastAsia"/>
                <w:color w:val="auto"/>
              </w:rPr>
              <w:t>本项目</w:t>
            </w:r>
            <w:r>
              <w:rPr>
                <w:rFonts w:hint="eastAsia"/>
                <w:color w:val="auto"/>
                <w:lang w:val="en-US" w:eastAsia="zh-CN"/>
              </w:rPr>
              <w:t>无核磁共振、CT等辐射设备，</w:t>
            </w:r>
            <w:r>
              <w:rPr>
                <w:rFonts w:hint="eastAsia"/>
                <w:color w:val="auto"/>
              </w:rPr>
              <w:t>不存在电磁辐射等污染，因此</w:t>
            </w:r>
            <w:r>
              <w:rPr>
                <w:rFonts w:hint="eastAsia"/>
                <w:color w:val="auto"/>
                <w:lang w:val="en-US" w:eastAsia="zh-CN"/>
              </w:rPr>
              <w:t>未</w:t>
            </w:r>
            <w:r>
              <w:rPr>
                <w:rFonts w:hint="eastAsia"/>
                <w:color w:val="auto"/>
              </w:rPr>
              <w:t>开展电磁辐射现状监测与评价。</w:t>
            </w:r>
          </w:p>
        </w:tc>
      </w:tr>
      <w:tr w14:paraId="3671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707" w:type="dxa"/>
            <w:tcBorders>
              <w:tl2br w:val="nil"/>
              <w:tr2bl w:val="nil"/>
            </w:tcBorders>
            <w:shd w:val="clear" w:color="auto" w:fill="auto"/>
            <w:vAlign w:val="center"/>
          </w:tcPr>
          <w:p w14:paraId="1C961CB2">
            <w:pPr>
              <w:ind w:firstLine="0" w:firstLineChars="0"/>
              <w:jc w:val="center"/>
              <w:rPr>
                <w:color w:val="auto"/>
              </w:rPr>
            </w:pPr>
            <w:r>
              <w:rPr>
                <w:rFonts w:hint="eastAsia" w:ascii="宋体"/>
                <w:color w:val="auto"/>
              </w:rPr>
              <w:t>环境保护目标</w:t>
            </w:r>
          </w:p>
        </w:tc>
        <w:tc>
          <w:tcPr>
            <w:tcW w:w="8581" w:type="dxa"/>
            <w:tcBorders>
              <w:tl2br w:val="nil"/>
              <w:tr2bl w:val="nil"/>
            </w:tcBorders>
            <w:shd w:val="clear" w:color="auto" w:fill="auto"/>
          </w:tcPr>
          <w:p w14:paraId="3EF24A1D">
            <w:pPr>
              <w:ind w:firstLine="480"/>
              <w:rPr>
                <w:color w:val="auto"/>
              </w:rPr>
            </w:pPr>
            <w:r>
              <w:rPr>
                <w:color w:val="auto"/>
              </w:rPr>
              <w:t>本项目位于</w:t>
            </w:r>
            <w:r>
              <w:rPr>
                <w:rFonts w:hint="eastAsia"/>
                <w:color w:val="auto"/>
              </w:rPr>
              <w:t>淮南市</w:t>
            </w:r>
            <w:r>
              <w:rPr>
                <w:rFonts w:hint="eastAsia"/>
                <w:color w:val="auto"/>
                <w:lang w:val="en-US" w:eastAsia="zh-CN"/>
              </w:rPr>
              <w:t>高新技术开发区</w:t>
            </w:r>
            <w:r>
              <w:rPr>
                <w:rFonts w:hint="eastAsia"/>
                <w:color w:val="auto"/>
              </w:rPr>
              <w:t>内</w:t>
            </w:r>
            <w:r>
              <w:rPr>
                <w:color w:val="auto"/>
              </w:rPr>
              <w:t>，项目评价范围内</w:t>
            </w:r>
            <w:r>
              <w:rPr>
                <w:rFonts w:hint="eastAsia"/>
                <w:color w:val="auto"/>
              </w:rPr>
              <w:t>没有其他</w:t>
            </w:r>
            <w:r>
              <w:rPr>
                <w:color w:val="auto"/>
              </w:rPr>
              <w:t>自然保护区、风景旅游点和文物古迹等需要特殊保护的环境敏感对象。总体上不因本项目的实施而改变区域环境现有功能，具体环境保护目标如下：</w:t>
            </w:r>
          </w:p>
          <w:p w14:paraId="1011936B">
            <w:pPr>
              <w:numPr>
                <w:ilvl w:val="0"/>
                <w:numId w:val="6"/>
              </w:numPr>
              <w:ind w:firstLine="482"/>
              <w:rPr>
                <w:b/>
                <w:bCs/>
                <w:color w:val="auto"/>
              </w:rPr>
            </w:pPr>
            <w:r>
              <w:rPr>
                <w:rFonts w:hint="eastAsia"/>
                <w:b/>
                <w:bCs/>
                <w:color w:val="auto"/>
              </w:rPr>
              <w:t>大气环境保护目标</w:t>
            </w:r>
            <w:r>
              <w:rPr>
                <w:b/>
                <w:bCs/>
                <w:color w:val="auto"/>
              </w:rPr>
              <w:t>：</w:t>
            </w:r>
          </w:p>
          <w:p w14:paraId="7834497E">
            <w:pPr>
              <w:bidi w:val="0"/>
              <w:rPr>
                <w:rFonts w:hint="eastAsia" w:eastAsia="宋体"/>
                <w:lang w:eastAsia="zh-CN"/>
              </w:rPr>
            </w:pPr>
            <w:r>
              <w:rPr>
                <w:rFonts w:hint="eastAsia"/>
              </w:rPr>
              <w:t>本项目具体的大气环境保护目标详见下表</w:t>
            </w:r>
            <w:r>
              <w:rPr>
                <w:rFonts w:hint="eastAsia"/>
                <w:lang w:eastAsia="zh-CN"/>
              </w:rPr>
              <w:t>。</w:t>
            </w:r>
          </w:p>
          <w:p w14:paraId="4E0E6B97">
            <w:pPr>
              <w:pStyle w:val="41"/>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表3-4  项目周边主要大气环境保护目标一览表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089"/>
              <w:gridCol w:w="1249"/>
              <w:gridCol w:w="1154"/>
              <w:gridCol w:w="1684"/>
              <w:gridCol w:w="1175"/>
              <w:gridCol w:w="704"/>
              <w:gridCol w:w="829"/>
            </w:tblGrid>
            <w:tr w14:paraId="7B3E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2" w:type="pct"/>
                  <w:vMerge w:val="restart"/>
                  <w:noWrap w:val="0"/>
                  <w:vAlign w:val="center"/>
                </w:tcPr>
                <w:p w14:paraId="345960E4">
                  <w:pPr>
                    <w:pStyle w:val="45"/>
                    <w:keepNext w:val="0"/>
                    <w:keepLines w:val="0"/>
                    <w:suppressLineNumbers w:val="0"/>
                    <w:bidi w:val="0"/>
                    <w:spacing w:before="0" w:beforeAutospacing="0" w:after="0" w:afterAutospacing="0"/>
                    <w:rPr>
                      <w:b/>
                      <w:bCs/>
                    </w:rPr>
                  </w:pPr>
                  <w:r>
                    <w:rPr>
                      <w:rFonts w:hint="eastAsia"/>
                      <w:b/>
                      <w:bCs/>
                    </w:rPr>
                    <w:t>序号</w:t>
                  </w:r>
                </w:p>
              </w:tc>
              <w:tc>
                <w:tcPr>
                  <w:tcW w:w="651" w:type="pct"/>
                  <w:vMerge w:val="restart"/>
                  <w:noWrap w:val="0"/>
                  <w:vAlign w:val="center"/>
                </w:tcPr>
                <w:p w14:paraId="5E705B59">
                  <w:pPr>
                    <w:pStyle w:val="45"/>
                    <w:keepNext w:val="0"/>
                    <w:keepLines w:val="0"/>
                    <w:suppressLineNumbers w:val="0"/>
                    <w:bidi w:val="0"/>
                    <w:spacing w:before="0" w:beforeAutospacing="0" w:after="0" w:afterAutospacing="0"/>
                    <w:rPr>
                      <w:b/>
                      <w:bCs/>
                    </w:rPr>
                  </w:pPr>
                  <w:r>
                    <w:rPr>
                      <w:b/>
                      <w:bCs/>
                    </w:rPr>
                    <w:t>名称</w:t>
                  </w:r>
                </w:p>
              </w:tc>
              <w:tc>
                <w:tcPr>
                  <w:tcW w:w="1438" w:type="pct"/>
                  <w:gridSpan w:val="2"/>
                  <w:noWrap w:val="0"/>
                  <w:vAlign w:val="center"/>
                </w:tcPr>
                <w:p w14:paraId="5B71E5D5">
                  <w:pPr>
                    <w:pStyle w:val="45"/>
                    <w:keepNext w:val="0"/>
                    <w:keepLines w:val="0"/>
                    <w:suppressLineNumbers w:val="0"/>
                    <w:bidi w:val="0"/>
                    <w:spacing w:before="0" w:beforeAutospacing="0" w:after="0" w:afterAutospacing="0"/>
                    <w:rPr>
                      <w:b/>
                      <w:bCs/>
                    </w:rPr>
                  </w:pPr>
                  <w:r>
                    <w:rPr>
                      <w:b/>
                      <w:bCs/>
                    </w:rPr>
                    <w:t>坐标</w:t>
                  </w:r>
                </w:p>
              </w:tc>
              <w:tc>
                <w:tcPr>
                  <w:tcW w:w="1007" w:type="pct"/>
                  <w:vMerge w:val="restart"/>
                  <w:noWrap w:val="0"/>
                  <w:vAlign w:val="center"/>
                </w:tcPr>
                <w:p w14:paraId="35F97785">
                  <w:pPr>
                    <w:pStyle w:val="45"/>
                    <w:keepNext w:val="0"/>
                    <w:keepLines w:val="0"/>
                    <w:suppressLineNumbers w:val="0"/>
                    <w:bidi w:val="0"/>
                    <w:spacing w:before="0" w:beforeAutospacing="0" w:after="0" w:afterAutospacing="0"/>
                    <w:rPr>
                      <w:b/>
                      <w:bCs/>
                    </w:rPr>
                  </w:pPr>
                  <w:r>
                    <w:rPr>
                      <w:b/>
                      <w:bCs/>
                    </w:rPr>
                    <w:t>保护内容</w:t>
                  </w:r>
                  <w:r>
                    <w:rPr>
                      <w:rFonts w:hint="eastAsia"/>
                      <w:b/>
                      <w:bCs/>
                    </w:rPr>
                    <w:t>（户/人）</w:t>
                  </w:r>
                </w:p>
              </w:tc>
              <w:tc>
                <w:tcPr>
                  <w:tcW w:w="702" w:type="pct"/>
                  <w:vMerge w:val="restart"/>
                  <w:noWrap w:val="0"/>
                  <w:vAlign w:val="center"/>
                </w:tcPr>
                <w:p w14:paraId="5C56A46A">
                  <w:pPr>
                    <w:pStyle w:val="45"/>
                    <w:keepNext w:val="0"/>
                    <w:keepLines w:val="0"/>
                    <w:suppressLineNumbers w:val="0"/>
                    <w:bidi w:val="0"/>
                    <w:spacing w:before="0" w:beforeAutospacing="0" w:after="0" w:afterAutospacing="0"/>
                    <w:rPr>
                      <w:rFonts w:hint="eastAsia"/>
                      <w:b/>
                      <w:bCs/>
                    </w:rPr>
                  </w:pPr>
                  <w:r>
                    <w:rPr>
                      <w:b/>
                      <w:bCs/>
                    </w:rPr>
                    <w:t>环境功能</w:t>
                  </w:r>
                </w:p>
                <w:p w14:paraId="284AC500">
                  <w:pPr>
                    <w:pStyle w:val="45"/>
                    <w:keepNext w:val="0"/>
                    <w:keepLines w:val="0"/>
                    <w:suppressLineNumbers w:val="0"/>
                    <w:bidi w:val="0"/>
                    <w:spacing w:before="0" w:beforeAutospacing="0" w:after="0" w:afterAutospacing="0"/>
                    <w:rPr>
                      <w:b/>
                      <w:bCs/>
                    </w:rPr>
                  </w:pPr>
                  <w:r>
                    <w:rPr>
                      <w:b/>
                      <w:bCs/>
                    </w:rPr>
                    <w:t>区划</w:t>
                  </w:r>
                </w:p>
              </w:tc>
              <w:tc>
                <w:tcPr>
                  <w:tcW w:w="421" w:type="pct"/>
                  <w:vMerge w:val="restart"/>
                  <w:noWrap w:val="0"/>
                  <w:vAlign w:val="center"/>
                </w:tcPr>
                <w:p w14:paraId="398A3060">
                  <w:pPr>
                    <w:pStyle w:val="45"/>
                    <w:keepNext w:val="0"/>
                    <w:keepLines w:val="0"/>
                    <w:suppressLineNumbers w:val="0"/>
                    <w:bidi w:val="0"/>
                    <w:spacing w:before="0" w:beforeAutospacing="0" w:after="0" w:afterAutospacing="0"/>
                    <w:rPr>
                      <w:b/>
                      <w:bCs/>
                    </w:rPr>
                  </w:pPr>
                  <w:r>
                    <w:rPr>
                      <w:b/>
                      <w:bCs/>
                    </w:rPr>
                    <w:t>相对厂址方位</w:t>
                  </w:r>
                </w:p>
              </w:tc>
              <w:tc>
                <w:tcPr>
                  <w:tcW w:w="496" w:type="pct"/>
                  <w:vMerge w:val="restart"/>
                  <w:noWrap w:val="0"/>
                  <w:vAlign w:val="center"/>
                </w:tcPr>
                <w:p w14:paraId="6786B5FF">
                  <w:pPr>
                    <w:pStyle w:val="45"/>
                    <w:keepNext w:val="0"/>
                    <w:keepLines w:val="0"/>
                    <w:suppressLineNumbers w:val="0"/>
                    <w:bidi w:val="0"/>
                    <w:spacing w:before="0" w:beforeAutospacing="0" w:after="0" w:afterAutospacing="0"/>
                    <w:rPr>
                      <w:rFonts w:hint="eastAsia" w:eastAsia="宋体"/>
                      <w:b/>
                      <w:bCs/>
                      <w:lang w:val="en-US" w:eastAsia="zh-CN"/>
                    </w:rPr>
                  </w:pPr>
                  <w:r>
                    <w:rPr>
                      <w:b/>
                      <w:bCs/>
                    </w:rPr>
                    <w:t>相对厂界距离</w:t>
                  </w:r>
                  <w:r>
                    <w:rPr>
                      <w:rFonts w:hint="eastAsia"/>
                      <w:b/>
                      <w:bCs/>
                      <w:lang w:val="en-US" w:eastAsia="zh-CN"/>
                    </w:rPr>
                    <w:t>m</w:t>
                  </w:r>
                </w:p>
              </w:tc>
            </w:tr>
            <w:tr w14:paraId="51FA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2" w:type="pct"/>
                  <w:vMerge w:val="continue"/>
                  <w:noWrap w:val="0"/>
                  <w:vAlign w:val="center"/>
                </w:tcPr>
                <w:p w14:paraId="2E239BD8">
                  <w:pPr>
                    <w:pStyle w:val="45"/>
                    <w:keepNext w:val="0"/>
                    <w:keepLines w:val="0"/>
                    <w:suppressLineNumbers w:val="0"/>
                    <w:bidi w:val="0"/>
                    <w:spacing w:before="0" w:beforeAutospacing="0" w:after="0" w:afterAutospacing="0"/>
                  </w:pPr>
                </w:p>
              </w:tc>
              <w:tc>
                <w:tcPr>
                  <w:tcW w:w="651" w:type="pct"/>
                  <w:vMerge w:val="continue"/>
                  <w:noWrap w:val="0"/>
                  <w:vAlign w:val="center"/>
                </w:tcPr>
                <w:p w14:paraId="723EDC4E">
                  <w:pPr>
                    <w:pStyle w:val="45"/>
                    <w:keepNext w:val="0"/>
                    <w:keepLines w:val="0"/>
                    <w:suppressLineNumbers w:val="0"/>
                    <w:bidi w:val="0"/>
                    <w:spacing w:before="0" w:beforeAutospacing="0" w:after="0" w:afterAutospacing="0"/>
                  </w:pPr>
                </w:p>
              </w:tc>
              <w:tc>
                <w:tcPr>
                  <w:tcW w:w="747" w:type="pct"/>
                  <w:noWrap w:val="0"/>
                  <w:vAlign w:val="center"/>
                </w:tcPr>
                <w:p w14:paraId="1D911F85">
                  <w:pPr>
                    <w:pStyle w:val="45"/>
                    <w:keepNext w:val="0"/>
                    <w:keepLines w:val="0"/>
                    <w:suppressLineNumbers w:val="0"/>
                    <w:bidi w:val="0"/>
                    <w:spacing w:before="0" w:beforeAutospacing="0" w:after="0" w:afterAutospacing="0"/>
                    <w:rPr>
                      <w:b/>
                      <w:bCs/>
                    </w:rPr>
                  </w:pPr>
                  <w:r>
                    <w:rPr>
                      <w:b/>
                      <w:bCs/>
                    </w:rPr>
                    <w:t>X</w:t>
                  </w:r>
                </w:p>
              </w:tc>
              <w:tc>
                <w:tcPr>
                  <w:tcW w:w="690" w:type="pct"/>
                  <w:noWrap w:val="0"/>
                  <w:vAlign w:val="center"/>
                </w:tcPr>
                <w:p w14:paraId="65D91EB1">
                  <w:pPr>
                    <w:pStyle w:val="45"/>
                    <w:keepNext w:val="0"/>
                    <w:keepLines w:val="0"/>
                    <w:suppressLineNumbers w:val="0"/>
                    <w:bidi w:val="0"/>
                    <w:spacing w:before="0" w:beforeAutospacing="0" w:after="0" w:afterAutospacing="0"/>
                    <w:rPr>
                      <w:b/>
                      <w:bCs/>
                    </w:rPr>
                  </w:pPr>
                  <w:r>
                    <w:rPr>
                      <w:b/>
                      <w:bCs/>
                    </w:rPr>
                    <w:t>Y</w:t>
                  </w:r>
                </w:p>
              </w:tc>
              <w:tc>
                <w:tcPr>
                  <w:tcW w:w="1007" w:type="pct"/>
                  <w:vMerge w:val="continue"/>
                  <w:noWrap w:val="0"/>
                  <w:vAlign w:val="center"/>
                </w:tcPr>
                <w:p w14:paraId="1F33073A">
                  <w:pPr>
                    <w:pStyle w:val="45"/>
                    <w:keepNext w:val="0"/>
                    <w:keepLines w:val="0"/>
                    <w:suppressLineNumbers w:val="0"/>
                    <w:bidi w:val="0"/>
                    <w:spacing w:before="0" w:beforeAutospacing="0" w:after="0" w:afterAutospacing="0"/>
                  </w:pPr>
                </w:p>
              </w:tc>
              <w:tc>
                <w:tcPr>
                  <w:tcW w:w="702" w:type="pct"/>
                  <w:vMerge w:val="continue"/>
                  <w:noWrap w:val="0"/>
                  <w:vAlign w:val="center"/>
                </w:tcPr>
                <w:p w14:paraId="736DC5AB">
                  <w:pPr>
                    <w:pStyle w:val="45"/>
                    <w:keepNext w:val="0"/>
                    <w:keepLines w:val="0"/>
                    <w:suppressLineNumbers w:val="0"/>
                    <w:bidi w:val="0"/>
                    <w:spacing w:before="0" w:beforeAutospacing="0" w:after="0" w:afterAutospacing="0"/>
                  </w:pPr>
                </w:p>
              </w:tc>
              <w:tc>
                <w:tcPr>
                  <w:tcW w:w="421" w:type="pct"/>
                  <w:vMerge w:val="continue"/>
                  <w:noWrap w:val="0"/>
                  <w:vAlign w:val="center"/>
                </w:tcPr>
                <w:p w14:paraId="55071A09">
                  <w:pPr>
                    <w:pStyle w:val="45"/>
                    <w:keepNext w:val="0"/>
                    <w:keepLines w:val="0"/>
                    <w:suppressLineNumbers w:val="0"/>
                    <w:bidi w:val="0"/>
                    <w:spacing w:before="0" w:beforeAutospacing="0" w:after="0" w:afterAutospacing="0"/>
                  </w:pPr>
                </w:p>
              </w:tc>
              <w:tc>
                <w:tcPr>
                  <w:tcW w:w="496" w:type="pct"/>
                  <w:vMerge w:val="continue"/>
                  <w:noWrap w:val="0"/>
                  <w:vAlign w:val="center"/>
                </w:tcPr>
                <w:p w14:paraId="553096F7">
                  <w:pPr>
                    <w:pStyle w:val="45"/>
                    <w:keepNext w:val="0"/>
                    <w:keepLines w:val="0"/>
                    <w:suppressLineNumbers w:val="0"/>
                    <w:bidi w:val="0"/>
                    <w:spacing w:before="0" w:beforeAutospacing="0" w:after="0" w:afterAutospacing="0"/>
                  </w:pPr>
                </w:p>
              </w:tc>
            </w:tr>
            <w:tr w14:paraId="698B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2" w:type="pct"/>
                  <w:noWrap w:val="0"/>
                  <w:vAlign w:val="center"/>
                </w:tcPr>
                <w:p w14:paraId="5E3F6D8A">
                  <w:pPr>
                    <w:pStyle w:val="45"/>
                    <w:keepNext w:val="0"/>
                    <w:keepLines w:val="0"/>
                    <w:suppressLineNumbers w:val="0"/>
                    <w:bidi w:val="0"/>
                    <w:spacing w:before="0" w:beforeAutospacing="0" w:after="0" w:afterAutospacing="0"/>
                  </w:pPr>
                  <w:r>
                    <w:rPr>
                      <w:rFonts w:hint="eastAsia"/>
                    </w:rPr>
                    <w:t>1</w:t>
                  </w:r>
                </w:p>
              </w:tc>
              <w:tc>
                <w:tcPr>
                  <w:tcW w:w="651" w:type="pct"/>
                  <w:shd w:val="clear" w:color="auto" w:fill="auto"/>
                  <w:noWrap w:val="0"/>
                  <w:vAlign w:val="center"/>
                </w:tcPr>
                <w:p w14:paraId="64EFE3FC">
                  <w:pPr>
                    <w:pStyle w:val="32"/>
                    <w:bidi w:val="0"/>
                    <w:rPr>
                      <w:rFonts w:hint="default"/>
                      <w:lang w:val="en-US" w:eastAsia="zh-CN"/>
                    </w:rPr>
                  </w:pPr>
                  <w:r>
                    <w:rPr>
                      <w:rFonts w:hint="eastAsia"/>
                      <w:lang w:val="en-US" w:eastAsia="zh-CN"/>
                    </w:rPr>
                    <w:t>金山花园</w:t>
                  </w:r>
                </w:p>
              </w:tc>
              <w:tc>
                <w:tcPr>
                  <w:tcW w:w="747" w:type="pct"/>
                  <w:shd w:val="clear" w:color="auto" w:fill="auto"/>
                  <w:noWrap w:val="0"/>
                  <w:vAlign w:val="center"/>
                </w:tcPr>
                <w:p w14:paraId="33079A0B">
                  <w:pPr>
                    <w:pStyle w:val="32"/>
                    <w:bidi w:val="0"/>
                    <w:rPr>
                      <w:rFonts w:hint="default"/>
                      <w:lang w:val="en-US" w:eastAsia="zh-CN"/>
                    </w:rPr>
                  </w:pPr>
                  <w:r>
                    <w:rPr>
                      <w:rFonts w:hint="eastAsia"/>
                    </w:rPr>
                    <w:t>116.977331,</w:t>
                  </w:r>
                </w:p>
              </w:tc>
              <w:tc>
                <w:tcPr>
                  <w:tcW w:w="690" w:type="pct"/>
                  <w:shd w:val="clear" w:color="auto" w:fill="auto"/>
                  <w:noWrap w:val="0"/>
                  <w:vAlign w:val="center"/>
                </w:tcPr>
                <w:p w14:paraId="675359F4">
                  <w:pPr>
                    <w:pStyle w:val="32"/>
                    <w:bidi w:val="0"/>
                    <w:rPr>
                      <w:rFonts w:hint="default"/>
                      <w:lang w:val="en-US" w:eastAsia="zh-CN"/>
                    </w:rPr>
                  </w:pPr>
                  <w:r>
                    <w:rPr>
                      <w:rFonts w:hint="eastAsia"/>
                    </w:rPr>
                    <w:t>32.596283</w:t>
                  </w:r>
                </w:p>
              </w:tc>
              <w:tc>
                <w:tcPr>
                  <w:tcW w:w="1007" w:type="pct"/>
                  <w:noWrap w:val="0"/>
                  <w:vAlign w:val="center"/>
                </w:tcPr>
                <w:p w14:paraId="1157ECCD">
                  <w:pPr>
                    <w:pStyle w:val="32"/>
                    <w:bidi w:val="0"/>
                    <w:rPr>
                      <w:rFonts w:hint="default"/>
                      <w:lang w:val="en-US" w:eastAsia="zh-CN"/>
                    </w:rPr>
                  </w:pPr>
                  <w:r>
                    <w:rPr>
                      <w:rFonts w:hint="eastAsia"/>
                      <w:lang w:val="en-US" w:eastAsia="zh-CN"/>
                    </w:rPr>
                    <w:t>2000</w:t>
                  </w:r>
                </w:p>
              </w:tc>
              <w:tc>
                <w:tcPr>
                  <w:tcW w:w="702" w:type="pct"/>
                  <w:vMerge w:val="restart"/>
                  <w:noWrap w:val="0"/>
                  <w:vAlign w:val="center"/>
                </w:tcPr>
                <w:p w14:paraId="3CD451C0">
                  <w:pPr>
                    <w:pStyle w:val="32"/>
                    <w:bidi w:val="0"/>
                  </w:pPr>
                  <w:r>
                    <w:t>《环境空气质量标准</w:t>
                  </w:r>
                  <w:r>
                    <w:rPr>
                      <w:rFonts w:hint="eastAsia"/>
                    </w:rPr>
                    <w:t>》</w:t>
                  </w:r>
                  <w:r>
                    <w:t>（GB3095-2012）中的二级标准</w:t>
                  </w:r>
                </w:p>
              </w:tc>
              <w:tc>
                <w:tcPr>
                  <w:tcW w:w="421" w:type="pct"/>
                  <w:noWrap w:val="0"/>
                  <w:vAlign w:val="center"/>
                </w:tcPr>
                <w:p w14:paraId="022B14FF">
                  <w:pPr>
                    <w:pStyle w:val="32"/>
                    <w:bidi w:val="0"/>
                    <w:rPr>
                      <w:rFonts w:hint="default"/>
                      <w:lang w:val="en-US" w:eastAsia="zh-CN"/>
                    </w:rPr>
                  </w:pPr>
                  <w:r>
                    <w:rPr>
                      <w:rFonts w:hint="eastAsia"/>
                      <w:lang w:val="en-US" w:eastAsia="zh-CN"/>
                    </w:rPr>
                    <w:t>E</w:t>
                  </w:r>
                </w:p>
              </w:tc>
              <w:tc>
                <w:tcPr>
                  <w:tcW w:w="496" w:type="pct"/>
                  <w:noWrap w:val="0"/>
                  <w:vAlign w:val="center"/>
                </w:tcPr>
                <w:p w14:paraId="77954A0B">
                  <w:pPr>
                    <w:pStyle w:val="32"/>
                    <w:bidi w:val="0"/>
                    <w:rPr>
                      <w:rFonts w:hint="default"/>
                      <w:lang w:val="en-US" w:eastAsia="zh-CN"/>
                    </w:rPr>
                  </w:pPr>
                  <w:r>
                    <w:rPr>
                      <w:rFonts w:hint="eastAsia"/>
                      <w:lang w:val="en-US" w:eastAsia="zh-CN"/>
                    </w:rPr>
                    <w:t>286</w:t>
                  </w:r>
                </w:p>
              </w:tc>
            </w:tr>
            <w:tr w14:paraId="1C2E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2" w:type="pct"/>
                  <w:noWrap w:val="0"/>
                  <w:vAlign w:val="center"/>
                </w:tcPr>
                <w:p w14:paraId="407B9BA1">
                  <w:pPr>
                    <w:pStyle w:val="45"/>
                    <w:keepNext w:val="0"/>
                    <w:keepLines w:val="0"/>
                    <w:suppressLineNumbers w:val="0"/>
                    <w:bidi w:val="0"/>
                    <w:spacing w:before="0" w:beforeAutospacing="0" w:after="0" w:afterAutospacing="0"/>
                    <w:rPr>
                      <w:rFonts w:hint="eastAsia" w:eastAsia="宋体"/>
                      <w:lang w:val="en-US" w:eastAsia="zh-CN"/>
                    </w:rPr>
                  </w:pPr>
                  <w:r>
                    <w:rPr>
                      <w:rFonts w:hint="eastAsia"/>
                      <w:lang w:val="en-US" w:eastAsia="zh-CN"/>
                    </w:rPr>
                    <w:t>2</w:t>
                  </w:r>
                </w:p>
              </w:tc>
              <w:tc>
                <w:tcPr>
                  <w:tcW w:w="651" w:type="pct"/>
                  <w:shd w:val="clear" w:color="auto" w:fill="auto"/>
                  <w:noWrap w:val="0"/>
                  <w:vAlign w:val="center"/>
                </w:tcPr>
                <w:p w14:paraId="5898DFA6">
                  <w:pPr>
                    <w:pStyle w:val="32"/>
                    <w:bidi w:val="0"/>
                    <w:rPr>
                      <w:rFonts w:hint="default"/>
                      <w:lang w:val="en-US" w:eastAsia="zh-CN"/>
                    </w:rPr>
                  </w:pPr>
                  <w:r>
                    <w:rPr>
                      <w:rFonts w:hint="eastAsia"/>
                      <w:lang w:val="en-US" w:eastAsia="zh-CN"/>
                    </w:rPr>
                    <w:t>益城村</w:t>
                  </w:r>
                </w:p>
              </w:tc>
              <w:tc>
                <w:tcPr>
                  <w:tcW w:w="747" w:type="pct"/>
                  <w:shd w:val="clear" w:color="auto" w:fill="auto"/>
                  <w:noWrap w:val="0"/>
                  <w:vAlign w:val="center"/>
                </w:tcPr>
                <w:p w14:paraId="60EF6C68">
                  <w:pPr>
                    <w:pStyle w:val="32"/>
                    <w:bidi w:val="0"/>
                    <w:rPr>
                      <w:rFonts w:hint="eastAsia"/>
                      <w:lang w:val="en-US" w:eastAsia="zh-CN"/>
                    </w:rPr>
                  </w:pPr>
                  <w:r>
                    <w:rPr>
                      <w:rFonts w:hint="eastAsia"/>
                    </w:rPr>
                    <w:t>116.971425</w:t>
                  </w:r>
                </w:p>
              </w:tc>
              <w:tc>
                <w:tcPr>
                  <w:tcW w:w="690" w:type="pct"/>
                  <w:shd w:val="clear" w:color="auto" w:fill="auto"/>
                  <w:noWrap w:val="0"/>
                  <w:vAlign w:val="center"/>
                </w:tcPr>
                <w:p w14:paraId="476D1389">
                  <w:pPr>
                    <w:pStyle w:val="32"/>
                    <w:bidi w:val="0"/>
                    <w:rPr>
                      <w:rFonts w:hint="eastAsia"/>
                      <w:lang w:val="en-US" w:eastAsia="zh-CN"/>
                    </w:rPr>
                  </w:pPr>
                  <w:r>
                    <w:rPr>
                      <w:rFonts w:hint="eastAsia"/>
                    </w:rPr>
                    <w:t>32.589716</w:t>
                  </w:r>
                </w:p>
              </w:tc>
              <w:tc>
                <w:tcPr>
                  <w:tcW w:w="1007" w:type="pct"/>
                  <w:noWrap w:val="0"/>
                  <w:vAlign w:val="center"/>
                </w:tcPr>
                <w:p w14:paraId="40734B64">
                  <w:pPr>
                    <w:pStyle w:val="32"/>
                    <w:bidi w:val="0"/>
                    <w:rPr>
                      <w:rFonts w:hint="default"/>
                      <w:lang w:val="en-US" w:eastAsia="zh-CN"/>
                    </w:rPr>
                  </w:pPr>
                  <w:r>
                    <w:rPr>
                      <w:rFonts w:hint="eastAsia"/>
                      <w:lang w:val="en-US" w:eastAsia="zh-CN"/>
                    </w:rPr>
                    <w:t>60户/200人</w:t>
                  </w:r>
                </w:p>
              </w:tc>
              <w:tc>
                <w:tcPr>
                  <w:tcW w:w="702" w:type="pct"/>
                  <w:vMerge w:val="continue"/>
                  <w:noWrap w:val="0"/>
                  <w:vAlign w:val="center"/>
                </w:tcPr>
                <w:p w14:paraId="0D22E8CA">
                  <w:pPr>
                    <w:pStyle w:val="32"/>
                    <w:bidi w:val="0"/>
                  </w:pPr>
                </w:p>
              </w:tc>
              <w:tc>
                <w:tcPr>
                  <w:tcW w:w="421" w:type="pct"/>
                  <w:noWrap w:val="0"/>
                  <w:vAlign w:val="center"/>
                </w:tcPr>
                <w:p w14:paraId="1FCA0673">
                  <w:pPr>
                    <w:pStyle w:val="32"/>
                    <w:bidi w:val="0"/>
                    <w:rPr>
                      <w:rFonts w:hint="default"/>
                      <w:lang w:val="en-US" w:eastAsia="zh-CN"/>
                    </w:rPr>
                  </w:pPr>
                  <w:r>
                    <w:rPr>
                      <w:rFonts w:hint="eastAsia"/>
                      <w:lang w:val="en-US" w:eastAsia="zh-CN"/>
                    </w:rPr>
                    <w:t>S</w:t>
                  </w:r>
                </w:p>
              </w:tc>
              <w:tc>
                <w:tcPr>
                  <w:tcW w:w="496" w:type="pct"/>
                  <w:noWrap w:val="0"/>
                  <w:vAlign w:val="center"/>
                </w:tcPr>
                <w:p w14:paraId="7F6847F6">
                  <w:pPr>
                    <w:pStyle w:val="32"/>
                    <w:bidi w:val="0"/>
                    <w:rPr>
                      <w:rFonts w:hint="default"/>
                      <w:lang w:val="en-US" w:eastAsia="zh-CN"/>
                    </w:rPr>
                  </w:pPr>
                  <w:r>
                    <w:rPr>
                      <w:rFonts w:hint="eastAsia"/>
                      <w:lang w:val="en-US" w:eastAsia="zh-CN"/>
                    </w:rPr>
                    <w:t>366</w:t>
                  </w:r>
                </w:p>
              </w:tc>
            </w:tr>
            <w:tr w14:paraId="1704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2" w:type="pct"/>
                  <w:noWrap w:val="0"/>
                  <w:vAlign w:val="center"/>
                </w:tcPr>
                <w:p w14:paraId="0F63C7EB">
                  <w:pPr>
                    <w:pStyle w:val="45"/>
                    <w:keepNext w:val="0"/>
                    <w:keepLines w:val="0"/>
                    <w:suppressLineNumbers w:val="0"/>
                    <w:bidi w:val="0"/>
                    <w:spacing w:before="0" w:beforeAutospacing="0" w:after="0" w:afterAutospacing="0"/>
                    <w:rPr>
                      <w:rFonts w:hint="eastAsia" w:eastAsia="宋体"/>
                      <w:lang w:val="en-US" w:eastAsia="zh-CN"/>
                    </w:rPr>
                  </w:pPr>
                  <w:r>
                    <w:rPr>
                      <w:rFonts w:hint="eastAsia"/>
                      <w:lang w:val="en-US" w:eastAsia="zh-CN"/>
                    </w:rPr>
                    <w:t>3</w:t>
                  </w:r>
                </w:p>
              </w:tc>
              <w:tc>
                <w:tcPr>
                  <w:tcW w:w="651" w:type="pct"/>
                  <w:shd w:val="clear" w:color="auto" w:fill="auto"/>
                  <w:noWrap w:val="0"/>
                  <w:vAlign w:val="center"/>
                </w:tcPr>
                <w:p w14:paraId="179C0AF0">
                  <w:pPr>
                    <w:pStyle w:val="32"/>
                    <w:bidi w:val="0"/>
                    <w:rPr>
                      <w:rFonts w:hint="eastAsia"/>
                      <w:lang w:val="en-US" w:eastAsia="zh-CN"/>
                    </w:rPr>
                  </w:pPr>
                  <w:r>
                    <w:rPr>
                      <w:rFonts w:hint="eastAsia"/>
                      <w:lang w:val="en-US" w:eastAsia="zh-CN"/>
                    </w:rPr>
                    <w:t>晟地绿园</w:t>
                  </w:r>
                </w:p>
              </w:tc>
              <w:tc>
                <w:tcPr>
                  <w:tcW w:w="747" w:type="pct"/>
                  <w:shd w:val="clear" w:color="auto" w:fill="auto"/>
                  <w:noWrap w:val="0"/>
                  <w:vAlign w:val="center"/>
                </w:tcPr>
                <w:p w14:paraId="41E437EB">
                  <w:pPr>
                    <w:pStyle w:val="32"/>
                    <w:bidi w:val="0"/>
                    <w:rPr>
                      <w:rFonts w:hint="eastAsia"/>
                      <w:lang w:val="en-US" w:eastAsia="zh-CN"/>
                    </w:rPr>
                  </w:pPr>
                  <w:r>
                    <w:rPr>
                      <w:rFonts w:hint="eastAsia"/>
                    </w:rPr>
                    <w:t>116.972015</w:t>
                  </w:r>
                </w:p>
              </w:tc>
              <w:tc>
                <w:tcPr>
                  <w:tcW w:w="690" w:type="pct"/>
                  <w:shd w:val="clear" w:color="auto" w:fill="auto"/>
                  <w:noWrap w:val="0"/>
                  <w:vAlign w:val="center"/>
                </w:tcPr>
                <w:p w14:paraId="0A401153">
                  <w:pPr>
                    <w:pStyle w:val="32"/>
                    <w:bidi w:val="0"/>
                    <w:rPr>
                      <w:rFonts w:hint="eastAsia"/>
                      <w:lang w:val="en-US" w:eastAsia="zh-CN"/>
                    </w:rPr>
                  </w:pPr>
                  <w:r>
                    <w:rPr>
                      <w:rFonts w:hint="eastAsia"/>
                    </w:rPr>
                    <w:t>32.599522</w:t>
                  </w:r>
                </w:p>
              </w:tc>
              <w:tc>
                <w:tcPr>
                  <w:tcW w:w="1007" w:type="pct"/>
                  <w:noWrap w:val="0"/>
                  <w:vAlign w:val="center"/>
                </w:tcPr>
                <w:p w14:paraId="69BB3C7F">
                  <w:pPr>
                    <w:pStyle w:val="32"/>
                    <w:bidi w:val="0"/>
                    <w:rPr>
                      <w:rFonts w:hint="default"/>
                      <w:lang w:val="en-US" w:eastAsia="zh-CN"/>
                    </w:rPr>
                  </w:pPr>
                  <w:r>
                    <w:rPr>
                      <w:rFonts w:hint="eastAsia"/>
                      <w:lang w:val="en-US" w:eastAsia="zh-CN"/>
                    </w:rPr>
                    <w:t>1500户/4500人</w:t>
                  </w:r>
                </w:p>
              </w:tc>
              <w:tc>
                <w:tcPr>
                  <w:tcW w:w="702" w:type="pct"/>
                  <w:vMerge w:val="continue"/>
                  <w:noWrap w:val="0"/>
                  <w:vAlign w:val="center"/>
                </w:tcPr>
                <w:p w14:paraId="244BB787">
                  <w:pPr>
                    <w:pStyle w:val="32"/>
                    <w:bidi w:val="0"/>
                  </w:pPr>
                </w:p>
              </w:tc>
              <w:tc>
                <w:tcPr>
                  <w:tcW w:w="421" w:type="pct"/>
                  <w:noWrap w:val="0"/>
                  <w:vAlign w:val="center"/>
                </w:tcPr>
                <w:p w14:paraId="19F89BFE">
                  <w:pPr>
                    <w:pStyle w:val="32"/>
                    <w:bidi w:val="0"/>
                    <w:rPr>
                      <w:rFonts w:hint="default"/>
                      <w:lang w:val="en-US" w:eastAsia="zh-CN"/>
                    </w:rPr>
                  </w:pPr>
                  <w:r>
                    <w:rPr>
                      <w:rFonts w:hint="eastAsia"/>
                      <w:lang w:val="en-US" w:eastAsia="zh-CN"/>
                    </w:rPr>
                    <w:t>N</w:t>
                  </w:r>
                </w:p>
              </w:tc>
              <w:tc>
                <w:tcPr>
                  <w:tcW w:w="496" w:type="pct"/>
                  <w:noWrap w:val="0"/>
                  <w:vAlign w:val="center"/>
                </w:tcPr>
                <w:p w14:paraId="58873127">
                  <w:pPr>
                    <w:pStyle w:val="32"/>
                    <w:bidi w:val="0"/>
                    <w:rPr>
                      <w:rFonts w:hint="default"/>
                      <w:lang w:val="en-US" w:eastAsia="zh-CN"/>
                    </w:rPr>
                  </w:pPr>
                  <w:r>
                    <w:rPr>
                      <w:rFonts w:hint="eastAsia"/>
                      <w:lang w:val="en-US" w:eastAsia="zh-CN"/>
                    </w:rPr>
                    <w:t>356</w:t>
                  </w:r>
                </w:p>
              </w:tc>
            </w:tr>
            <w:tr w14:paraId="7609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noWrap w:val="0"/>
                  <w:vAlign w:val="center"/>
                </w:tcPr>
                <w:p w14:paraId="7083E88B">
                  <w:pPr>
                    <w:pStyle w:val="45"/>
                    <w:keepNext w:val="0"/>
                    <w:keepLines w:val="0"/>
                    <w:suppressLineNumbers w:val="0"/>
                    <w:bidi w:val="0"/>
                    <w:spacing w:before="0" w:beforeAutospacing="0" w:after="0" w:afterAutospacing="0"/>
                    <w:rPr>
                      <w:rFonts w:hint="eastAsia" w:eastAsia="宋体"/>
                      <w:lang w:val="en-US" w:eastAsia="zh-CN"/>
                    </w:rPr>
                  </w:pPr>
                  <w:r>
                    <w:rPr>
                      <w:rFonts w:hint="eastAsia"/>
                      <w:lang w:val="en-US" w:eastAsia="zh-CN"/>
                    </w:rPr>
                    <w:t>4</w:t>
                  </w:r>
                </w:p>
              </w:tc>
              <w:tc>
                <w:tcPr>
                  <w:tcW w:w="651" w:type="pct"/>
                  <w:shd w:val="clear" w:color="auto" w:fill="auto"/>
                  <w:noWrap w:val="0"/>
                  <w:vAlign w:val="center"/>
                </w:tcPr>
                <w:p w14:paraId="2C08629E">
                  <w:pPr>
                    <w:pStyle w:val="32"/>
                    <w:bidi w:val="0"/>
                    <w:rPr>
                      <w:rFonts w:hint="default"/>
                      <w:lang w:val="en-US" w:eastAsia="zh-CN"/>
                    </w:rPr>
                  </w:pPr>
                  <w:r>
                    <w:rPr>
                      <w:rFonts w:hint="eastAsia"/>
                      <w:lang w:val="en-US" w:eastAsia="zh-CN"/>
                    </w:rPr>
                    <w:t>金岭村</w:t>
                  </w:r>
                </w:p>
              </w:tc>
              <w:tc>
                <w:tcPr>
                  <w:tcW w:w="747" w:type="pct"/>
                  <w:shd w:val="clear" w:color="auto" w:fill="auto"/>
                  <w:noWrap w:val="0"/>
                  <w:vAlign w:val="center"/>
                </w:tcPr>
                <w:p w14:paraId="292720CE">
                  <w:pPr>
                    <w:pStyle w:val="32"/>
                    <w:bidi w:val="0"/>
                    <w:rPr>
                      <w:rFonts w:hint="eastAsia"/>
                      <w:lang w:val="en-US" w:eastAsia="zh-CN"/>
                    </w:rPr>
                  </w:pPr>
                  <w:r>
                    <w:rPr>
                      <w:rFonts w:hint="eastAsia"/>
                    </w:rPr>
                    <w:t>116.967852</w:t>
                  </w:r>
                </w:p>
              </w:tc>
              <w:tc>
                <w:tcPr>
                  <w:tcW w:w="690" w:type="pct"/>
                  <w:shd w:val="clear" w:color="auto" w:fill="auto"/>
                  <w:noWrap w:val="0"/>
                  <w:vAlign w:val="center"/>
                </w:tcPr>
                <w:p w14:paraId="5FB8FB7E">
                  <w:pPr>
                    <w:pStyle w:val="32"/>
                    <w:bidi w:val="0"/>
                    <w:rPr>
                      <w:rFonts w:hint="eastAsia"/>
                      <w:lang w:val="en-US" w:eastAsia="zh-CN"/>
                    </w:rPr>
                  </w:pPr>
                  <w:r>
                    <w:rPr>
                      <w:rFonts w:hint="eastAsia"/>
                    </w:rPr>
                    <w:t>32.599000</w:t>
                  </w:r>
                </w:p>
              </w:tc>
              <w:tc>
                <w:tcPr>
                  <w:tcW w:w="1007" w:type="pct"/>
                  <w:noWrap w:val="0"/>
                  <w:vAlign w:val="center"/>
                </w:tcPr>
                <w:p w14:paraId="313191EE">
                  <w:pPr>
                    <w:pStyle w:val="32"/>
                    <w:bidi w:val="0"/>
                    <w:rPr>
                      <w:rFonts w:hint="default"/>
                      <w:lang w:val="en-US" w:eastAsia="zh-CN"/>
                    </w:rPr>
                  </w:pPr>
                  <w:r>
                    <w:rPr>
                      <w:rFonts w:hint="eastAsia"/>
                      <w:lang w:val="en-US" w:eastAsia="zh-CN"/>
                    </w:rPr>
                    <w:t>70户/250人</w:t>
                  </w:r>
                </w:p>
              </w:tc>
              <w:tc>
                <w:tcPr>
                  <w:tcW w:w="702" w:type="pct"/>
                  <w:vMerge w:val="continue"/>
                  <w:noWrap w:val="0"/>
                  <w:vAlign w:val="center"/>
                </w:tcPr>
                <w:p w14:paraId="48660077">
                  <w:pPr>
                    <w:pStyle w:val="32"/>
                    <w:bidi w:val="0"/>
                  </w:pPr>
                </w:p>
              </w:tc>
              <w:tc>
                <w:tcPr>
                  <w:tcW w:w="421" w:type="pct"/>
                  <w:noWrap w:val="0"/>
                  <w:vAlign w:val="center"/>
                </w:tcPr>
                <w:p w14:paraId="423086E1">
                  <w:pPr>
                    <w:pStyle w:val="32"/>
                    <w:bidi w:val="0"/>
                    <w:rPr>
                      <w:rFonts w:hint="default"/>
                      <w:lang w:val="en-US" w:eastAsia="zh-CN"/>
                    </w:rPr>
                  </w:pPr>
                  <w:r>
                    <w:rPr>
                      <w:rFonts w:hint="eastAsia"/>
                      <w:lang w:val="en-US" w:eastAsia="zh-CN"/>
                    </w:rPr>
                    <w:t>NW</w:t>
                  </w:r>
                </w:p>
              </w:tc>
              <w:tc>
                <w:tcPr>
                  <w:tcW w:w="496" w:type="pct"/>
                  <w:noWrap w:val="0"/>
                  <w:vAlign w:val="center"/>
                </w:tcPr>
                <w:p w14:paraId="5D3A1544">
                  <w:pPr>
                    <w:pStyle w:val="32"/>
                    <w:bidi w:val="0"/>
                    <w:rPr>
                      <w:rFonts w:hint="default"/>
                      <w:lang w:val="en-US" w:eastAsia="zh-CN"/>
                    </w:rPr>
                  </w:pPr>
                  <w:r>
                    <w:rPr>
                      <w:rFonts w:hint="eastAsia"/>
                      <w:lang w:val="en-US" w:eastAsia="zh-CN"/>
                    </w:rPr>
                    <w:t>466</w:t>
                  </w:r>
                </w:p>
              </w:tc>
            </w:tr>
            <w:tr w14:paraId="4764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noWrap w:val="0"/>
                  <w:vAlign w:val="center"/>
                </w:tcPr>
                <w:p w14:paraId="1C8A4AFC">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5</w:t>
                  </w:r>
                </w:p>
              </w:tc>
              <w:tc>
                <w:tcPr>
                  <w:tcW w:w="651" w:type="pct"/>
                  <w:shd w:val="clear" w:color="auto" w:fill="auto"/>
                  <w:noWrap w:val="0"/>
                  <w:vAlign w:val="center"/>
                </w:tcPr>
                <w:p w14:paraId="5ABE2A49">
                  <w:pPr>
                    <w:pStyle w:val="32"/>
                    <w:bidi w:val="0"/>
                    <w:rPr>
                      <w:rFonts w:hint="eastAsia"/>
                      <w:lang w:val="en-US" w:eastAsia="zh-CN"/>
                    </w:rPr>
                  </w:pPr>
                  <w:r>
                    <w:rPr>
                      <w:rFonts w:hint="eastAsia"/>
                      <w:color w:val="auto"/>
                      <w:lang w:val="en-US" w:eastAsia="zh-CN"/>
                    </w:rPr>
                    <w:t>残疾人综合服务中心</w:t>
                  </w:r>
                </w:p>
              </w:tc>
              <w:tc>
                <w:tcPr>
                  <w:tcW w:w="747" w:type="pct"/>
                  <w:shd w:val="clear" w:color="auto" w:fill="auto"/>
                  <w:noWrap w:val="0"/>
                  <w:vAlign w:val="center"/>
                </w:tcPr>
                <w:p w14:paraId="1D3276BF">
                  <w:pPr>
                    <w:pStyle w:val="32"/>
                    <w:bidi w:val="0"/>
                    <w:rPr>
                      <w:rFonts w:hint="eastAsia"/>
                    </w:rPr>
                  </w:pPr>
                  <w:r>
                    <w:rPr>
                      <w:rFonts w:hint="eastAsia"/>
                    </w:rPr>
                    <w:t>116.972236</w:t>
                  </w:r>
                </w:p>
              </w:tc>
              <w:tc>
                <w:tcPr>
                  <w:tcW w:w="690" w:type="pct"/>
                  <w:shd w:val="clear" w:color="auto" w:fill="auto"/>
                  <w:noWrap w:val="0"/>
                  <w:vAlign w:val="center"/>
                </w:tcPr>
                <w:p w14:paraId="13CEB44D">
                  <w:pPr>
                    <w:pStyle w:val="32"/>
                    <w:bidi w:val="0"/>
                    <w:rPr>
                      <w:rFonts w:hint="eastAsia"/>
                    </w:rPr>
                  </w:pPr>
                  <w:r>
                    <w:rPr>
                      <w:rFonts w:hint="eastAsia"/>
                    </w:rPr>
                    <w:t>32.594544</w:t>
                  </w:r>
                </w:p>
              </w:tc>
              <w:tc>
                <w:tcPr>
                  <w:tcW w:w="1007" w:type="pct"/>
                  <w:noWrap w:val="0"/>
                  <w:vAlign w:val="center"/>
                </w:tcPr>
                <w:p w14:paraId="24555476">
                  <w:pPr>
                    <w:pStyle w:val="32"/>
                    <w:bidi w:val="0"/>
                    <w:rPr>
                      <w:rFonts w:hint="default"/>
                      <w:lang w:val="en-US" w:eastAsia="zh-CN"/>
                    </w:rPr>
                  </w:pPr>
                  <w:r>
                    <w:rPr>
                      <w:rFonts w:hint="eastAsia"/>
                      <w:lang w:val="en-US" w:eastAsia="zh-CN"/>
                    </w:rPr>
                    <w:t>40人</w:t>
                  </w:r>
                </w:p>
              </w:tc>
              <w:tc>
                <w:tcPr>
                  <w:tcW w:w="702" w:type="pct"/>
                  <w:vMerge w:val="continue"/>
                  <w:noWrap w:val="0"/>
                  <w:vAlign w:val="center"/>
                </w:tcPr>
                <w:p w14:paraId="459BA664">
                  <w:pPr>
                    <w:pStyle w:val="32"/>
                    <w:bidi w:val="0"/>
                  </w:pPr>
                </w:p>
              </w:tc>
              <w:tc>
                <w:tcPr>
                  <w:tcW w:w="421" w:type="pct"/>
                  <w:noWrap w:val="0"/>
                  <w:vAlign w:val="center"/>
                </w:tcPr>
                <w:p w14:paraId="5EABCF20">
                  <w:pPr>
                    <w:pStyle w:val="32"/>
                    <w:bidi w:val="0"/>
                    <w:rPr>
                      <w:rFonts w:hint="default"/>
                      <w:lang w:val="en-US" w:eastAsia="zh-CN"/>
                    </w:rPr>
                  </w:pPr>
                  <w:r>
                    <w:rPr>
                      <w:rFonts w:hint="eastAsia"/>
                      <w:lang w:val="en-US" w:eastAsia="zh-CN"/>
                    </w:rPr>
                    <w:t>S</w:t>
                  </w:r>
                </w:p>
              </w:tc>
              <w:tc>
                <w:tcPr>
                  <w:tcW w:w="496" w:type="pct"/>
                  <w:noWrap w:val="0"/>
                  <w:vAlign w:val="center"/>
                </w:tcPr>
                <w:p w14:paraId="15B53131">
                  <w:pPr>
                    <w:pStyle w:val="32"/>
                    <w:bidi w:val="0"/>
                    <w:rPr>
                      <w:rFonts w:hint="default"/>
                      <w:lang w:val="en-US" w:eastAsia="zh-CN"/>
                    </w:rPr>
                  </w:pPr>
                  <w:r>
                    <w:rPr>
                      <w:rFonts w:hint="eastAsia"/>
                      <w:lang w:val="en-US" w:eastAsia="zh-CN"/>
                    </w:rPr>
                    <w:t>15</w:t>
                  </w:r>
                </w:p>
              </w:tc>
            </w:tr>
            <w:tr w14:paraId="0458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noWrap w:val="0"/>
                  <w:vAlign w:val="center"/>
                </w:tcPr>
                <w:p w14:paraId="20EEE8D0">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6</w:t>
                  </w:r>
                </w:p>
              </w:tc>
              <w:tc>
                <w:tcPr>
                  <w:tcW w:w="651" w:type="pct"/>
                  <w:shd w:val="clear" w:color="auto" w:fill="auto"/>
                  <w:noWrap w:val="0"/>
                  <w:vAlign w:val="center"/>
                </w:tcPr>
                <w:p w14:paraId="2FD480BB">
                  <w:pPr>
                    <w:pStyle w:val="32"/>
                    <w:bidi w:val="0"/>
                    <w:rPr>
                      <w:rFonts w:hint="eastAsia"/>
                      <w:lang w:val="en-US" w:eastAsia="zh-CN"/>
                    </w:rPr>
                  </w:pPr>
                  <w:r>
                    <w:rPr>
                      <w:rFonts w:hint="eastAsia"/>
                      <w:color w:val="auto"/>
                      <w:lang w:val="en-US" w:eastAsia="zh-CN"/>
                    </w:rPr>
                    <w:t>儿童福利院</w:t>
                  </w:r>
                </w:p>
              </w:tc>
              <w:tc>
                <w:tcPr>
                  <w:tcW w:w="747" w:type="pct"/>
                  <w:shd w:val="clear" w:color="auto" w:fill="auto"/>
                  <w:noWrap w:val="0"/>
                  <w:vAlign w:val="center"/>
                </w:tcPr>
                <w:p w14:paraId="040A3CC0">
                  <w:pPr>
                    <w:pStyle w:val="32"/>
                    <w:bidi w:val="0"/>
                    <w:rPr>
                      <w:rFonts w:hint="eastAsia"/>
                    </w:rPr>
                  </w:pPr>
                  <w:r>
                    <w:rPr>
                      <w:rFonts w:hint="eastAsia"/>
                    </w:rPr>
                    <w:t>116.978004</w:t>
                  </w:r>
                </w:p>
              </w:tc>
              <w:tc>
                <w:tcPr>
                  <w:tcW w:w="690" w:type="pct"/>
                  <w:shd w:val="clear" w:color="auto" w:fill="auto"/>
                  <w:noWrap w:val="0"/>
                  <w:vAlign w:val="center"/>
                </w:tcPr>
                <w:p w14:paraId="3F0A99E1">
                  <w:pPr>
                    <w:pStyle w:val="32"/>
                    <w:bidi w:val="0"/>
                    <w:rPr>
                      <w:rFonts w:hint="eastAsia"/>
                    </w:rPr>
                  </w:pPr>
                  <w:r>
                    <w:rPr>
                      <w:rFonts w:hint="eastAsia"/>
                    </w:rPr>
                    <w:t>32.593153</w:t>
                  </w:r>
                </w:p>
              </w:tc>
              <w:tc>
                <w:tcPr>
                  <w:tcW w:w="1007" w:type="pct"/>
                  <w:noWrap w:val="0"/>
                  <w:vAlign w:val="center"/>
                </w:tcPr>
                <w:p w14:paraId="5D9C929D">
                  <w:pPr>
                    <w:pStyle w:val="32"/>
                    <w:bidi w:val="0"/>
                    <w:rPr>
                      <w:rFonts w:hint="eastAsia"/>
                      <w:lang w:val="en-US" w:eastAsia="zh-CN"/>
                    </w:rPr>
                  </w:pPr>
                  <w:r>
                    <w:rPr>
                      <w:rFonts w:hint="eastAsia"/>
                      <w:lang w:val="en-US" w:eastAsia="zh-CN"/>
                    </w:rPr>
                    <w:t>50人</w:t>
                  </w:r>
                </w:p>
              </w:tc>
              <w:tc>
                <w:tcPr>
                  <w:tcW w:w="702" w:type="pct"/>
                  <w:vMerge w:val="continue"/>
                  <w:noWrap w:val="0"/>
                  <w:vAlign w:val="center"/>
                </w:tcPr>
                <w:p w14:paraId="28120788">
                  <w:pPr>
                    <w:pStyle w:val="32"/>
                    <w:bidi w:val="0"/>
                  </w:pPr>
                </w:p>
              </w:tc>
              <w:tc>
                <w:tcPr>
                  <w:tcW w:w="421" w:type="pct"/>
                  <w:noWrap w:val="0"/>
                  <w:vAlign w:val="center"/>
                </w:tcPr>
                <w:p w14:paraId="2FA0FA06">
                  <w:pPr>
                    <w:pStyle w:val="32"/>
                    <w:bidi w:val="0"/>
                    <w:rPr>
                      <w:rFonts w:hint="default"/>
                      <w:lang w:val="en-US" w:eastAsia="zh-CN"/>
                    </w:rPr>
                  </w:pPr>
                  <w:r>
                    <w:rPr>
                      <w:rFonts w:hint="eastAsia"/>
                      <w:lang w:val="en-US" w:eastAsia="zh-CN"/>
                    </w:rPr>
                    <w:t>N</w:t>
                  </w:r>
                </w:p>
              </w:tc>
              <w:tc>
                <w:tcPr>
                  <w:tcW w:w="496" w:type="pct"/>
                  <w:noWrap w:val="0"/>
                  <w:vAlign w:val="center"/>
                </w:tcPr>
                <w:p w14:paraId="4201816D">
                  <w:pPr>
                    <w:pStyle w:val="32"/>
                    <w:bidi w:val="0"/>
                    <w:rPr>
                      <w:rFonts w:hint="default"/>
                      <w:lang w:val="en-US" w:eastAsia="zh-CN"/>
                    </w:rPr>
                  </w:pPr>
                  <w:r>
                    <w:rPr>
                      <w:rFonts w:hint="eastAsia"/>
                      <w:lang w:val="en-US" w:eastAsia="zh-CN"/>
                    </w:rPr>
                    <w:t>10</w:t>
                  </w:r>
                </w:p>
              </w:tc>
            </w:tr>
            <w:tr w14:paraId="6446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noWrap w:val="0"/>
                  <w:vAlign w:val="center"/>
                </w:tcPr>
                <w:p w14:paraId="65F6453F">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7</w:t>
                  </w:r>
                </w:p>
              </w:tc>
              <w:tc>
                <w:tcPr>
                  <w:tcW w:w="651" w:type="pct"/>
                  <w:shd w:val="clear" w:color="auto" w:fill="auto"/>
                  <w:noWrap w:val="0"/>
                  <w:vAlign w:val="center"/>
                </w:tcPr>
                <w:p w14:paraId="4D73A141">
                  <w:pPr>
                    <w:pStyle w:val="32"/>
                    <w:bidi w:val="0"/>
                    <w:rPr>
                      <w:rFonts w:hint="default"/>
                      <w:color w:val="auto"/>
                      <w:lang w:val="en-US" w:eastAsia="zh-CN"/>
                    </w:rPr>
                  </w:pPr>
                  <w:r>
                    <w:rPr>
                      <w:rFonts w:hint="eastAsia"/>
                      <w:color w:val="auto"/>
                      <w:lang w:val="en-US" w:eastAsia="zh-CN"/>
                    </w:rPr>
                    <w:t>流浪未成年人救护保护中心</w:t>
                  </w:r>
                </w:p>
              </w:tc>
              <w:tc>
                <w:tcPr>
                  <w:tcW w:w="747" w:type="pct"/>
                  <w:shd w:val="clear" w:color="auto" w:fill="auto"/>
                  <w:noWrap w:val="0"/>
                  <w:vAlign w:val="center"/>
                </w:tcPr>
                <w:p w14:paraId="3EAD846C">
                  <w:pPr>
                    <w:pStyle w:val="32"/>
                    <w:bidi w:val="0"/>
                    <w:rPr>
                      <w:rFonts w:hint="eastAsia" w:eastAsia="宋体"/>
                      <w:lang w:val="en-US" w:eastAsia="zh-CN"/>
                    </w:rPr>
                  </w:pPr>
                  <w:r>
                    <w:rPr>
                      <w:rFonts w:hint="eastAsia"/>
                    </w:rPr>
                    <w:t>116.97678</w:t>
                  </w:r>
                  <w:r>
                    <w:rPr>
                      <w:rFonts w:hint="eastAsia"/>
                      <w:lang w:val="en-US" w:eastAsia="zh-CN"/>
                    </w:rPr>
                    <w:t>3</w:t>
                  </w:r>
                </w:p>
              </w:tc>
              <w:tc>
                <w:tcPr>
                  <w:tcW w:w="690" w:type="pct"/>
                  <w:shd w:val="clear" w:color="auto" w:fill="auto"/>
                  <w:noWrap w:val="0"/>
                  <w:vAlign w:val="center"/>
                </w:tcPr>
                <w:p w14:paraId="1E249952">
                  <w:pPr>
                    <w:pStyle w:val="32"/>
                    <w:bidi w:val="0"/>
                    <w:rPr>
                      <w:rFonts w:hint="eastAsia"/>
                    </w:rPr>
                  </w:pPr>
                  <w:r>
                    <w:rPr>
                      <w:rFonts w:hint="eastAsia"/>
                    </w:rPr>
                    <w:t>32.593808</w:t>
                  </w:r>
                </w:p>
              </w:tc>
              <w:tc>
                <w:tcPr>
                  <w:tcW w:w="1007" w:type="pct"/>
                  <w:noWrap w:val="0"/>
                  <w:vAlign w:val="center"/>
                </w:tcPr>
                <w:p w14:paraId="429D20B0">
                  <w:pPr>
                    <w:pStyle w:val="32"/>
                    <w:bidi w:val="0"/>
                    <w:rPr>
                      <w:rFonts w:hint="default"/>
                      <w:lang w:val="en-US" w:eastAsia="zh-CN"/>
                    </w:rPr>
                  </w:pPr>
                  <w:r>
                    <w:rPr>
                      <w:rFonts w:hint="eastAsia"/>
                      <w:lang w:val="en-US" w:eastAsia="zh-CN"/>
                    </w:rPr>
                    <w:t>30人</w:t>
                  </w:r>
                </w:p>
              </w:tc>
              <w:tc>
                <w:tcPr>
                  <w:tcW w:w="702" w:type="pct"/>
                  <w:vMerge w:val="continue"/>
                  <w:noWrap w:val="0"/>
                  <w:vAlign w:val="center"/>
                </w:tcPr>
                <w:p w14:paraId="24786842">
                  <w:pPr>
                    <w:pStyle w:val="32"/>
                    <w:bidi w:val="0"/>
                  </w:pPr>
                </w:p>
              </w:tc>
              <w:tc>
                <w:tcPr>
                  <w:tcW w:w="421" w:type="pct"/>
                  <w:noWrap w:val="0"/>
                  <w:vAlign w:val="center"/>
                </w:tcPr>
                <w:p w14:paraId="6FEF5E6B">
                  <w:pPr>
                    <w:pStyle w:val="32"/>
                    <w:bidi w:val="0"/>
                    <w:rPr>
                      <w:rFonts w:hint="default"/>
                      <w:lang w:val="en-US" w:eastAsia="zh-CN"/>
                    </w:rPr>
                  </w:pPr>
                  <w:r>
                    <w:rPr>
                      <w:rFonts w:hint="eastAsia"/>
                      <w:lang w:val="en-US" w:eastAsia="zh-CN"/>
                    </w:rPr>
                    <w:t>NW</w:t>
                  </w:r>
                </w:p>
              </w:tc>
              <w:tc>
                <w:tcPr>
                  <w:tcW w:w="496" w:type="pct"/>
                  <w:noWrap w:val="0"/>
                  <w:vAlign w:val="center"/>
                </w:tcPr>
                <w:p w14:paraId="1506B5FE">
                  <w:pPr>
                    <w:pStyle w:val="32"/>
                    <w:bidi w:val="0"/>
                    <w:rPr>
                      <w:rFonts w:hint="default"/>
                      <w:lang w:val="en-US" w:eastAsia="zh-CN"/>
                    </w:rPr>
                  </w:pPr>
                  <w:r>
                    <w:rPr>
                      <w:rFonts w:hint="eastAsia"/>
                      <w:lang w:val="en-US" w:eastAsia="zh-CN"/>
                    </w:rPr>
                    <w:t>114</w:t>
                  </w:r>
                </w:p>
              </w:tc>
            </w:tr>
          </w:tbl>
          <w:p w14:paraId="6827FD17">
            <w:pPr>
              <w:ind w:firstLine="482"/>
              <w:rPr>
                <w:b/>
                <w:bCs/>
                <w:color w:val="auto"/>
              </w:rPr>
            </w:pPr>
            <w:r>
              <w:rPr>
                <w:rFonts w:hint="eastAsia"/>
                <w:b/>
                <w:bCs/>
                <w:color w:val="auto"/>
              </w:rPr>
              <w:t>2、</w:t>
            </w:r>
            <w:r>
              <w:rPr>
                <w:b/>
                <w:bCs/>
                <w:color w:val="auto"/>
              </w:rPr>
              <w:t>声</w:t>
            </w:r>
            <w:r>
              <w:rPr>
                <w:rFonts w:hint="eastAsia"/>
                <w:b/>
                <w:bCs/>
                <w:color w:val="auto"/>
              </w:rPr>
              <w:t>环境保护目标</w:t>
            </w:r>
            <w:r>
              <w:rPr>
                <w:b/>
                <w:bCs/>
                <w:color w:val="auto"/>
              </w:rPr>
              <w:t>：</w:t>
            </w:r>
          </w:p>
          <w:p w14:paraId="6253C4D3">
            <w:pPr>
              <w:ind w:firstLine="480"/>
              <w:rPr>
                <w:rFonts w:hint="eastAsia"/>
                <w:color w:val="auto"/>
              </w:rPr>
            </w:pPr>
            <w:r>
              <w:rPr>
                <w:rFonts w:hint="eastAsia"/>
                <w:color w:val="auto"/>
              </w:rPr>
              <w:t>本项目</w:t>
            </w:r>
            <w:r>
              <w:rPr>
                <w:rFonts w:hint="eastAsia"/>
                <w:color w:val="auto"/>
                <w:lang w:val="en-US" w:eastAsia="zh-CN"/>
              </w:rPr>
              <w:t>周边</w:t>
            </w:r>
            <w:r>
              <w:rPr>
                <w:rFonts w:hint="eastAsia"/>
                <w:color w:val="auto"/>
              </w:rPr>
              <w:t>50m</w:t>
            </w:r>
            <w:r>
              <w:rPr>
                <w:rFonts w:hint="eastAsia"/>
                <w:color w:val="auto"/>
                <w:lang w:val="en-US" w:eastAsia="zh-CN"/>
              </w:rPr>
              <w:t>声环境敏感目标主要为西侧残疾人综合服务中心及北侧儿童福利院</w:t>
            </w:r>
            <w:r>
              <w:rPr>
                <w:rFonts w:hint="eastAsia"/>
                <w:color w:val="auto"/>
              </w:rPr>
              <w:t>。</w:t>
            </w:r>
          </w:p>
          <w:p w14:paraId="0E9BE575">
            <w:pPr>
              <w:pStyle w:val="41"/>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表3-5  项目周边主要声环境保护目标一览表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089"/>
              <w:gridCol w:w="1249"/>
              <w:gridCol w:w="1154"/>
              <w:gridCol w:w="1684"/>
              <w:gridCol w:w="1175"/>
              <w:gridCol w:w="704"/>
              <w:gridCol w:w="829"/>
            </w:tblGrid>
            <w:tr w14:paraId="7288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2" w:type="pct"/>
                  <w:vMerge w:val="restart"/>
                  <w:noWrap w:val="0"/>
                  <w:vAlign w:val="center"/>
                </w:tcPr>
                <w:p w14:paraId="1E45F843">
                  <w:pPr>
                    <w:pStyle w:val="45"/>
                    <w:keepNext w:val="0"/>
                    <w:keepLines w:val="0"/>
                    <w:suppressLineNumbers w:val="0"/>
                    <w:bidi w:val="0"/>
                    <w:spacing w:before="0" w:beforeAutospacing="0" w:after="0" w:afterAutospacing="0"/>
                    <w:rPr>
                      <w:b/>
                      <w:bCs/>
                    </w:rPr>
                  </w:pPr>
                  <w:r>
                    <w:rPr>
                      <w:rFonts w:hint="eastAsia"/>
                      <w:b/>
                      <w:bCs/>
                    </w:rPr>
                    <w:t>序号</w:t>
                  </w:r>
                </w:p>
              </w:tc>
              <w:tc>
                <w:tcPr>
                  <w:tcW w:w="651" w:type="pct"/>
                  <w:vMerge w:val="restart"/>
                  <w:noWrap w:val="0"/>
                  <w:vAlign w:val="center"/>
                </w:tcPr>
                <w:p w14:paraId="1EB056D6">
                  <w:pPr>
                    <w:pStyle w:val="45"/>
                    <w:keepNext w:val="0"/>
                    <w:keepLines w:val="0"/>
                    <w:suppressLineNumbers w:val="0"/>
                    <w:bidi w:val="0"/>
                    <w:spacing w:before="0" w:beforeAutospacing="0" w:after="0" w:afterAutospacing="0"/>
                    <w:rPr>
                      <w:b/>
                      <w:bCs/>
                    </w:rPr>
                  </w:pPr>
                  <w:r>
                    <w:rPr>
                      <w:b/>
                      <w:bCs/>
                    </w:rPr>
                    <w:t>名称</w:t>
                  </w:r>
                </w:p>
              </w:tc>
              <w:tc>
                <w:tcPr>
                  <w:tcW w:w="1438" w:type="pct"/>
                  <w:gridSpan w:val="2"/>
                  <w:noWrap w:val="0"/>
                  <w:vAlign w:val="center"/>
                </w:tcPr>
                <w:p w14:paraId="179097F6">
                  <w:pPr>
                    <w:pStyle w:val="45"/>
                    <w:keepNext w:val="0"/>
                    <w:keepLines w:val="0"/>
                    <w:suppressLineNumbers w:val="0"/>
                    <w:bidi w:val="0"/>
                    <w:spacing w:before="0" w:beforeAutospacing="0" w:after="0" w:afterAutospacing="0"/>
                    <w:rPr>
                      <w:b/>
                      <w:bCs/>
                    </w:rPr>
                  </w:pPr>
                  <w:r>
                    <w:rPr>
                      <w:b/>
                      <w:bCs/>
                    </w:rPr>
                    <w:t>坐标</w:t>
                  </w:r>
                </w:p>
              </w:tc>
              <w:tc>
                <w:tcPr>
                  <w:tcW w:w="1007" w:type="pct"/>
                  <w:vMerge w:val="restart"/>
                  <w:noWrap w:val="0"/>
                  <w:vAlign w:val="center"/>
                </w:tcPr>
                <w:p w14:paraId="1AEAB45E">
                  <w:pPr>
                    <w:pStyle w:val="45"/>
                    <w:keepNext w:val="0"/>
                    <w:keepLines w:val="0"/>
                    <w:suppressLineNumbers w:val="0"/>
                    <w:bidi w:val="0"/>
                    <w:spacing w:before="0" w:beforeAutospacing="0" w:after="0" w:afterAutospacing="0"/>
                    <w:rPr>
                      <w:b/>
                      <w:bCs/>
                    </w:rPr>
                  </w:pPr>
                  <w:r>
                    <w:rPr>
                      <w:b/>
                      <w:bCs/>
                    </w:rPr>
                    <w:t>保护内容</w:t>
                  </w:r>
                  <w:r>
                    <w:rPr>
                      <w:rFonts w:hint="eastAsia"/>
                      <w:b/>
                      <w:bCs/>
                    </w:rPr>
                    <w:t>（户/人）</w:t>
                  </w:r>
                </w:p>
              </w:tc>
              <w:tc>
                <w:tcPr>
                  <w:tcW w:w="702" w:type="pct"/>
                  <w:vMerge w:val="restart"/>
                  <w:noWrap w:val="0"/>
                  <w:vAlign w:val="center"/>
                </w:tcPr>
                <w:p w14:paraId="762DB93D">
                  <w:pPr>
                    <w:pStyle w:val="45"/>
                    <w:keepNext w:val="0"/>
                    <w:keepLines w:val="0"/>
                    <w:suppressLineNumbers w:val="0"/>
                    <w:bidi w:val="0"/>
                    <w:spacing w:before="0" w:beforeAutospacing="0" w:after="0" w:afterAutospacing="0"/>
                    <w:rPr>
                      <w:rFonts w:hint="eastAsia"/>
                      <w:b/>
                      <w:bCs/>
                    </w:rPr>
                  </w:pPr>
                  <w:r>
                    <w:rPr>
                      <w:b/>
                      <w:bCs/>
                    </w:rPr>
                    <w:t>环境功能</w:t>
                  </w:r>
                </w:p>
                <w:p w14:paraId="23795FED">
                  <w:pPr>
                    <w:pStyle w:val="45"/>
                    <w:keepNext w:val="0"/>
                    <w:keepLines w:val="0"/>
                    <w:suppressLineNumbers w:val="0"/>
                    <w:bidi w:val="0"/>
                    <w:spacing w:before="0" w:beforeAutospacing="0" w:after="0" w:afterAutospacing="0"/>
                    <w:rPr>
                      <w:b/>
                      <w:bCs/>
                    </w:rPr>
                  </w:pPr>
                  <w:r>
                    <w:rPr>
                      <w:b/>
                      <w:bCs/>
                    </w:rPr>
                    <w:t>区划</w:t>
                  </w:r>
                </w:p>
              </w:tc>
              <w:tc>
                <w:tcPr>
                  <w:tcW w:w="421" w:type="pct"/>
                  <w:vMerge w:val="restart"/>
                  <w:noWrap w:val="0"/>
                  <w:vAlign w:val="center"/>
                </w:tcPr>
                <w:p w14:paraId="2CBD7D6A">
                  <w:pPr>
                    <w:pStyle w:val="45"/>
                    <w:keepNext w:val="0"/>
                    <w:keepLines w:val="0"/>
                    <w:suppressLineNumbers w:val="0"/>
                    <w:bidi w:val="0"/>
                    <w:spacing w:before="0" w:beforeAutospacing="0" w:after="0" w:afterAutospacing="0"/>
                    <w:rPr>
                      <w:b/>
                      <w:bCs/>
                    </w:rPr>
                  </w:pPr>
                  <w:r>
                    <w:rPr>
                      <w:b/>
                      <w:bCs/>
                    </w:rPr>
                    <w:t>相对厂址方位</w:t>
                  </w:r>
                </w:p>
              </w:tc>
              <w:tc>
                <w:tcPr>
                  <w:tcW w:w="496" w:type="pct"/>
                  <w:vMerge w:val="restart"/>
                  <w:noWrap w:val="0"/>
                  <w:vAlign w:val="center"/>
                </w:tcPr>
                <w:p w14:paraId="77173D72">
                  <w:pPr>
                    <w:pStyle w:val="45"/>
                    <w:keepNext w:val="0"/>
                    <w:keepLines w:val="0"/>
                    <w:suppressLineNumbers w:val="0"/>
                    <w:bidi w:val="0"/>
                    <w:spacing w:before="0" w:beforeAutospacing="0" w:after="0" w:afterAutospacing="0"/>
                    <w:rPr>
                      <w:rFonts w:hint="eastAsia" w:eastAsia="宋体"/>
                      <w:b/>
                      <w:bCs/>
                      <w:lang w:val="en-US" w:eastAsia="zh-CN"/>
                    </w:rPr>
                  </w:pPr>
                  <w:r>
                    <w:rPr>
                      <w:b/>
                      <w:bCs/>
                    </w:rPr>
                    <w:t>相对厂界距离</w:t>
                  </w:r>
                  <w:r>
                    <w:rPr>
                      <w:rFonts w:hint="eastAsia"/>
                      <w:b/>
                      <w:bCs/>
                      <w:lang w:val="en-US" w:eastAsia="zh-CN"/>
                    </w:rPr>
                    <w:t>m</w:t>
                  </w:r>
                </w:p>
              </w:tc>
            </w:tr>
            <w:tr w14:paraId="531B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2" w:type="pct"/>
                  <w:vMerge w:val="continue"/>
                  <w:noWrap w:val="0"/>
                  <w:vAlign w:val="center"/>
                </w:tcPr>
                <w:p w14:paraId="56CF3806">
                  <w:pPr>
                    <w:pStyle w:val="45"/>
                    <w:keepNext w:val="0"/>
                    <w:keepLines w:val="0"/>
                    <w:suppressLineNumbers w:val="0"/>
                    <w:bidi w:val="0"/>
                    <w:spacing w:before="0" w:beforeAutospacing="0" w:after="0" w:afterAutospacing="0"/>
                  </w:pPr>
                </w:p>
              </w:tc>
              <w:tc>
                <w:tcPr>
                  <w:tcW w:w="651" w:type="pct"/>
                  <w:vMerge w:val="continue"/>
                  <w:noWrap w:val="0"/>
                  <w:vAlign w:val="center"/>
                </w:tcPr>
                <w:p w14:paraId="48FD5A6A">
                  <w:pPr>
                    <w:pStyle w:val="45"/>
                    <w:keepNext w:val="0"/>
                    <w:keepLines w:val="0"/>
                    <w:suppressLineNumbers w:val="0"/>
                    <w:bidi w:val="0"/>
                    <w:spacing w:before="0" w:beforeAutospacing="0" w:after="0" w:afterAutospacing="0"/>
                  </w:pPr>
                </w:p>
              </w:tc>
              <w:tc>
                <w:tcPr>
                  <w:tcW w:w="747" w:type="pct"/>
                  <w:noWrap w:val="0"/>
                  <w:vAlign w:val="center"/>
                </w:tcPr>
                <w:p w14:paraId="3D750962">
                  <w:pPr>
                    <w:pStyle w:val="45"/>
                    <w:keepNext w:val="0"/>
                    <w:keepLines w:val="0"/>
                    <w:suppressLineNumbers w:val="0"/>
                    <w:bidi w:val="0"/>
                    <w:spacing w:before="0" w:beforeAutospacing="0" w:after="0" w:afterAutospacing="0"/>
                    <w:rPr>
                      <w:b/>
                      <w:bCs/>
                    </w:rPr>
                  </w:pPr>
                  <w:r>
                    <w:rPr>
                      <w:b/>
                      <w:bCs/>
                    </w:rPr>
                    <w:t>X</w:t>
                  </w:r>
                </w:p>
              </w:tc>
              <w:tc>
                <w:tcPr>
                  <w:tcW w:w="690" w:type="pct"/>
                  <w:noWrap w:val="0"/>
                  <w:vAlign w:val="center"/>
                </w:tcPr>
                <w:p w14:paraId="46B45CD8">
                  <w:pPr>
                    <w:pStyle w:val="45"/>
                    <w:keepNext w:val="0"/>
                    <w:keepLines w:val="0"/>
                    <w:suppressLineNumbers w:val="0"/>
                    <w:bidi w:val="0"/>
                    <w:spacing w:before="0" w:beforeAutospacing="0" w:after="0" w:afterAutospacing="0"/>
                    <w:rPr>
                      <w:b/>
                      <w:bCs/>
                    </w:rPr>
                  </w:pPr>
                  <w:r>
                    <w:rPr>
                      <w:b/>
                      <w:bCs/>
                    </w:rPr>
                    <w:t>Y</w:t>
                  </w:r>
                </w:p>
              </w:tc>
              <w:tc>
                <w:tcPr>
                  <w:tcW w:w="1007" w:type="pct"/>
                  <w:vMerge w:val="continue"/>
                  <w:noWrap w:val="0"/>
                  <w:vAlign w:val="center"/>
                </w:tcPr>
                <w:p w14:paraId="686C0185">
                  <w:pPr>
                    <w:pStyle w:val="45"/>
                    <w:keepNext w:val="0"/>
                    <w:keepLines w:val="0"/>
                    <w:suppressLineNumbers w:val="0"/>
                    <w:bidi w:val="0"/>
                    <w:spacing w:before="0" w:beforeAutospacing="0" w:after="0" w:afterAutospacing="0"/>
                  </w:pPr>
                </w:p>
              </w:tc>
              <w:tc>
                <w:tcPr>
                  <w:tcW w:w="702" w:type="pct"/>
                  <w:vMerge w:val="continue"/>
                  <w:noWrap w:val="0"/>
                  <w:vAlign w:val="center"/>
                </w:tcPr>
                <w:p w14:paraId="5452DEBD">
                  <w:pPr>
                    <w:pStyle w:val="45"/>
                    <w:keepNext w:val="0"/>
                    <w:keepLines w:val="0"/>
                    <w:suppressLineNumbers w:val="0"/>
                    <w:bidi w:val="0"/>
                    <w:spacing w:before="0" w:beforeAutospacing="0" w:after="0" w:afterAutospacing="0"/>
                  </w:pPr>
                </w:p>
              </w:tc>
              <w:tc>
                <w:tcPr>
                  <w:tcW w:w="421" w:type="pct"/>
                  <w:vMerge w:val="continue"/>
                  <w:noWrap w:val="0"/>
                  <w:vAlign w:val="center"/>
                </w:tcPr>
                <w:p w14:paraId="0B87EDC0">
                  <w:pPr>
                    <w:pStyle w:val="45"/>
                    <w:keepNext w:val="0"/>
                    <w:keepLines w:val="0"/>
                    <w:suppressLineNumbers w:val="0"/>
                    <w:bidi w:val="0"/>
                    <w:spacing w:before="0" w:beforeAutospacing="0" w:after="0" w:afterAutospacing="0"/>
                  </w:pPr>
                </w:p>
              </w:tc>
              <w:tc>
                <w:tcPr>
                  <w:tcW w:w="496" w:type="pct"/>
                  <w:vMerge w:val="continue"/>
                  <w:noWrap w:val="0"/>
                  <w:vAlign w:val="center"/>
                </w:tcPr>
                <w:p w14:paraId="38B33DF7">
                  <w:pPr>
                    <w:pStyle w:val="45"/>
                    <w:keepNext w:val="0"/>
                    <w:keepLines w:val="0"/>
                    <w:suppressLineNumbers w:val="0"/>
                    <w:bidi w:val="0"/>
                    <w:spacing w:before="0" w:beforeAutospacing="0" w:after="0" w:afterAutospacing="0"/>
                  </w:pPr>
                </w:p>
              </w:tc>
            </w:tr>
            <w:tr w14:paraId="12A8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82" w:type="pct"/>
                  <w:noWrap w:val="0"/>
                  <w:vAlign w:val="center"/>
                </w:tcPr>
                <w:p w14:paraId="6BBFD393">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5</w:t>
                  </w:r>
                </w:p>
              </w:tc>
              <w:tc>
                <w:tcPr>
                  <w:tcW w:w="651" w:type="pct"/>
                  <w:shd w:val="clear" w:color="auto" w:fill="auto"/>
                  <w:noWrap w:val="0"/>
                  <w:vAlign w:val="center"/>
                </w:tcPr>
                <w:p w14:paraId="17CD3E2F">
                  <w:pPr>
                    <w:pStyle w:val="32"/>
                    <w:bidi w:val="0"/>
                    <w:rPr>
                      <w:rFonts w:hint="eastAsia"/>
                      <w:lang w:val="en-US" w:eastAsia="zh-CN"/>
                    </w:rPr>
                  </w:pPr>
                  <w:r>
                    <w:rPr>
                      <w:rFonts w:hint="eastAsia"/>
                      <w:color w:val="auto"/>
                      <w:lang w:val="en-US" w:eastAsia="zh-CN"/>
                    </w:rPr>
                    <w:t>残疾人综合服务中心</w:t>
                  </w:r>
                </w:p>
              </w:tc>
              <w:tc>
                <w:tcPr>
                  <w:tcW w:w="747" w:type="pct"/>
                  <w:shd w:val="clear" w:color="auto" w:fill="auto"/>
                  <w:noWrap w:val="0"/>
                  <w:vAlign w:val="center"/>
                </w:tcPr>
                <w:p w14:paraId="687DC2D9">
                  <w:pPr>
                    <w:pStyle w:val="32"/>
                    <w:bidi w:val="0"/>
                    <w:rPr>
                      <w:rFonts w:hint="eastAsia"/>
                    </w:rPr>
                  </w:pPr>
                  <w:r>
                    <w:rPr>
                      <w:rFonts w:hint="eastAsia"/>
                    </w:rPr>
                    <w:t>116.972236</w:t>
                  </w:r>
                </w:p>
              </w:tc>
              <w:tc>
                <w:tcPr>
                  <w:tcW w:w="690" w:type="pct"/>
                  <w:shd w:val="clear" w:color="auto" w:fill="auto"/>
                  <w:noWrap w:val="0"/>
                  <w:vAlign w:val="center"/>
                </w:tcPr>
                <w:p w14:paraId="6AACC2EB">
                  <w:pPr>
                    <w:pStyle w:val="32"/>
                    <w:bidi w:val="0"/>
                    <w:rPr>
                      <w:rFonts w:hint="eastAsia"/>
                    </w:rPr>
                  </w:pPr>
                  <w:r>
                    <w:rPr>
                      <w:rFonts w:hint="eastAsia"/>
                    </w:rPr>
                    <w:t>32.594544</w:t>
                  </w:r>
                </w:p>
              </w:tc>
              <w:tc>
                <w:tcPr>
                  <w:tcW w:w="1007" w:type="pct"/>
                  <w:noWrap w:val="0"/>
                  <w:vAlign w:val="center"/>
                </w:tcPr>
                <w:p w14:paraId="69742BB4">
                  <w:pPr>
                    <w:pStyle w:val="32"/>
                    <w:bidi w:val="0"/>
                    <w:rPr>
                      <w:rFonts w:hint="default"/>
                      <w:lang w:val="en-US" w:eastAsia="zh-CN"/>
                    </w:rPr>
                  </w:pPr>
                  <w:r>
                    <w:rPr>
                      <w:rFonts w:hint="eastAsia"/>
                      <w:lang w:val="en-US" w:eastAsia="zh-CN"/>
                    </w:rPr>
                    <w:t>40人</w:t>
                  </w:r>
                </w:p>
              </w:tc>
              <w:tc>
                <w:tcPr>
                  <w:tcW w:w="702" w:type="pct"/>
                  <w:vMerge w:val="restart"/>
                  <w:noWrap w:val="0"/>
                  <w:vAlign w:val="center"/>
                </w:tcPr>
                <w:p w14:paraId="1EC4E32A">
                  <w:pPr>
                    <w:pStyle w:val="32"/>
                    <w:bidi w:val="0"/>
                    <w:rPr>
                      <w:rFonts w:hint="default" w:eastAsia="宋体"/>
                      <w:lang w:val="en-US" w:eastAsia="zh-CN"/>
                    </w:rPr>
                  </w:pPr>
                  <w:r>
                    <w:rPr>
                      <w:rFonts w:hint="eastAsia"/>
                      <w:lang w:val="en-US" w:eastAsia="zh-CN"/>
                    </w:rPr>
                    <w:t>声环境2功能</w:t>
                  </w:r>
                </w:p>
              </w:tc>
              <w:tc>
                <w:tcPr>
                  <w:tcW w:w="421" w:type="pct"/>
                  <w:noWrap w:val="0"/>
                  <w:vAlign w:val="center"/>
                </w:tcPr>
                <w:p w14:paraId="5AA9E2F9">
                  <w:pPr>
                    <w:pStyle w:val="32"/>
                    <w:bidi w:val="0"/>
                    <w:rPr>
                      <w:rFonts w:hint="default"/>
                      <w:lang w:val="en-US" w:eastAsia="zh-CN"/>
                    </w:rPr>
                  </w:pPr>
                  <w:r>
                    <w:rPr>
                      <w:rFonts w:hint="eastAsia"/>
                      <w:lang w:val="en-US" w:eastAsia="zh-CN"/>
                    </w:rPr>
                    <w:t>S</w:t>
                  </w:r>
                </w:p>
              </w:tc>
              <w:tc>
                <w:tcPr>
                  <w:tcW w:w="496" w:type="pct"/>
                  <w:noWrap w:val="0"/>
                  <w:vAlign w:val="center"/>
                </w:tcPr>
                <w:p w14:paraId="09758E11">
                  <w:pPr>
                    <w:pStyle w:val="32"/>
                    <w:bidi w:val="0"/>
                    <w:rPr>
                      <w:rFonts w:hint="default"/>
                      <w:lang w:val="en-US" w:eastAsia="zh-CN"/>
                    </w:rPr>
                  </w:pPr>
                  <w:r>
                    <w:rPr>
                      <w:rFonts w:hint="eastAsia"/>
                      <w:lang w:val="en-US" w:eastAsia="zh-CN"/>
                    </w:rPr>
                    <w:t>15</w:t>
                  </w:r>
                </w:p>
              </w:tc>
            </w:tr>
            <w:tr w14:paraId="7561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noWrap w:val="0"/>
                  <w:vAlign w:val="center"/>
                </w:tcPr>
                <w:p w14:paraId="1107F93D">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6</w:t>
                  </w:r>
                </w:p>
              </w:tc>
              <w:tc>
                <w:tcPr>
                  <w:tcW w:w="651" w:type="pct"/>
                  <w:shd w:val="clear" w:color="auto" w:fill="auto"/>
                  <w:noWrap w:val="0"/>
                  <w:vAlign w:val="center"/>
                </w:tcPr>
                <w:p w14:paraId="50537C45">
                  <w:pPr>
                    <w:pStyle w:val="32"/>
                    <w:bidi w:val="0"/>
                    <w:rPr>
                      <w:rFonts w:hint="eastAsia"/>
                      <w:lang w:val="en-US" w:eastAsia="zh-CN"/>
                    </w:rPr>
                  </w:pPr>
                  <w:r>
                    <w:rPr>
                      <w:rFonts w:hint="eastAsia"/>
                      <w:color w:val="auto"/>
                      <w:lang w:val="en-US" w:eastAsia="zh-CN"/>
                    </w:rPr>
                    <w:t>儿童福利院</w:t>
                  </w:r>
                </w:p>
              </w:tc>
              <w:tc>
                <w:tcPr>
                  <w:tcW w:w="747" w:type="pct"/>
                  <w:shd w:val="clear" w:color="auto" w:fill="auto"/>
                  <w:noWrap w:val="0"/>
                  <w:vAlign w:val="center"/>
                </w:tcPr>
                <w:p w14:paraId="5E55D0AE">
                  <w:pPr>
                    <w:pStyle w:val="32"/>
                    <w:bidi w:val="0"/>
                    <w:rPr>
                      <w:rFonts w:hint="eastAsia"/>
                    </w:rPr>
                  </w:pPr>
                  <w:r>
                    <w:rPr>
                      <w:rFonts w:hint="eastAsia"/>
                    </w:rPr>
                    <w:t>116.978004</w:t>
                  </w:r>
                </w:p>
              </w:tc>
              <w:tc>
                <w:tcPr>
                  <w:tcW w:w="690" w:type="pct"/>
                  <w:shd w:val="clear" w:color="auto" w:fill="auto"/>
                  <w:noWrap w:val="0"/>
                  <w:vAlign w:val="center"/>
                </w:tcPr>
                <w:p w14:paraId="6D85EDBE">
                  <w:pPr>
                    <w:pStyle w:val="32"/>
                    <w:bidi w:val="0"/>
                    <w:rPr>
                      <w:rFonts w:hint="eastAsia"/>
                    </w:rPr>
                  </w:pPr>
                  <w:r>
                    <w:rPr>
                      <w:rFonts w:hint="eastAsia"/>
                    </w:rPr>
                    <w:t>32.593153</w:t>
                  </w:r>
                </w:p>
              </w:tc>
              <w:tc>
                <w:tcPr>
                  <w:tcW w:w="1007" w:type="pct"/>
                  <w:noWrap w:val="0"/>
                  <w:vAlign w:val="center"/>
                </w:tcPr>
                <w:p w14:paraId="3FA42B7E">
                  <w:pPr>
                    <w:pStyle w:val="32"/>
                    <w:bidi w:val="0"/>
                    <w:rPr>
                      <w:rFonts w:hint="eastAsia"/>
                      <w:lang w:val="en-US" w:eastAsia="zh-CN"/>
                    </w:rPr>
                  </w:pPr>
                  <w:r>
                    <w:rPr>
                      <w:rFonts w:hint="eastAsia"/>
                      <w:lang w:val="en-US" w:eastAsia="zh-CN"/>
                    </w:rPr>
                    <w:t>50人</w:t>
                  </w:r>
                </w:p>
              </w:tc>
              <w:tc>
                <w:tcPr>
                  <w:tcW w:w="702" w:type="pct"/>
                  <w:vMerge w:val="continue"/>
                  <w:noWrap w:val="0"/>
                  <w:vAlign w:val="center"/>
                </w:tcPr>
                <w:p w14:paraId="223FB810">
                  <w:pPr>
                    <w:pStyle w:val="32"/>
                    <w:bidi w:val="0"/>
                  </w:pPr>
                </w:p>
              </w:tc>
              <w:tc>
                <w:tcPr>
                  <w:tcW w:w="421" w:type="pct"/>
                  <w:noWrap w:val="0"/>
                  <w:vAlign w:val="center"/>
                </w:tcPr>
                <w:p w14:paraId="19679DBF">
                  <w:pPr>
                    <w:pStyle w:val="32"/>
                    <w:bidi w:val="0"/>
                    <w:rPr>
                      <w:rFonts w:hint="default"/>
                      <w:lang w:val="en-US" w:eastAsia="zh-CN"/>
                    </w:rPr>
                  </w:pPr>
                  <w:r>
                    <w:rPr>
                      <w:rFonts w:hint="eastAsia"/>
                      <w:lang w:val="en-US" w:eastAsia="zh-CN"/>
                    </w:rPr>
                    <w:t>N</w:t>
                  </w:r>
                </w:p>
              </w:tc>
              <w:tc>
                <w:tcPr>
                  <w:tcW w:w="496" w:type="pct"/>
                  <w:noWrap w:val="0"/>
                  <w:vAlign w:val="center"/>
                </w:tcPr>
                <w:p w14:paraId="0EC32EF9">
                  <w:pPr>
                    <w:pStyle w:val="32"/>
                    <w:bidi w:val="0"/>
                    <w:rPr>
                      <w:rFonts w:hint="default"/>
                      <w:lang w:val="en-US" w:eastAsia="zh-CN"/>
                    </w:rPr>
                  </w:pPr>
                  <w:r>
                    <w:rPr>
                      <w:rFonts w:hint="eastAsia"/>
                      <w:lang w:val="en-US" w:eastAsia="zh-CN"/>
                    </w:rPr>
                    <w:t>10</w:t>
                  </w:r>
                </w:p>
              </w:tc>
            </w:tr>
          </w:tbl>
          <w:p w14:paraId="6C7050C3">
            <w:pPr>
              <w:bidi w:val="0"/>
              <w:rPr>
                <w:b/>
                <w:bCs/>
              </w:rPr>
            </w:pPr>
            <w:r>
              <w:rPr>
                <w:rFonts w:hint="eastAsia"/>
                <w:b/>
                <w:bCs/>
              </w:rPr>
              <w:t>3、地下水环境保护目标</w:t>
            </w:r>
          </w:p>
          <w:p w14:paraId="1BF43D63">
            <w:pPr>
              <w:ind w:firstLine="480"/>
              <w:rPr>
                <w:color w:val="auto"/>
              </w:rPr>
            </w:pPr>
            <w:r>
              <w:rPr>
                <w:rFonts w:hint="eastAsia"/>
                <w:color w:val="auto"/>
                <w:lang w:val="en-US" w:eastAsia="zh-CN"/>
              </w:rPr>
              <w:t>本项目</w:t>
            </w:r>
            <w:r>
              <w:rPr>
                <w:rFonts w:hint="eastAsia"/>
                <w:color w:val="auto"/>
              </w:rPr>
              <w:t>厂界外500米范围内不涉及地下水集中式饮用水水源和热水、矿泉水、温泉等特殊地下水资源。</w:t>
            </w:r>
          </w:p>
          <w:p w14:paraId="7026BD90">
            <w:pPr>
              <w:ind w:firstLine="482"/>
              <w:rPr>
                <w:b/>
                <w:bCs/>
                <w:color w:val="auto"/>
              </w:rPr>
            </w:pPr>
            <w:r>
              <w:rPr>
                <w:rFonts w:hint="eastAsia"/>
                <w:b/>
                <w:bCs/>
                <w:color w:val="auto"/>
              </w:rPr>
              <w:t>4、生态环境保护目标</w:t>
            </w:r>
          </w:p>
          <w:p w14:paraId="2296B823">
            <w:pPr>
              <w:ind w:firstLine="480"/>
              <w:rPr>
                <w:color w:val="auto"/>
              </w:rPr>
            </w:pPr>
            <w:r>
              <w:rPr>
                <w:rFonts w:hint="eastAsia"/>
                <w:color w:val="auto"/>
              </w:rPr>
              <w:t>本项目位于淮南市</w:t>
            </w:r>
            <w:r>
              <w:rPr>
                <w:rFonts w:hint="eastAsia"/>
                <w:color w:val="auto"/>
                <w:lang w:val="en-US" w:eastAsia="zh-CN"/>
              </w:rPr>
              <w:t>高新技术开发区内</w:t>
            </w:r>
            <w:r>
              <w:rPr>
                <w:rFonts w:hint="eastAsia"/>
                <w:color w:val="auto"/>
              </w:rPr>
              <w:t>，项目利用</w:t>
            </w:r>
            <w:r>
              <w:rPr>
                <w:rFonts w:hint="eastAsia"/>
                <w:color w:val="auto"/>
                <w:lang w:val="en-US" w:eastAsia="zh-CN"/>
              </w:rPr>
              <w:t>福利院已建主楼</w:t>
            </w:r>
            <w:r>
              <w:rPr>
                <w:rFonts w:hint="eastAsia"/>
                <w:color w:val="auto"/>
              </w:rPr>
              <w:t>，不新增占地，无生态环境保护目标。</w:t>
            </w:r>
          </w:p>
        </w:tc>
      </w:tr>
      <w:tr w14:paraId="5C3A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7" w:type="dxa"/>
            <w:tcBorders>
              <w:tl2br w:val="nil"/>
              <w:tr2bl w:val="nil"/>
            </w:tcBorders>
            <w:shd w:val="clear" w:color="auto" w:fill="auto"/>
            <w:vAlign w:val="center"/>
          </w:tcPr>
          <w:p w14:paraId="0F105294">
            <w:pPr>
              <w:ind w:firstLine="0" w:firstLineChars="0"/>
              <w:jc w:val="center"/>
              <w:rPr>
                <w:color w:val="auto"/>
              </w:rPr>
            </w:pPr>
            <w:r>
              <w:rPr>
                <w:color w:val="auto"/>
                <w:szCs w:val="21"/>
              </w:rPr>
              <w:t>污染物排放标准</w:t>
            </w:r>
          </w:p>
        </w:tc>
        <w:tc>
          <w:tcPr>
            <w:tcW w:w="8581" w:type="dxa"/>
            <w:tcBorders>
              <w:tl2br w:val="nil"/>
              <w:tr2bl w:val="nil"/>
            </w:tcBorders>
            <w:shd w:val="clear" w:color="auto" w:fill="auto"/>
            <w:vAlign w:val="center"/>
          </w:tcPr>
          <w:p w14:paraId="02785E61">
            <w:pPr>
              <w:ind w:firstLine="482"/>
              <w:rPr>
                <w:b/>
                <w:bCs/>
                <w:color w:val="auto"/>
              </w:rPr>
            </w:pPr>
            <w:r>
              <w:rPr>
                <w:rFonts w:hint="eastAsia"/>
                <w:b/>
                <w:bCs/>
                <w:color w:val="auto"/>
              </w:rPr>
              <w:t>1、废气污染物排放标准</w:t>
            </w:r>
          </w:p>
          <w:p w14:paraId="6BC40CD1">
            <w:pPr>
              <w:bidi w:val="0"/>
            </w:pPr>
            <w:r>
              <w:rPr>
                <w:rFonts w:hint="eastAsia"/>
                <w:color w:val="auto"/>
                <w:spacing w:val="1"/>
                <w:sz w:val="24"/>
                <w:szCs w:val="24"/>
                <w:lang w:val="en-US" w:eastAsia="zh-CN"/>
              </w:rPr>
              <w:t>污水站产生的恶臭气体执行《恶臭污染物排放标准》（GB14554-93）中的二级标准，项目污水站产生的无组织氨、硫化氢、氯气、甲烷、臭气浓度执行《医疗机构水污染物排放标准》（GB18466-2005）中“污水处理站周边大气污染物最高允许浓度”要求，详见表 3-6。</w:t>
            </w:r>
          </w:p>
          <w:p w14:paraId="2C53DF94">
            <w:pPr>
              <w:pStyle w:val="27"/>
              <w:bidi w:val="0"/>
            </w:pPr>
            <w:r>
              <w:t>表3-</w:t>
            </w:r>
            <w:r>
              <w:rPr>
                <w:rFonts w:hint="eastAsia"/>
                <w:lang w:val="en-US" w:eastAsia="zh-CN"/>
              </w:rPr>
              <w:t>6</w:t>
            </w:r>
            <w:r>
              <w:t xml:space="preserve">  </w:t>
            </w:r>
            <w:r>
              <w:rPr>
                <w:rFonts w:hint="eastAsia"/>
                <w:lang w:val="en-US" w:eastAsia="zh-CN"/>
              </w:rPr>
              <w:t>污水处理站恶臭污染物</w:t>
            </w:r>
            <w:r>
              <w:t>排放标准</w:t>
            </w:r>
          </w:p>
          <w:tbl>
            <w:tblPr>
              <w:tblStyle w:val="31"/>
              <w:tblW w:w="498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9"/>
              <w:gridCol w:w="1067"/>
              <w:gridCol w:w="1365"/>
              <w:gridCol w:w="1848"/>
              <w:gridCol w:w="2267"/>
            </w:tblGrid>
            <w:tr w14:paraId="50ADD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73" w:type="pct"/>
                  <w:vAlign w:val="center"/>
                </w:tcPr>
                <w:p w14:paraId="0F00C910">
                  <w:pPr>
                    <w:pStyle w:val="32"/>
                    <w:bidi w:val="0"/>
                    <w:rPr>
                      <w:b/>
                      <w:bCs/>
                    </w:rPr>
                  </w:pPr>
                  <w:r>
                    <w:rPr>
                      <w:b/>
                      <w:bCs/>
                    </w:rPr>
                    <w:t>污染物名</w:t>
                  </w:r>
                </w:p>
                <w:p w14:paraId="2EDBA067">
                  <w:pPr>
                    <w:pStyle w:val="32"/>
                    <w:bidi w:val="0"/>
                    <w:rPr>
                      <w:b/>
                      <w:bCs/>
                      <w:color w:val="auto"/>
                    </w:rPr>
                  </w:pPr>
                  <w:r>
                    <w:rPr>
                      <w:b/>
                      <w:bCs/>
                    </w:rPr>
                    <w:t>称</w:t>
                  </w:r>
                </w:p>
              </w:tc>
              <w:tc>
                <w:tcPr>
                  <w:tcW w:w="640" w:type="pct"/>
                  <w:vAlign w:val="center"/>
                </w:tcPr>
                <w:p w14:paraId="296907AF">
                  <w:pPr>
                    <w:pStyle w:val="32"/>
                    <w:bidi w:val="0"/>
                    <w:rPr>
                      <w:b/>
                      <w:bCs/>
                      <w:color w:val="auto"/>
                    </w:rPr>
                  </w:pPr>
                  <w:r>
                    <w:rPr>
                      <w:b/>
                      <w:bCs/>
                    </w:rPr>
                    <w:t>排气筒高度（m）</w:t>
                  </w:r>
                </w:p>
              </w:tc>
              <w:tc>
                <w:tcPr>
                  <w:tcW w:w="818" w:type="pct"/>
                  <w:vAlign w:val="center"/>
                </w:tcPr>
                <w:p w14:paraId="025C392A">
                  <w:pPr>
                    <w:pStyle w:val="32"/>
                    <w:bidi w:val="0"/>
                    <w:rPr>
                      <w:b/>
                      <w:bCs/>
                      <w:color w:val="auto"/>
                    </w:rPr>
                  </w:pPr>
                  <w:r>
                    <w:rPr>
                      <w:rFonts w:hint="eastAsia"/>
                      <w:b/>
                      <w:bCs/>
                      <w:lang w:val="en-US" w:eastAsia="zh-CN"/>
                    </w:rPr>
                    <w:t>排放量</w:t>
                  </w:r>
                  <w:r>
                    <w:rPr>
                      <w:b/>
                      <w:bCs/>
                    </w:rPr>
                    <w:t>（kg/h）</w:t>
                  </w:r>
                </w:p>
              </w:tc>
              <w:tc>
                <w:tcPr>
                  <w:tcW w:w="1108" w:type="pct"/>
                  <w:vAlign w:val="center"/>
                </w:tcPr>
                <w:p w14:paraId="64CD182D">
                  <w:pPr>
                    <w:pStyle w:val="32"/>
                    <w:bidi w:val="0"/>
                    <w:rPr>
                      <w:b/>
                      <w:bCs/>
                      <w:color w:val="auto"/>
                    </w:rPr>
                  </w:pPr>
                  <w:r>
                    <w:rPr>
                      <w:rFonts w:hint="eastAsia"/>
                      <w:b/>
                      <w:bCs/>
                      <w:lang w:val="en-US" w:eastAsia="zh-CN"/>
                    </w:rPr>
                    <w:t>污水处理站周边大气污染物最高允许浓度</w:t>
                  </w:r>
                  <w:r>
                    <w:rPr>
                      <w:rFonts w:hint="eastAsia"/>
                      <w:b/>
                      <w:bCs/>
                      <w:lang w:eastAsia="zh-CN"/>
                    </w:rPr>
                    <w:t>(</w:t>
                  </w:r>
                  <w:r>
                    <w:rPr>
                      <w:b/>
                      <w:bCs/>
                    </w:rPr>
                    <w:t>mg/</w:t>
                  </w:r>
                  <w:r>
                    <w:rPr>
                      <w:rFonts w:hint="eastAsia"/>
                      <w:b/>
                      <w:bCs/>
                      <w:lang w:val="en-US" w:eastAsia="zh-CN"/>
                    </w:rPr>
                    <w:t>m³)</w:t>
                  </w:r>
                </w:p>
              </w:tc>
              <w:tc>
                <w:tcPr>
                  <w:tcW w:w="1359" w:type="pct"/>
                  <w:vAlign w:val="center"/>
                </w:tcPr>
                <w:p w14:paraId="5ABA50FB">
                  <w:pPr>
                    <w:pStyle w:val="32"/>
                    <w:bidi w:val="0"/>
                    <w:rPr>
                      <w:rFonts w:hint="default" w:eastAsia="宋体"/>
                      <w:b/>
                      <w:bCs/>
                      <w:color w:val="auto"/>
                      <w:lang w:val="en-US" w:eastAsia="zh-CN"/>
                    </w:rPr>
                  </w:pPr>
                  <w:r>
                    <w:rPr>
                      <w:rFonts w:hint="eastAsia"/>
                      <w:b/>
                      <w:bCs/>
                      <w:lang w:val="en-US" w:eastAsia="zh-CN"/>
                    </w:rPr>
                    <w:t>标准来源</w:t>
                  </w:r>
                </w:p>
              </w:tc>
            </w:tr>
            <w:tr w14:paraId="1BB1E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73" w:type="pct"/>
                  <w:vAlign w:val="center"/>
                </w:tcPr>
                <w:p w14:paraId="779AC711">
                  <w:pPr>
                    <w:pStyle w:val="32"/>
                    <w:bidi w:val="0"/>
                    <w:rPr>
                      <w:rFonts w:hint="eastAsia" w:eastAsia="宋体"/>
                      <w:color w:val="auto"/>
                      <w:lang w:eastAsia="zh-CN"/>
                    </w:rPr>
                  </w:pPr>
                  <w:r>
                    <w:rPr>
                      <w:rFonts w:hint="eastAsia"/>
                      <w:lang w:val="en-US" w:eastAsia="zh-CN"/>
                    </w:rPr>
                    <w:t>氨</w:t>
                  </w:r>
                </w:p>
              </w:tc>
              <w:tc>
                <w:tcPr>
                  <w:tcW w:w="640" w:type="pct"/>
                  <w:vMerge w:val="restart"/>
                  <w:vAlign w:val="center"/>
                </w:tcPr>
                <w:p w14:paraId="6DDD2D0B">
                  <w:pPr>
                    <w:pStyle w:val="32"/>
                    <w:bidi w:val="0"/>
                    <w:rPr>
                      <w:color w:val="auto"/>
                    </w:rPr>
                  </w:pPr>
                  <w:r>
                    <w:t>15</w:t>
                  </w:r>
                </w:p>
              </w:tc>
              <w:tc>
                <w:tcPr>
                  <w:tcW w:w="818" w:type="pct"/>
                  <w:vAlign w:val="center"/>
                </w:tcPr>
                <w:p w14:paraId="35300697">
                  <w:pPr>
                    <w:pStyle w:val="32"/>
                    <w:bidi w:val="0"/>
                    <w:rPr>
                      <w:rFonts w:hint="default" w:eastAsia="宋体"/>
                      <w:color w:val="auto"/>
                      <w:lang w:val="en-US" w:eastAsia="zh-CN"/>
                    </w:rPr>
                  </w:pPr>
                  <w:r>
                    <w:rPr>
                      <w:rFonts w:hint="eastAsia"/>
                      <w:lang w:val="en-US" w:eastAsia="zh-CN"/>
                    </w:rPr>
                    <w:t>4.9</w:t>
                  </w:r>
                </w:p>
              </w:tc>
              <w:tc>
                <w:tcPr>
                  <w:tcW w:w="1108" w:type="pct"/>
                  <w:vAlign w:val="center"/>
                </w:tcPr>
                <w:p w14:paraId="00808FC6">
                  <w:pPr>
                    <w:pStyle w:val="32"/>
                    <w:bidi w:val="0"/>
                    <w:rPr>
                      <w:rFonts w:hint="default" w:eastAsia="宋体"/>
                      <w:color w:val="auto"/>
                      <w:lang w:val="en-US" w:eastAsia="zh-CN"/>
                    </w:rPr>
                  </w:pPr>
                  <w:r>
                    <w:rPr>
                      <w:rFonts w:hint="eastAsia"/>
                      <w:lang w:val="en-US" w:eastAsia="zh-CN"/>
                    </w:rPr>
                    <w:t>1.0</w:t>
                  </w:r>
                </w:p>
              </w:tc>
              <w:tc>
                <w:tcPr>
                  <w:tcW w:w="1359" w:type="pct"/>
                  <w:vMerge w:val="restart"/>
                  <w:vAlign w:val="center"/>
                </w:tcPr>
                <w:p w14:paraId="24BEC088">
                  <w:pPr>
                    <w:pStyle w:val="32"/>
                    <w:bidi w:val="0"/>
                    <w:rPr>
                      <w:rFonts w:hint="default"/>
                      <w:color w:val="auto"/>
                      <w:lang w:val="en-US"/>
                    </w:rPr>
                  </w:pPr>
                  <w:r>
                    <w:rPr>
                      <w:rFonts w:hint="eastAsia"/>
                      <w:lang w:val="en-US" w:eastAsia="zh-CN"/>
                    </w:rPr>
                    <w:t>《恶臭污染物排放标准》（GB14554-93）及《医疗机构水污染物排放标准》（GB18466-2005）</w:t>
                  </w:r>
                </w:p>
              </w:tc>
            </w:tr>
            <w:tr w14:paraId="5294E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73" w:type="pct"/>
                  <w:vAlign w:val="center"/>
                </w:tcPr>
                <w:p w14:paraId="05166A83">
                  <w:pPr>
                    <w:pStyle w:val="32"/>
                    <w:bidi w:val="0"/>
                    <w:rPr>
                      <w:rFonts w:hint="eastAsia" w:eastAsia="宋体"/>
                      <w:color w:val="auto"/>
                      <w:lang w:val="en-US" w:eastAsia="zh-CN"/>
                    </w:rPr>
                  </w:pPr>
                  <w:r>
                    <w:rPr>
                      <w:rFonts w:hint="eastAsia"/>
                      <w:color w:val="auto"/>
                      <w:lang w:val="en-US" w:eastAsia="zh-CN"/>
                    </w:rPr>
                    <w:t>硫化氢</w:t>
                  </w:r>
                </w:p>
              </w:tc>
              <w:tc>
                <w:tcPr>
                  <w:tcW w:w="640" w:type="pct"/>
                  <w:vMerge w:val="continue"/>
                  <w:vAlign w:val="center"/>
                </w:tcPr>
                <w:p w14:paraId="7436AF9C">
                  <w:pPr>
                    <w:pStyle w:val="32"/>
                    <w:bidi w:val="0"/>
                    <w:rPr>
                      <w:color w:val="auto"/>
                    </w:rPr>
                  </w:pPr>
                </w:p>
              </w:tc>
              <w:tc>
                <w:tcPr>
                  <w:tcW w:w="818" w:type="pct"/>
                  <w:vAlign w:val="center"/>
                </w:tcPr>
                <w:p w14:paraId="3C086A35">
                  <w:pPr>
                    <w:pStyle w:val="32"/>
                    <w:bidi w:val="0"/>
                    <w:rPr>
                      <w:rFonts w:hint="default" w:eastAsia="宋体"/>
                      <w:color w:val="auto"/>
                      <w:lang w:val="en-US" w:eastAsia="zh-CN"/>
                    </w:rPr>
                  </w:pPr>
                  <w:r>
                    <w:rPr>
                      <w:rFonts w:hint="eastAsia"/>
                      <w:lang w:val="en-US" w:eastAsia="zh-CN"/>
                    </w:rPr>
                    <w:t>0.33</w:t>
                  </w:r>
                </w:p>
              </w:tc>
              <w:tc>
                <w:tcPr>
                  <w:tcW w:w="1108" w:type="pct"/>
                  <w:vAlign w:val="center"/>
                </w:tcPr>
                <w:p w14:paraId="0FDD47CC">
                  <w:pPr>
                    <w:pStyle w:val="32"/>
                    <w:bidi w:val="0"/>
                    <w:rPr>
                      <w:rFonts w:hint="default" w:eastAsia="宋体"/>
                      <w:color w:val="auto"/>
                      <w:lang w:val="en-US" w:eastAsia="zh-CN"/>
                    </w:rPr>
                  </w:pPr>
                  <w:r>
                    <w:rPr>
                      <w:rFonts w:hint="eastAsia"/>
                      <w:lang w:val="en-US" w:eastAsia="zh-CN"/>
                    </w:rPr>
                    <w:t>0.03</w:t>
                  </w:r>
                </w:p>
              </w:tc>
              <w:tc>
                <w:tcPr>
                  <w:tcW w:w="1359" w:type="pct"/>
                  <w:vMerge w:val="continue"/>
                  <w:vAlign w:val="center"/>
                </w:tcPr>
                <w:p w14:paraId="39A7B209">
                  <w:pPr>
                    <w:pStyle w:val="32"/>
                    <w:bidi w:val="0"/>
                    <w:rPr>
                      <w:color w:val="auto"/>
                    </w:rPr>
                  </w:pPr>
                </w:p>
              </w:tc>
            </w:tr>
            <w:tr w14:paraId="58578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73" w:type="pct"/>
                  <w:vAlign w:val="center"/>
                </w:tcPr>
                <w:p w14:paraId="5C2E6AC4">
                  <w:pPr>
                    <w:pStyle w:val="32"/>
                    <w:bidi w:val="0"/>
                    <w:rPr>
                      <w:rFonts w:hint="default" w:eastAsia="宋体"/>
                      <w:color w:val="auto"/>
                      <w:lang w:val="en-US" w:eastAsia="zh-CN"/>
                    </w:rPr>
                  </w:pPr>
                  <w:r>
                    <w:rPr>
                      <w:rFonts w:hint="eastAsia"/>
                      <w:color w:val="auto"/>
                      <w:lang w:val="en-US" w:eastAsia="zh-CN"/>
                    </w:rPr>
                    <w:t>臭气浓度</w:t>
                  </w:r>
                </w:p>
              </w:tc>
              <w:tc>
                <w:tcPr>
                  <w:tcW w:w="640" w:type="pct"/>
                  <w:vMerge w:val="continue"/>
                  <w:vAlign w:val="center"/>
                </w:tcPr>
                <w:p w14:paraId="53F0B705">
                  <w:pPr>
                    <w:pStyle w:val="32"/>
                    <w:bidi w:val="0"/>
                    <w:rPr>
                      <w:color w:val="auto"/>
                    </w:rPr>
                  </w:pPr>
                </w:p>
              </w:tc>
              <w:tc>
                <w:tcPr>
                  <w:tcW w:w="818" w:type="pct"/>
                  <w:vAlign w:val="center"/>
                </w:tcPr>
                <w:p w14:paraId="0C0F9E49">
                  <w:pPr>
                    <w:pStyle w:val="32"/>
                    <w:bidi w:val="0"/>
                    <w:rPr>
                      <w:rFonts w:hint="default" w:eastAsia="宋体"/>
                      <w:color w:val="auto"/>
                      <w:lang w:val="en-US" w:eastAsia="zh-CN"/>
                    </w:rPr>
                  </w:pPr>
                  <w:r>
                    <w:rPr>
                      <w:rFonts w:hint="eastAsia"/>
                      <w:color w:val="auto"/>
                      <w:lang w:val="en-US" w:eastAsia="zh-CN"/>
                    </w:rPr>
                    <w:t>2000（无量纲）</w:t>
                  </w:r>
                </w:p>
              </w:tc>
              <w:tc>
                <w:tcPr>
                  <w:tcW w:w="1108" w:type="pct"/>
                  <w:vAlign w:val="center"/>
                </w:tcPr>
                <w:p w14:paraId="3204683A">
                  <w:pPr>
                    <w:pStyle w:val="32"/>
                    <w:bidi w:val="0"/>
                    <w:rPr>
                      <w:rFonts w:hint="default" w:eastAsia="宋体"/>
                      <w:color w:val="auto"/>
                      <w:lang w:val="en-US" w:eastAsia="zh-CN"/>
                    </w:rPr>
                  </w:pPr>
                  <w:r>
                    <w:rPr>
                      <w:rFonts w:hint="eastAsia"/>
                      <w:lang w:val="en-US" w:eastAsia="zh-CN"/>
                    </w:rPr>
                    <w:t>10</w:t>
                  </w:r>
                  <w:r>
                    <w:rPr>
                      <w:rFonts w:hint="eastAsia"/>
                      <w:color w:val="auto"/>
                      <w:lang w:val="en-US" w:eastAsia="zh-CN"/>
                    </w:rPr>
                    <w:t>（无量纲）</w:t>
                  </w:r>
                </w:p>
              </w:tc>
              <w:tc>
                <w:tcPr>
                  <w:tcW w:w="1359" w:type="pct"/>
                  <w:vMerge w:val="continue"/>
                  <w:vAlign w:val="center"/>
                </w:tcPr>
                <w:p w14:paraId="12EB66F5">
                  <w:pPr>
                    <w:pStyle w:val="32"/>
                    <w:bidi w:val="0"/>
                    <w:rPr>
                      <w:color w:val="auto"/>
                    </w:rPr>
                  </w:pPr>
                </w:p>
              </w:tc>
            </w:tr>
            <w:tr w14:paraId="0011D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73" w:type="pct"/>
                  <w:vAlign w:val="center"/>
                </w:tcPr>
                <w:p w14:paraId="17FA3EA2">
                  <w:pPr>
                    <w:pStyle w:val="32"/>
                    <w:bidi w:val="0"/>
                    <w:rPr>
                      <w:rFonts w:hint="default"/>
                      <w:color w:val="auto"/>
                      <w:lang w:val="en-US" w:eastAsia="zh-CN"/>
                    </w:rPr>
                  </w:pPr>
                  <w:r>
                    <w:rPr>
                      <w:rFonts w:hint="eastAsia"/>
                      <w:color w:val="auto"/>
                      <w:lang w:val="en-US" w:eastAsia="zh-CN"/>
                    </w:rPr>
                    <w:t>氯气</w:t>
                  </w:r>
                </w:p>
              </w:tc>
              <w:tc>
                <w:tcPr>
                  <w:tcW w:w="640" w:type="pct"/>
                  <w:vAlign w:val="center"/>
                </w:tcPr>
                <w:p w14:paraId="6E7EB24B">
                  <w:pPr>
                    <w:pStyle w:val="32"/>
                    <w:bidi w:val="0"/>
                    <w:rPr>
                      <w:rFonts w:hint="eastAsia" w:eastAsia="宋体"/>
                      <w:color w:val="auto"/>
                      <w:lang w:val="en-US" w:eastAsia="zh-CN"/>
                    </w:rPr>
                  </w:pPr>
                  <w:r>
                    <w:rPr>
                      <w:rFonts w:hint="eastAsia"/>
                      <w:color w:val="auto"/>
                      <w:lang w:val="en-US" w:eastAsia="zh-CN"/>
                    </w:rPr>
                    <w:t>/</w:t>
                  </w:r>
                </w:p>
              </w:tc>
              <w:tc>
                <w:tcPr>
                  <w:tcW w:w="818" w:type="pct"/>
                  <w:vAlign w:val="center"/>
                </w:tcPr>
                <w:p w14:paraId="7930D015">
                  <w:pPr>
                    <w:pStyle w:val="32"/>
                    <w:bidi w:val="0"/>
                    <w:rPr>
                      <w:rFonts w:hint="default"/>
                      <w:color w:val="auto"/>
                      <w:lang w:val="en-US" w:eastAsia="zh-CN"/>
                    </w:rPr>
                  </w:pPr>
                  <w:r>
                    <w:rPr>
                      <w:rFonts w:hint="eastAsia"/>
                      <w:color w:val="auto"/>
                      <w:lang w:val="en-US" w:eastAsia="zh-CN"/>
                    </w:rPr>
                    <w:t>/</w:t>
                  </w:r>
                </w:p>
              </w:tc>
              <w:tc>
                <w:tcPr>
                  <w:tcW w:w="1108" w:type="pct"/>
                  <w:vAlign w:val="center"/>
                </w:tcPr>
                <w:p w14:paraId="399431E1">
                  <w:pPr>
                    <w:pStyle w:val="32"/>
                    <w:bidi w:val="0"/>
                    <w:rPr>
                      <w:rFonts w:hint="default"/>
                      <w:lang w:val="en-US" w:eastAsia="zh-CN"/>
                    </w:rPr>
                  </w:pPr>
                  <w:r>
                    <w:rPr>
                      <w:rFonts w:hint="eastAsia"/>
                      <w:lang w:val="en-US" w:eastAsia="zh-CN"/>
                    </w:rPr>
                    <w:t>0.1</w:t>
                  </w:r>
                </w:p>
              </w:tc>
              <w:tc>
                <w:tcPr>
                  <w:tcW w:w="1359" w:type="pct"/>
                  <w:vMerge w:val="continue"/>
                  <w:vAlign w:val="center"/>
                </w:tcPr>
                <w:p w14:paraId="189B02D6">
                  <w:pPr>
                    <w:pStyle w:val="32"/>
                    <w:bidi w:val="0"/>
                    <w:rPr>
                      <w:color w:val="auto"/>
                    </w:rPr>
                  </w:pPr>
                </w:p>
              </w:tc>
            </w:tr>
            <w:tr w14:paraId="60615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73" w:type="pct"/>
                  <w:vAlign w:val="center"/>
                </w:tcPr>
                <w:p w14:paraId="4CC6DCEE">
                  <w:pPr>
                    <w:pStyle w:val="32"/>
                    <w:bidi w:val="0"/>
                    <w:rPr>
                      <w:rFonts w:hint="default"/>
                      <w:color w:val="auto"/>
                      <w:lang w:val="en-US" w:eastAsia="zh-CN"/>
                    </w:rPr>
                  </w:pPr>
                  <w:r>
                    <w:rPr>
                      <w:rFonts w:hint="eastAsia"/>
                      <w:color w:val="auto"/>
                      <w:lang w:val="en-US" w:eastAsia="zh-CN"/>
                    </w:rPr>
                    <w:t>甲烷</w:t>
                  </w:r>
                </w:p>
              </w:tc>
              <w:tc>
                <w:tcPr>
                  <w:tcW w:w="640" w:type="pct"/>
                  <w:vAlign w:val="center"/>
                </w:tcPr>
                <w:p w14:paraId="2BE65469">
                  <w:pPr>
                    <w:pStyle w:val="32"/>
                    <w:bidi w:val="0"/>
                    <w:rPr>
                      <w:rFonts w:hint="eastAsia" w:eastAsia="宋体"/>
                      <w:color w:val="auto"/>
                      <w:lang w:val="en-US" w:eastAsia="zh-CN"/>
                    </w:rPr>
                  </w:pPr>
                  <w:r>
                    <w:rPr>
                      <w:rFonts w:hint="eastAsia"/>
                      <w:color w:val="auto"/>
                      <w:lang w:val="en-US" w:eastAsia="zh-CN"/>
                    </w:rPr>
                    <w:t>/</w:t>
                  </w:r>
                </w:p>
              </w:tc>
              <w:tc>
                <w:tcPr>
                  <w:tcW w:w="818" w:type="pct"/>
                  <w:vAlign w:val="center"/>
                </w:tcPr>
                <w:p w14:paraId="64CA770F">
                  <w:pPr>
                    <w:pStyle w:val="32"/>
                    <w:bidi w:val="0"/>
                    <w:rPr>
                      <w:rFonts w:hint="default"/>
                      <w:color w:val="auto"/>
                      <w:lang w:val="en-US" w:eastAsia="zh-CN"/>
                    </w:rPr>
                  </w:pPr>
                  <w:r>
                    <w:rPr>
                      <w:rFonts w:hint="eastAsia"/>
                      <w:color w:val="auto"/>
                      <w:lang w:val="en-US" w:eastAsia="zh-CN"/>
                    </w:rPr>
                    <w:t>/</w:t>
                  </w:r>
                </w:p>
              </w:tc>
              <w:tc>
                <w:tcPr>
                  <w:tcW w:w="1108" w:type="pct"/>
                  <w:vAlign w:val="center"/>
                </w:tcPr>
                <w:p w14:paraId="5F942C31">
                  <w:pPr>
                    <w:pStyle w:val="32"/>
                    <w:bidi w:val="0"/>
                    <w:rPr>
                      <w:rFonts w:hint="default"/>
                      <w:lang w:val="en-US" w:eastAsia="zh-CN"/>
                    </w:rPr>
                  </w:pPr>
                  <w:r>
                    <w:rPr>
                      <w:rFonts w:hint="eastAsia"/>
                      <w:lang w:val="en-US" w:eastAsia="zh-CN"/>
                    </w:rPr>
                    <w:t>1%</w:t>
                  </w:r>
                </w:p>
              </w:tc>
              <w:tc>
                <w:tcPr>
                  <w:tcW w:w="1359" w:type="pct"/>
                  <w:vMerge w:val="continue"/>
                  <w:vAlign w:val="center"/>
                </w:tcPr>
                <w:p w14:paraId="5CA3DE93">
                  <w:pPr>
                    <w:pStyle w:val="32"/>
                    <w:bidi w:val="0"/>
                    <w:rPr>
                      <w:color w:val="auto"/>
                    </w:rPr>
                  </w:pPr>
                </w:p>
              </w:tc>
            </w:tr>
          </w:tbl>
          <w:p w14:paraId="205E0136">
            <w:pPr>
              <w:bidi w:val="0"/>
              <w:rPr>
                <w:rFonts w:hint="eastAsia"/>
                <w:lang w:val="en-US" w:eastAsia="zh-CN"/>
              </w:rPr>
            </w:pPr>
            <w:r>
              <w:rPr>
                <w:rFonts w:hint="eastAsia"/>
              </w:rPr>
              <w:t>本项目厨房有2个灶头，油烟排放标准执行《饮食业油烟排放标准》</w:t>
            </w:r>
            <w:r>
              <w:rPr>
                <w:rFonts w:hint="eastAsia"/>
                <w:lang w:eastAsia="zh-CN"/>
              </w:rPr>
              <w:t>（</w:t>
            </w:r>
            <w:r>
              <w:rPr>
                <w:rFonts w:hint="eastAsia"/>
                <w:lang w:val="en-US" w:eastAsia="zh-CN"/>
              </w:rPr>
              <w:t>GB</w:t>
            </w:r>
            <w:r>
              <w:rPr>
                <w:rFonts w:hint="eastAsia"/>
              </w:rPr>
              <w:t>18483-2001</w:t>
            </w:r>
            <w:r>
              <w:rPr>
                <w:rFonts w:hint="eastAsia"/>
                <w:lang w:eastAsia="zh-CN"/>
              </w:rPr>
              <w:t>）</w:t>
            </w:r>
            <w:r>
              <w:rPr>
                <w:rFonts w:hint="eastAsia"/>
              </w:rPr>
              <w:t>中小型标准见表 3-</w:t>
            </w:r>
            <w:r>
              <w:rPr>
                <w:rFonts w:hint="eastAsia"/>
                <w:lang w:val="en-US" w:eastAsia="zh-CN"/>
              </w:rPr>
              <w:t>7。</w:t>
            </w:r>
          </w:p>
          <w:p w14:paraId="7467F730">
            <w:pPr>
              <w:pStyle w:val="41"/>
              <w:bidi w:val="0"/>
              <w:rPr>
                <w:rFonts w:hint="eastAsia"/>
                <w:lang w:eastAsia="zh-CN"/>
              </w:rPr>
            </w:pPr>
            <w:r>
              <w:rPr>
                <w:rFonts w:hint="eastAsia"/>
                <w:lang w:val="en-US" w:eastAsia="zh-CN"/>
              </w:rPr>
              <w:t xml:space="preserve">表3-7  </w:t>
            </w:r>
            <w:r>
              <w:rPr>
                <w:rFonts w:hint="eastAsia"/>
              </w:rPr>
              <w:t>《饮食业油烟排放标准》</w:t>
            </w:r>
            <w:r>
              <w:rPr>
                <w:rFonts w:hint="eastAsia"/>
                <w:lang w:eastAsia="zh-CN"/>
              </w:rPr>
              <w:t>（</w:t>
            </w:r>
            <w:r>
              <w:rPr>
                <w:rFonts w:hint="eastAsia"/>
                <w:lang w:val="en-US" w:eastAsia="zh-CN"/>
              </w:rPr>
              <w:t>GB</w:t>
            </w:r>
            <w:r>
              <w:rPr>
                <w:rFonts w:hint="eastAsia"/>
              </w:rPr>
              <w:t>18483-2001</w:t>
            </w:r>
            <w:r>
              <w:rPr>
                <w:rFonts w:hint="eastAsia"/>
                <w:lang w:eastAsia="zh-CN"/>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8"/>
              <w:gridCol w:w="4349"/>
            </w:tblGrid>
            <w:tr w14:paraId="7898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8" w:type="dxa"/>
                </w:tcPr>
                <w:p w14:paraId="597041BE">
                  <w:pPr>
                    <w:pStyle w:val="42"/>
                    <w:rPr>
                      <w:rFonts w:hint="default"/>
                      <w:b/>
                      <w:bCs/>
                      <w:vertAlign w:val="baseline"/>
                      <w:lang w:val="en-US" w:eastAsia="zh-CN"/>
                    </w:rPr>
                  </w:pPr>
                  <w:r>
                    <w:rPr>
                      <w:rFonts w:hint="eastAsia"/>
                      <w:b/>
                      <w:bCs/>
                      <w:vertAlign w:val="baseline"/>
                      <w:lang w:val="en-US" w:eastAsia="zh-CN"/>
                    </w:rPr>
                    <w:t>规模</w:t>
                  </w:r>
                </w:p>
              </w:tc>
              <w:tc>
                <w:tcPr>
                  <w:tcW w:w="4349" w:type="dxa"/>
                </w:tcPr>
                <w:p w14:paraId="1426C8D1">
                  <w:pPr>
                    <w:pStyle w:val="42"/>
                    <w:rPr>
                      <w:rFonts w:hint="default"/>
                      <w:b/>
                      <w:bCs/>
                      <w:vertAlign w:val="baseline"/>
                      <w:lang w:val="en-US" w:eastAsia="zh-CN"/>
                    </w:rPr>
                  </w:pPr>
                  <w:r>
                    <w:rPr>
                      <w:rFonts w:hint="eastAsia"/>
                      <w:b/>
                      <w:bCs/>
                      <w:vertAlign w:val="baseline"/>
                      <w:lang w:val="en-US" w:eastAsia="zh-CN"/>
                    </w:rPr>
                    <w:t>中小型</w:t>
                  </w:r>
                </w:p>
              </w:tc>
            </w:tr>
            <w:tr w14:paraId="5F1B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8" w:type="dxa"/>
                </w:tcPr>
                <w:p w14:paraId="376630FF">
                  <w:pPr>
                    <w:pStyle w:val="42"/>
                    <w:rPr>
                      <w:rFonts w:hint="default"/>
                      <w:vertAlign w:val="baseline"/>
                      <w:lang w:val="en-US" w:eastAsia="zh-CN"/>
                    </w:rPr>
                  </w:pPr>
                  <w:r>
                    <w:rPr>
                      <w:rFonts w:hint="eastAsia"/>
                      <w:vertAlign w:val="baseline"/>
                      <w:lang w:val="en-US" w:eastAsia="zh-CN"/>
                    </w:rPr>
                    <w:t>最高运行排放浓度mg/m³</w:t>
                  </w:r>
                </w:p>
              </w:tc>
              <w:tc>
                <w:tcPr>
                  <w:tcW w:w="4349" w:type="dxa"/>
                </w:tcPr>
                <w:p w14:paraId="1491BA3A">
                  <w:pPr>
                    <w:pStyle w:val="42"/>
                    <w:rPr>
                      <w:rFonts w:hint="default"/>
                      <w:vertAlign w:val="baseline"/>
                      <w:lang w:val="en-US" w:eastAsia="zh-CN"/>
                    </w:rPr>
                  </w:pPr>
                  <w:r>
                    <w:rPr>
                      <w:rFonts w:hint="eastAsia"/>
                      <w:vertAlign w:val="baseline"/>
                      <w:lang w:val="en-US" w:eastAsia="zh-CN"/>
                    </w:rPr>
                    <w:t>2.0</w:t>
                  </w:r>
                </w:p>
              </w:tc>
            </w:tr>
            <w:tr w14:paraId="5BD4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8" w:type="dxa"/>
                </w:tcPr>
                <w:p w14:paraId="5A43C0F9">
                  <w:pPr>
                    <w:pStyle w:val="42"/>
                    <w:rPr>
                      <w:rFonts w:hint="default"/>
                      <w:vertAlign w:val="baseline"/>
                      <w:lang w:val="en-US" w:eastAsia="zh-CN"/>
                    </w:rPr>
                  </w:pPr>
                  <w:r>
                    <w:rPr>
                      <w:rFonts w:hint="eastAsia"/>
                      <w:vertAlign w:val="baseline"/>
                      <w:lang w:val="en-US" w:eastAsia="zh-CN"/>
                    </w:rPr>
                    <w:t>净化设施最低去除效率（%）</w:t>
                  </w:r>
                </w:p>
              </w:tc>
              <w:tc>
                <w:tcPr>
                  <w:tcW w:w="4349" w:type="dxa"/>
                </w:tcPr>
                <w:p w14:paraId="14F812C7">
                  <w:pPr>
                    <w:pStyle w:val="42"/>
                    <w:rPr>
                      <w:rFonts w:hint="default"/>
                      <w:vertAlign w:val="baseline"/>
                      <w:lang w:val="en-US" w:eastAsia="zh-CN"/>
                    </w:rPr>
                  </w:pPr>
                  <w:r>
                    <w:rPr>
                      <w:rFonts w:hint="eastAsia"/>
                      <w:vertAlign w:val="baseline"/>
                      <w:lang w:val="en-US" w:eastAsia="zh-CN"/>
                    </w:rPr>
                    <w:t>60</w:t>
                  </w:r>
                </w:p>
              </w:tc>
            </w:tr>
          </w:tbl>
          <w:p w14:paraId="70F69821">
            <w:pPr>
              <w:bidi w:val="0"/>
              <w:rPr>
                <w:b/>
                <w:bCs/>
              </w:rPr>
            </w:pPr>
            <w:r>
              <w:rPr>
                <w:rFonts w:hint="eastAsia"/>
                <w:b/>
                <w:bCs/>
              </w:rPr>
              <w:t>2、水污染物排放标准</w:t>
            </w:r>
          </w:p>
          <w:p w14:paraId="30EF1FC6">
            <w:pPr>
              <w:bidi w:val="0"/>
              <w:rPr>
                <w:rFonts w:hint="eastAsia" w:cs="Times New Roman"/>
                <w:color w:val="auto"/>
                <w:lang w:val="en-US" w:eastAsia="zh-CN"/>
              </w:rPr>
            </w:pPr>
            <w:r>
              <w:rPr>
                <w:rFonts w:hint="eastAsia"/>
                <w:color w:val="auto"/>
                <w:highlight w:val="none"/>
                <w:lang w:val="en-US" w:eastAsia="zh-CN"/>
              </w:rPr>
              <w:t>本项目拟采取雨污分流，</w:t>
            </w:r>
            <w:r>
              <w:rPr>
                <w:rFonts w:hint="eastAsia"/>
                <w:lang w:val="en-US" w:eastAsia="zh-CN"/>
              </w:rPr>
              <w:t>门诊用水、病床用水、职工用水与经隔油池处理的食堂废水一同进入化粪池处理后进入污水处理站（</w:t>
            </w:r>
            <w:r>
              <w:rPr>
                <w:rFonts w:hint="eastAsia"/>
                <w:highlight w:val="none"/>
                <w:lang w:val="en-US" w:eastAsia="zh-CN"/>
              </w:rPr>
              <w:t>“</w:t>
            </w:r>
            <w:r>
              <w:rPr>
                <w:rFonts w:hint="eastAsia"/>
                <w:lang w:val="en-US" w:eastAsia="zh-CN"/>
              </w:rPr>
              <w:t>格栅十调节+水解酸化+缺氧+生物接触氧化十沉淀十消毒”），经污水处理站</w:t>
            </w:r>
            <w:r>
              <w:rPr>
                <w:rFonts w:hint="default" w:ascii="Times New Roman" w:hAnsi="Times New Roman" w:cs="Times New Roman"/>
                <w:color w:val="auto"/>
              </w:rPr>
              <w:t>预处理后排入市政污水管网，纳入山南新区污水处理厂集中处理</w:t>
            </w:r>
            <w:r>
              <w:rPr>
                <w:rFonts w:hint="eastAsia" w:cs="Times New Roman"/>
                <w:color w:val="auto"/>
                <w:lang w:val="en-US" w:eastAsia="zh-CN"/>
              </w:rPr>
              <w:t>后排入高塘湖。</w:t>
            </w:r>
          </w:p>
          <w:p w14:paraId="3D6F5F98">
            <w:pPr>
              <w:bidi w:val="0"/>
              <w:rPr>
                <w:rFonts w:hint="eastAsia" w:cs="Times New Roman"/>
                <w:color w:val="auto"/>
                <w:lang w:val="en-US" w:eastAsia="zh-CN"/>
              </w:rPr>
            </w:pPr>
            <w:r>
              <w:rPr>
                <w:rFonts w:hint="eastAsia" w:cs="Times New Roman"/>
                <w:color w:val="auto"/>
                <w:lang w:val="en-US" w:eastAsia="zh-CN"/>
              </w:rPr>
              <w:t>根据《淮南高新技术产业开发区环境影响区域评估报告》中关于废水排放标准的要求“入区企业有行业标准的执行行业排放标准和污水处理厂接管要求，无行业标准的执行《污水排入城镇下水道水质标准》(GB/T31962-2015)B 级标准要求。</w:t>
            </w:r>
          </w:p>
          <w:p w14:paraId="40E3A4B2">
            <w:pPr>
              <w:bidi w:val="0"/>
              <w:rPr>
                <w:rFonts w:hint="eastAsia" w:cs="Times New Roman"/>
                <w:color w:val="auto"/>
                <w:lang w:val="en-US" w:eastAsia="zh-CN"/>
              </w:rPr>
            </w:pPr>
            <w:r>
              <w:rPr>
                <w:rFonts w:hint="eastAsia" w:cs="Times New Roman"/>
                <w:color w:val="auto"/>
                <w:lang w:val="en-US" w:eastAsia="zh-CN"/>
              </w:rPr>
              <w:t>本项目废水排放执行《医疗机构水污染物排放标准》(GB 18466-2005)表2中“预处理标准”和《污水排入城镇下水道水质标准》(GB/T31962-2015)B 级标准要求，经山南新区污水处理厂处理达到《城镇污水处理厂污染物排放标准》GB18918-2002)一级A标准后，尾水排入高塘湖。具体标准限值详见下表。</w:t>
            </w:r>
          </w:p>
          <w:p w14:paraId="438B23B1">
            <w:pPr>
              <w:pStyle w:val="41"/>
              <w:bidi w:val="0"/>
              <w:rPr>
                <w:rFonts w:hint="default"/>
                <w:lang w:val="en-US" w:eastAsia="zh-CN"/>
              </w:rPr>
            </w:pPr>
            <w:r>
              <w:rPr>
                <w:rFonts w:hint="eastAsia"/>
                <w:lang w:val="en-US" w:eastAsia="zh-CN"/>
              </w:rPr>
              <w:t>表3-8  废水污染物排放标准  mg/L</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717"/>
              <w:gridCol w:w="755"/>
              <w:gridCol w:w="537"/>
              <w:gridCol w:w="688"/>
              <w:gridCol w:w="856"/>
              <w:gridCol w:w="789"/>
              <w:gridCol w:w="688"/>
              <w:gridCol w:w="2398"/>
            </w:tblGrid>
            <w:tr w14:paraId="19D1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14:paraId="1C5323BF">
                  <w:pPr>
                    <w:pStyle w:val="32"/>
                    <w:bidi w:val="0"/>
                    <w:jc w:val="center"/>
                    <w:rPr>
                      <w:rFonts w:hint="default"/>
                      <w:b/>
                      <w:bCs/>
                      <w:lang w:val="en-US" w:eastAsia="zh-CN"/>
                    </w:rPr>
                  </w:pPr>
                  <w:r>
                    <w:rPr>
                      <w:rFonts w:hint="eastAsia"/>
                      <w:b/>
                      <w:bCs/>
                      <w:lang w:val="en-US" w:eastAsia="zh-CN"/>
                    </w:rPr>
                    <w:t>pH（无量纲）</w:t>
                  </w:r>
                </w:p>
              </w:tc>
              <w:tc>
                <w:tcPr>
                  <w:tcW w:w="429" w:type="pct"/>
                  <w:vAlign w:val="center"/>
                </w:tcPr>
                <w:p w14:paraId="7AFBE758">
                  <w:pPr>
                    <w:pStyle w:val="32"/>
                    <w:bidi w:val="0"/>
                    <w:jc w:val="center"/>
                    <w:rPr>
                      <w:rFonts w:hint="default"/>
                      <w:b/>
                      <w:bCs/>
                      <w:lang w:val="en-US" w:eastAsia="zh-CN"/>
                    </w:rPr>
                  </w:pPr>
                  <w:r>
                    <w:rPr>
                      <w:rFonts w:hint="eastAsia"/>
                      <w:b/>
                      <w:bCs/>
                      <w:lang w:val="en-US" w:eastAsia="zh-CN"/>
                    </w:rPr>
                    <w:t>COD</w:t>
                  </w:r>
                </w:p>
              </w:tc>
              <w:tc>
                <w:tcPr>
                  <w:tcW w:w="451" w:type="pct"/>
                  <w:vAlign w:val="center"/>
                </w:tcPr>
                <w:p w14:paraId="221AD39F">
                  <w:pPr>
                    <w:pStyle w:val="32"/>
                    <w:bidi w:val="0"/>
                    <w:jc w:val="center"/>
                    <w:rPr>
                      <w:rFonts w:hint="default"/>
                      <w:b/>
                      <w:bCs/>
                      <w:lang w:val="en-US" w:eastAsia="zh-CN"/>
                    </w:rPr>
                  </w:pPr>
                  <w:r>
                    <w:rPr>
                      <w:rFonts w:hint="eastAsia"/>
                      <w:b/>
                      <w:bCs/>
                      <w:lang w:val="en-US" w:eastAsia="zh-CN"/>
                    </w:rPr>
                    <w:t>BOD</w:t>
                  </w:r>
                  <w:r>
                    <w:rPr>
                      <w:rFonts w:hint="eastAsia"/>
                      <w:b/>
                      <w:bCs/>
                      <w:vertAlign w:val="subscript"/>
                      <w:lang w:val="en-US" w:eastAsia="zh-CN"/>
                    </w:rPr>
                    <w:t>5</w:t>
                  </w:r>
                </w:p>
              </w:tc>
              <w:tc>
                <w:tcPr>
                  <w:tcW w:w="321" w:type="pct"/>
                  <w:vAlign w:val="center"/>
                </w:tcPr>
                <w:p w14:paraId="6824A575">
                  <w:pPr>
                    <w:pStyle w:val="32"/>
                    <w:bidi w:val="0"/>
                    <w:jc w:val="center"/>
                    <w:rPr>
                      <w:rFonts w:hint="default"/>
                      <w:b/>
                      <w:bCs/>
                      <w:lang w:val="en-US" w:eastAsia="zh-CN"/>
                    </w:rPr>
                  </w:pPr>
                  <w:r>
                    <w:rPr>
                      <w:rFonts w:hint="eastAsia"/>
                      <w:b/>
                      <w:bCs/>
                      <w:lang w:val="en-US" w:eastAsia="zh-CN"/>
                    </w:rPr>
                    <w:t>SS</w:t>
                  </w:r>
                </w:p>
              </w:tc>
              <w:tc>
                <w:tcPr>
                  <w:tcW w:w="412" w:type="pct"/>
                  <w:vAlign w:val="center"/>
                </w:tcPr>
                <w:p w14:paraId="2A4D71C6">
                  <w:pPr>
                    <w:pStyle w:val="32"/>
                    <w:bidi w:val="0"/>
                    <w:jc w:val="center"/>
                    <w:rPr>
                      <w:rFonts w:hint="default"/>
                      <w:b/>
                      <w:bCs/>
                      <w:lang w:val="en-US" w:eastAsia="zh-CN"/>
                    </w:rPr>
                  </w:pPr>
                  <w:r>
                    <w:rPr>
                      <w:rFonts w:hint="eastAsia"/>
                      <w:b/>
                      <w:bCs/>
                      <w:lang w:val="en-US" w:eastAsia="zh-CN"/>
                    </w:rPr>
                    <w:t>氨氮</w:t>
                  </w:r>
                </w:p>
              </w:tc>
              <w:tc>
                <w:tcPr>
                  <w:tcW w:w="512" w:type="pct"/>
                  <w:vAlign w:val="center"/>
                </w:tcPr>
                <w:p w14:paraId="67D26387">
                  <w:pPr>
                    <w:pStyle w:val="32"/>
                    <w:bidi w:val="0"/>
                    <w:jc w:val="center"/>
                    <w:rPr>
                      <w:rFonts w:hint="default"/>
                      <w:b/>
                      <w:bCs/>
                      <w:lang w:val="en-US" w:eastAsia="zh-CN"/>
                    </w:rPr>
                  </w:pPr>
                  <w:r>
                    <w:rPr>
                      <w:rFonts w:hint="eastAsia"/>
                      <w:b/>
                      <w:bCs/>
                      <w:lang w:val="en-US" w:eastAsia="zh-CN"/>
                    </w:rPr>
                    <w:t>粪大肠菌群</w:t>
                  </w:r>
                </w:p>
              </w:tc>
              <w:tc>
                <w:tcPr>
                  <w:tcW w:w="472" w:type="pct"/>
                  <w:vAlign w:val="center"/>
                </w:tcPr>
                <w:p w14:paraId="0271AD5C">
                  <w:pPr>
                    <w:pStyle w:val="32"/>
                    <w:bidi w:val="0"/>
                    <w:jc w:val="center"/>
                    <w:rPr>
                      <w:rFonts w:hint="default"/>
                      <w:b/>
                      <w:bCs/>
                      <w:lang w:val="en-US" w:eastAsia="zh-CN"/>
                    </w:rPr>
                  </w:pPr>
                  <w:r>
                    <w:rPr>
                      <w:rFonts w:hint="eastAsia"/>
                      <w:b/>
                      <w:bCs/>
                      <w:lang w:val="en-US" w:eastAsia="zh-CN"/>
                    </w:rPr>
                    <w:t>动植物油</w:t>
                  </w:r>
                </w:p>
              </w:tc>
              <w:tc>
                <w:tcPr>
                  <w:tcW w:w="412" w:type="pct"/>
                  <w:vAlign w:val="center"/>
                </w:tcPr>
                <w:p w14:paraId="58A08B54">
                  <w:pPr>
                    <w:pStyle w:val="32"/>
                    <w:bidi w:val="0"/>
                    <w:jc w:val="center"/>
                    <w:rPr>
                      <w:rFonts w:hint="default"/>
                      <w:b/>
                      <w:bCs/>
                      <w:lang w:val="en-US" w:eastAsia="zh-CN"/>
                    </w:rPr>
                  </w:pPr>
                  <w:r>
                    <w:rPr>
                      <w:rFonts w:hint="eastAsia"/>
                      <w:b/>
                      <w:bCs/>
                      <w:lang w:val="en-US" w:eastAsia="zh-CN"/>
                    </w:rPr>
                    <w:t>总余氯*</w:t>
                  </w:r>
                </w:p>
              </w:tc>
              <w:tc>
                <w:tcPr>
                  <w:tcW w:w="1436" w:type="pct"/>
                  <w:vAlign w:val="center"/>
                </w:tcPr>
                <w:p w14:paraId="443ACDDB">
                  <w:pPr>
                    <w:pStyle w:val="32"/>
                    <w:bidi w:val="0"/>
                    <w:jc w:val="center"/>
                    <w:rPr>
                      <w:rFonts w:hint="default"/>
                      <w:b/>
                      <w:bCs/>
                      <w:lang w:val="en-US" w:eastAsia="zh-CN"/>
                    </w:rPr>
                  </w:pPr>
                  <w:r>
                    <w:rPr>
                      <w:rFonts w:hint="eastAsia"/>
                      <w:b/>
                      <w:bCs/>
                      <w:lang w:val="en-US" w:eastAsia="zh-CN"/>
                    </w:rPr>
                    <w:t>标准来源</w:t>
                  </w:r>
                </w:p>
              </w:tc>
            </w:tr>
            <w:tr w14:paraId="1E45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14:paraId="486F1EB6">
                  <w:pPr>
                    <w:pStyle w:val="32"/>
                    <w:bidi w:val="0"/>
                    <w:jc w:val="center"/>
                    <w:rPr>
                      <w:rFonts w:hint="default"/>
                      <w:lang w:val="en-US" w:eastAsia="zh-CN"/>
                    </w:rPr>
                  </w:pPr>
                  <w:r>
                    <w:rPr>
                      <w:rFonts w:hint="eastAsia"/>
                      <w:lang w:val="en-US" w:eastAsia="zh-CN"/>
                    </w:rPr>
                    <w:t>6~9</w:t>
                  </w:r>
                </w:p>
              </w:tc>
              <w:tc>
                <w:tcPr>
                  <w:tcW w:w="429" w:type="pct"/>
                  <w:vAlign w:val="center"/>
                </w:tcPr>
                <w:p w14:paraId="429CFBE8">
                  <w:pPr>
                    <w:pStyle w:val="32"/>
                    <w:bidi w:val="0"/>
                    <w:jc w:val="center"/>
                    <w:rPr>
                      <w:rFonts w:hint="default"/>
                      <w:lang w:val="en-US" w:eastAsia="zh-CN"/>
                    </w:rPr>
                  </w:pPr>
                  <w:r>
                    <w:rPr>
                      <w:rFonts w:hint="eastAsia"/>
                      <w:lang w:val="en-US" w:eastAsia="zh-CN"/>
                    </w:rPr>
                    <w:t>250</w:t>
                  </w:r>
                </w:p>
              </w:tc>
              <w:tc>
                <w:tcPr>
                  <w:tcW w:w="451" w:type="pct"/>
                  <w:vAlign w:val="center"/>
                </w:tcPr>
                <w:p w14:paraId="0E1AC71F">
                  <w:pPr>
                    <w:pStyle w:val="32"/>
                    <w:bidi w:val="0"/>
                    <w:jc w:val="center"/>
                    <w:rPr>
                      <w:rFonts w:hint="default"/>
                      <w:lang w:val="en-US" w:eastAsia="zh-CN"/>
                    </w:rPr>
                  </w:pPr>
                  <w:r>
                    <w:rPr>
                      <w:rFonts w:hint="eastAsia"/>
                      <w:lang w:val="en-US" w:eastAsia="zh-CN"/>
                    </w:rPr>
                    <w:t>100</w:t>
                  </w:r>
                </w:p>
              </w:tc>
              <w:tc>
                <w:tcPr>
                  <w:tcW w:w="321" w:type="pct"/>
                  <w:vAlign w:val="center"/>
                </w:tcPr>
                <w:p w14:paraId="286720AA">
                  <w:pPr>
                    <w:pStyle w:val="32"/>
                    <w:bidi w:val="0"/>
                    <w:jc w:val="center"/>
                    <w:rPr>
                      <w:rFonts w:hint="default"/>
                      <w:lang w:val="en-US" w:eastAsia="zh-CN"/>
                    </w:rPr>
                  </w:pPr>
                  <w:r>
                    <w:rPr>
                      <w:rFonts w:hint="eastAsia"/>
                      <w:lang w:val="en-US" w:eastAsia="zh-CN"/>
                    </w:rPr>
                    <w:t>60</w:t>
                  </w:r>
                </w:p>
              </w:tc>
              <w:tc>
                <w:tcPr>
                  <w:tcW w:w="412" w:type="pct"/>
                  <w:vAlign w:val="center"/>
                </w:tcPr>
                <w:p w14:paraId="7441DC66">
                  <w:pPr>
                    <w:pStyle w:val="32"/>
                    <w:bidi w:val="0"/>
                    <w:jc w:val="center"/>
                    <w:rPr>
                      <w:rFonts w:hint="default"/>
                      <w:lang w:val="en-US" w:eastAsia="zh-CN"/>
                    </w:rPr>
                  </w:pPr>
                  <w:r>
                    <w:rPr>
                      <w:rFonts w:hint="eastAsia"/>
                      <w:lang w:val="en-US" w:eastAsia="zh-CN"/>
                    </w:rPr>
                    <w:t>/</w:t>
                  </w:r>
                </w:p>
              </w:tc>
              <w:tc>
                <w:tcPr>
                  <w:tcW w:w="512" w:type="pct"/>
                  <w:vAlign w:val="center"/>
                </w:tcPr>
                <w:p w14:paraId="101C6C57">
                  <w:pPr>
                    <w:pStyle w:val="32"/>
                    <w:bidi w:val="0"/>
                    <w:jc w:val="center"/>
                    <w:rPr>
                      <w:rFonts w:hint="default"/>
                      <w:lang w:val="en-US" w:eastAsia="zh-CN"/>
                    </w:rPr>
                  </w:pPr>
                  <w:r>
                    <w:rPr>
                      <w:rFonts w:hint="eastAsia"/>
                      <w:lang w:val="en-US" w:eastAsia="zh-CN"/>
                    </w:rPr>
                    <w:t>5000</w:t>
                  </w:r>
                </w:p>
              </w:tc>
              <w:tc>
                <w:tcPr>
                  <w:tcW w:w="472" w:type="pct"/>
                  <w:vAlign w:val="center"/>
                </w:tcPr>
                <w:p w14:paraId="6E3EAFBE">
                  <w:pPr>
                    <w:pStyle w:val="32"/>
                    <w:bidi w:val="0"/>
                    <w:jc w:val="center"/>
                    <w:rPr>
                      <w:rFonts w:hint="default"/>
                      <w:lang w:val="en-US" w:eastAsia="zh-CN"/>
                    </w:rPr>
                  </w:pPr>
                  <w:r>
                    <w:rPr>
                      <w:rFonts w:hint="eastAsia"/>
                      <w:lang w:val="en-US" w:eastAsia="zh-CN"/>
                    </w:rPr>
                    <w:t>20</w:t>
                  </w:r>
                </w:p>
              </w:tc>
              <w:tc>
                <w:tcPr>
                  <w:tcW w:w="412" w:type="pct"/>
                  <w:vAlign w:val="center"/>
                </w:tcPr>
                <w:p w14:paraId="2FFEA6BB">
                  <w:pPr>
                    <w:pStyle w:val="32"/>
                    <w:bidi w:val="0"/>
                    <w:jc w:val="center"/>
                    <w:rPr>
                      <w:rFonts w:hint="default"/>
                      <w:lang w:val="en-US" w:eastAsia="zh-CN"/>
                    </w:rPr>
                  </w:pPr>
                  <w:r>
                    <w:rPr>
                      <w:rFonts w:hint="eastAsia"/>
                      <w:lang w:val="en-US" w:eastAsia="zh-CN"/>
                    </w:rPr>
                    <w:t>/</w:t>
                  </w:r>
                </w:p>
              </w:tc>
              <w:tc>
                <w:tcPr>
                  <w:tcW w:w="1436" w:type="pct"/>
                  <w:vAlign w:val="center"/>
                </w:tcPr>
                <w:p w14:paraId="05AD6802">
                  <w:pPr>
                    <w:pStyle w:val="32"/>
                    <w:keepNext w:val="0"/>
                    <w:keepLines w:val="0"/>
                    <w:pageBreakBefore w:val="0"/>
                    <w:widowControl w:val="0"/>
                    <w:kinsoku/>
                    <w:wordWrap w:val="0"/>
                    <w:overflowPunct/>
                    <w:topLinePunct w:val="0"/>
                    <w:autoSpaceDE/>
                    <w:autoSpaceDN/>
                    <w:bidi w:val="0"/>
                    <w:adjustRightInd w:val="0"/>
                    <w:snapToGrid w:val="0"/>
                    <w:jc w:val="center"/>
                    <w:textAlignment w:val="baseline"/>
                    <w:rPr>
                      <w:rFonts w:hint="default"/>
                      <w:lang w:val="en-US" w:eastAsia="zh-CN"/>
                    </w:rPr>
                  </w:pPr>
                  <w:r>
                    <w:rPr>
                      <w:rFonts w:hint="eastAsia" w:cs="Times New Roman"/>
                      <w:color w:val="auto"/>
                      <w:lang w:val="en-US" w:eastAsia="zh-CN"/>
                    </w:rPr>
                    <w:t>《医疗机构水污染物排放标准》(GB 18466-2005)表2中“预处理标准”</w:t>
                  </w:r>
                </w:p>
              </w:tc>
            </w:tr>
            <w:tr w14:paraId="6363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14:paraId="7CA93009">
                  <w:pPr>
                    <w:pStyle w:val="32"/>
                    <w:bidi w:val="0"/>
                    <w:jc w:val="center"/>
                    <w:rPr>
                      <w:rFonts w:hint="default"/>
                      <w:lang w:val="en-US" w:eastAsia="zh-CN"/>
                    </w:rPr>
                  </w:pPr>
                  <w:r>
                    <w:rPr>
                      <w:rFonts w:hint="eastAsia"/>
                      <w:lang w:val="en-US" w:eastAsia="zh-CN"/>
                    </w:rPr>
                    <w:t>6.5~9.5</w:t>
                  </w:r>
                </w:p>
              </w:tc>
              <w:tc>
                <w:tcPr>
                  <w:tcW w:w="429" w:type="pct"/>
                  <w:vAlign w:val="center"/>
                </w:tcPr>
                <w:p w14:paraId="4E59149E">
                  <w:pPr>
                    <w:pStyle w:val="32"/>
                    <w:bidi w:val="0"/>
                    <w:jc w:val="center"/>
                    <w:rPr>
                      <w:rFonts w:hint="default"/>
                      <w:lang w:val="en-US" w:eastAsia="zh-CN"/>
                    </w:rPr>
                  </w:pPr>
                  <w:r>
                    <w:rPr>
                      <w:rFonts w:hint="eastAsia"/>
                      <w:lang w:val="en-US" w:eastAsia="zh-CN"/>
                    </w:rPr>
                    <w:t>500</w:t>
                  </w:r>
                </w:p>
              </w:tc>
              <w:tc>
                <w:tcPr>
                  <w:tcW w:w="451" w:type="pct"/>
                  <w:vAlign w:val="center"/>
                </w:tcPr>
                <w:p w14:paraId="57CE454D">
                  <w:pPr>
                    <w:pStyle w:val="32"/>
                    <w:bidi w:val="0"/>
                    <w:jc w:val="center"/>
                    <w:rPr>
                      <w:rFonts w:hint="default"/>
                      <w:lang w:val="en-US" w:eastAsia="zh-CN"/>
                    </w:rPr>
                  </w:pPr>
                  <w:r>
                    <w:rPr>
                      <w:rFonts w:hint="eastAsia"/>
                      <w:lang w:val="en-US" w:eastAsia="zh-CN"/>
                    </w:rPr>
                    <w:t>350</w:t>
                  </w:r>
                </w:p>
              </w:tc>
              <w:tc>
                <w:tcPr>
                  <w:tcW w:w="321" w:type="pct"/>
                  <w:vAlign w:val="center"/>
                </w:tcPr>
                <w:p w14:paraId="617D033C">
                  <w:pPr>
                    <w:pStyle w:val="32"/>
                    <w:bidi w:val="0"/>
                    <w:jc w:val="center"/>
                    <w:rPr>
                      <w:rFonts w:hint="default"/>
                      <w:lang w:val="en-US" w:eastAsia="zh-CN"/>
                    </w:rPr>
                  </w:pPr>
                  <w:r>
                    <w:rPr>
                      <w:rFonts w:hint="eastAsia"/>
                      <w:lang w:val="en-US" w:eastAsia="zh-CN"/>
                    </w:rPr>
                    <w:t>400</w:t>
                  </w:r>
                </w:p>
              </w:tc>
              <w:tc>
                <w:tcPr>
                  <w:tcW w:w="412" w:type="pct"/>
                  <w:vAlign w:val="center"/>
                </w:tcPr>
                <w:p w14:paraId="284E8161">
                  <w:pPr>
                    <w:pStyle w:val="32"/>
                    <w:bidi w:val="0"/>
                    <w:jc w:val="center"/>
                    <w:rPr>
                      <w:rFonts w:hint="default"/>
                      <w:lang w:val="en-US" w:eastAsia="zh-CN"/>
                    </w:rPr>
                  </w:pPr>
                  <w:r>
                    <w:rPr>
                      <w:rFonts w:hint="eastAsia"/>
                      <w:lang w:val="en-US" w:eastAsia="zh-CN"/>
                    </w:rPr>
                    <w:t>45</w:t>
                  </w:r>
                </w:p>
              </w:tc>
              <w:tc>
                <w:tcPr>
                  <w:tcW w:w="512" w:type="pct"/>
                  <w:vAlign w:val="center"/>
                </w:tcPr>
                <w:p w14:paraId="60C87700">
                  <w:pPr>
                    <w:pStyle w:val="32"/>
                    <w:bidi w:val="0"/>
                    <w:jc w:val="center"/>
                    <w:rPr>
                      <w:rFonts w:hint="default"/>
                      <w:lang w:val="en-US" w:eastAsia="zh-CN"/>
                    </w:rPr>
                  </w:pPr>
                  <w:r>
                    <w:rPr>
                      <w:rFonts w:hint="eastAsia"/>
                      <w:lang w:val="en-US" w:eastAsia="zh-CN"/>
                    </w:rPr>
                    <w:t>/</w:t>
                  </w:r>
                </w:p>
              </w:tc>
              <w:tc>
                <w:tcPr>
                  <w:tcW w:w="472" w:type="pct"/>
                  <w:vAlign w:val="center"/>
                </w:tcPr>
                <w:p w14:paraId="62BB8FC1">
                  <w:pPr>
                    <w:pStyle w:val="32"/>
                    <w:bidi w:val="0"/>
                    <w:jc w:val="center"/>
                    <w:rPr>
                      <w:rFonts w:hint="default"/>
                      <w:lang w:val="en-US" w:eastAsia="zh-CN"/>
                    </w:rPr>
                  </w:pPr>
                  <w:r>
                    <w:rPr>
                      <w:rFonts w:hint="eastAsia"/>
                      <w:lang w:val="en-US" w:eastAsia="zh-CN"/>
                    </w:rPr>
                    <w:t>100</w:t>
                  </w:r>
                </w:p>
              </w:tc>
              <w:tc>
                <w:tcPr>
                  <w:tcW w:w="412" w:type="pct"/>
                  <w:vAlign w:val="center"/>
                </w:tcPr>
                <w:p w14:paraId="506D0D7A">
                  <w:pPr>
                    <w:pStyle w:val="32"/>
                    <w:bidi w:val="0"/>
                    <w:jc w:val="center"/>
                    <w:rPr>
                      <w:rFonts w:hint="default"/>
                      <w:lang w:val="en-US" w:eastAsia="zh-CN"/>
                    </w:rPr>
                  </w:pPr>
                  <w:r>
                    <w:rPr>
                      <w:rFonts w:hint="eastAsia"/>
                      <w:lang w:val="en-US" w:eastAsia="zh-CN"/>
                    </w:rPr>
                    <w:t>/</w:t>
                  </w:r>
                </w:p>
              </w:tc>
              <w:tc>
                <w:tcPr>
                  <w:tcW w:w="1436" w:type="pct"/>
                  <w:vAlign w:val="center"/>
                </w:tcPr>
                <w:p w14:paraId="2605797C">
                  <w:pPr>
                    <w:pStyle w:val="32"/>
                    <w:keepNext w:val="0"/>
                    <w:keepLines w:val="0"/>
                    <w:pageBreakBefore w:val="0"/>
                    <w:widowControl w:val="0"/>
                    <w:kinsoku/>
                    <w:wordWrap w:val="0"/>
                    <w:overflowPunct/>
                    <w:topLinePunct w:val="0"/>
                    <w:autoSpaceDE/>
                    <w:autoSpaceDN/>
                    <w:bidi w:val="0"/>
                    <w:adjustRightInd w:val="0"/>
                    <w:snapToGrid w:val="0"/>
                    <w:jc w:val="center"/>
                    <w:textAlignment w:val="baseline"/>
                    <w:rPr>
                      <w:rFonts w:hint="default"/>
                      <w:lang w:val="en-US" w:eastAsia="zh-CN"/>
                    </w:rPr>
                  </w:pPr>
                  <w:r>
                    <w:rPr>
                      <w:rFonts w:hint="eastAsia" w:cs="Times New Roman"/>
                      <w:color w:val="auto"/>
                      <w:lang w:val="en-US" w:eastAsia="zh-CN"/>
                    </w:rPr>
                    <w:t>《污水排入城镇下水道水质标准》(GB/T31962-2015)B 级标准</w:t>
                  </w:r>
                </w:p>
              </w:tc>
            </w:tr>
            <w:tr w14:paraId="3D0F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shd w:val="clear" w:color="auto" w:fill="auto"/>
                  <w:vAlign w:val="center"/>
                </w:tcPr>
                <w:p w14:paraId="181E66F1">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6~9</w:t>
                  </w:r>
                </w:p>
              </w:tc>
              <w:tc>
                <w:tcPr>
                  <w:tcW w:w="429" w:type="pct"/>
                  <w:shd w:val="clear" w:color="auto" w:fill="auto"/>
                  <w:vAlign w:val="center"/>
                </w:tcPr>
                <w:p w14:paraId="0E1F5737">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250</w:t>
                  </w:r>
                </w:p>
              </w:tc>
              <w:tc>
                <w:tcPr>
                  <w:tcW w:w="451" w:type="pct"/>
                  <w:shd w:val="clear" w:color="auto" w:fill="auto"/>
                  <w:vAlign w:val="center"/>
                </w:tcPr>
                <w:p w14:paraId="1612DDFB">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100</w:t>
                  </w:r>
                </w:p>
              </w:tc>
              <w:tc>
                <w:tcPr>
                  <w:tcW w:w="321" w:type="pct"/>
                  <w:shd w:val="clear" w:color="auto" w:fill="auto"/>
                  <w:vAlign w:val="center"/>
                </w:tcPr>
                <w:p w14:paraId="71CCA398">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60</w:t>
                  </w:r>
                </w:p>
              </w:tc>
              <w:tc>
                <w:tcPr>
                  <w:tcW w:w="412" w:type="pct"/>
                  <w:vAlign w:val="center"/>
                </w:tcPr>
                <w:p w14:paraId="2B3170C4">
                  <w:pPr>
                    <w:pStyle w:val="32"/>
                    <w:bidi w:val="0"/>
                    <w:jc w:val="center"/>
                    <w:rPr>
                      <w:rFonts w:hint="default"/>
                      <w:lang w:val="en-US" w:eastAsia="zh-CN"/>
                    </w:rPr>
                  </w:pPr>
                  <w:r>
                    <w:rPr>
                      <w:rFonts w:hint="eastAsia"/>
                      <w:lang w:val="en-US" w:eastAsia="zh-CN"/>
                    </w:rPr>
                    <w:t>45</w:t>
                  </w:r>
                </w:p>
              </w:tc>
              <w:tc>
                <w:tcPr>
                  <w:tcW w:w="512" w:type="pct"/>
                  <w:vAlign w:val="center"/>
                </w:tcPr>
                <w:p w14:paraId="256D3CF5">
                  <w:pPr>
                    <w:pStyle w:val="32"/>
                    <w:bidi w:val="0"/>
                    <w:jc w:val="center"/>
                    <w:rPr>
                      <w:rFonts w:hint="default"/>
                      <w:lang w:val="en-US" w:eastAsia="zh-CN"/>
                    </w:rPr>
                  </w:pPr>
                  <w:r>
                    <w:rPr>
                      <w:rFonts w:hint="eastAsia"/>
                      <w:lang w:val="en-US" w:eastAsia="zh-CN"/>
                    </w:rPr>
                    <w:t>5000</w:t>
                  </w:r>
                </w:p>
              </w:tc>
              <w:tc>
                <w:tcPr>
                  <w:tcW w:w="472" w:type="pct"/>
                  <w:vAlign w:val="center"/>
                </w:tcPr>
                <w:p w14:paraId="309F060E">
                  <w:pPr>
                    <w:pStyle w:val="32"/>
                    <w:bidi w:val="0"/>
                    <w:jc w:val="center"/>
                    <w:rPr>
                      <w:rFonts w:hint="default"/>
                      <w:lang w:val="en-US" w:eastAsia="zh-CN"/>
                    </w:rPr>
                  </w:pPr>
                  <w:r>
                    <w:rPr>
                      <w:rFonts w:hint="eastAsia"/>
                      <w:lang w:val="en-US" w:eastAsia="zh-CN"/>
                    </w:rPr>
                    <w:t>20</w:t>
                  </w:r>
                </w:p>
              </w:tc>
              <w:tc>
                <w:tcPr>
                  <w:tcW w:w="412" w:type="pct"/>
                  <w:vAlign w:val="center"/>
                </w:tcPr>
                <w:p w14:paraId="506974A0">
                  <w:pPr>
                    <w:pStyle w:val="32"/>
                    <w:bidi w:val="0"/>
                    <w:jc w:val="center"/>
                    <w:rPr>
                      <w:rFonts w:hint="default"/>
                      <w:lang w:val="en-US" w:eastAsia="zh-CN"/>
                    </w:rPr>
                  </w:pPr>
                  <w:r>
                    <w:rPr>
                      <w:rFonts w:hint="eastAsia"/>
                      <w:lang w:val="en-US" w:eastAsia="zh-CN"/>
                    </w:rPr>
                    <w:t>/</w:t>
                  </w:r>
                </w:p>
              </w:tc>
              <w:tc>
                <w:tcPr>
                  <w:tcW w:w="1436" w:type="pct"/>
                  <w:vAlign w:val="center"/>
                </w:tcPr>
                <w:p w14:paraId="0E40FFDE">
                  <w:pPr>
                    <w:pStyle w:val="32"/>
                    <w:keepNext w:val="0"/>
                    <w:keepLines w:val="0"/>
                    <w:pageBreakBefore w:val="0"/>
                    <w:widowControl w:val="0"/>
                    <w:kinsoku/>
                    <w:wordWrap w:val="0"/>
                    <w:overflowPunct/>
                    <w:topLinePunct w:val="0"/>
                    <w:autoSpaceDE/>
                    <w:autoSpaceDN/>
                    <w:bidi w:val="0"/>
                    <w:adjustRightInd w:val="0"/>
                    <w:snapToGrid w:val="0"/>
                    <w:jc w:val="center"/>
                    <w:textAlignment w:val="baseline"/>
                    <w:rPr>
                      <w:rFonts w:hint="default" w:cs="Times New Roman"/>
                      <w:color w:val="auto"/>
                      <w:lang w:val="en-US" w:eastAsia="zh-CN"/>
                    </w:rPr>
                  </w:pPr>
                  <w:r>
                    <w:rPr>
                      <w:rFonts w:hint="eastAsia" w:cs="Times New Roman"/>
                      <w:color w:val="auto"/>
                      <w:lang w:val="en-US" w:eastAsia="zh-CN"/>
                    </w:rPr>
                    <w:t>本项目执行标准</w:t>
                  </w:r>
                </w:p>
              </w:tc>
            </w:tr>
            <w:tr w14:paraId="2151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shd w:val="clear" w:color="auto" w:fill="auto"/>
                  <w:vAlign w:val="center"/>
                </w:tcPr>
                <w:p w14:paraId="72DB2F7F">
                  <w:pPr>
                    <w:pStyle w:val="32"/>
                    <w:bidi w:val="0"/>
                    <w:ind w:firstLine="0" w:firstLineChars="0"/>
                    <w:jc w:val="center"/>
                    <w:rPr>
                      <w:rFonts w:hint="eastAsia"/>
                      <w:lang w:val="en-US" w:eastAsia="zh-CN"/>
                    </w:rPr>
                  </w:pPr>
                  <w:r>
                    <w:rPr>
                      <w:rFonts w:hint="eastAsia"/>
                      <w:lang w:val="en-US" w:eastAsia="zh-CN"/>
                    </w:rPr>
                    <w:t>6~9</w:t>
                  </w:r>
                </w:p>
              </w:tc>
              <w:tc>
                <w:tcPr>
                  <w:tcW w:w="429" w:type="pct"/>
                  <w:shd w:val="clear" w:color="auto" w:fill="auto"/>
                  <w:vAlign w:val="center"/>
                </w:tcPr>
                <w:p w14:paraId="3F588828">
                  <w:pPr>
                    <w:pStyle w:val="32"/>
                    <w:bidi w:val="0"/>
                    <w:ind w:firstLine="0" w:firstLineChars="0"/>
                    <w:jc w:val="center"/>
                    <w:rPr>
                      <w:rFonts w:hint="default"/>
                      <w:lang w:val="en-US" w:eastAsia="zh-CN"/>
                    </w:rPr>
                  </w:pPr>
                  <w:r>
                    <w:rPr>
                      <w:rFonts w:hint="eastAsia"/>
                      <w:lang w:val="en-US" w:eastAsia="zh-CN"/>
                    </w:rPr>
                    <w:t>50</w:t>
                  </w:r>
                </w:p>
              </w:tc>
              <w:tc>
                <w:tcPr>
                  <w:tcW w:w="451" w:type="pct"/>
                  <w:shd w:val="clear" w:color="auto" w:fill="auto"/>
                  <w:vAlign w:val="center"/>
                </w:tcPr>
                <w:p w14:paraId="1BF1E2D9">
                  <w:pPr>
                    <w:pStyle w:val="32"/>
                    <w:bidi w:val="0"/>
                    <w:ind w:firstLine="0" w:firstLineChars="0"/>
                    <w:jc w:val="center"/>
                    <w:rPr>
                      <w:rFonts w:hint="default"/>
                      <w:lang w:val="en-US" w:eastAsia="zh-CN"/>
                    </w:rPr>
                  </w:pPr>
                  <w:r>
                    <w:rPr>
                      <w:rFonts w:hint="eastAsia"/>
                      <w:lang w:val="en-US" w:eastAsia="zh-CN"/>
                    </w:rPr>
                    <w:t>10</w:t>
                  </w:r>
                </w:p>
              </w:tc>
              <w:tc>
                <w:tcPr>
                  <w:tcW w:w="321" w:type="pct"/>
                  <w:shd w:val="clear" w:color="auto" w:fill="auto"/>
                  <w:vAlign w:val="center"/>
                </w:tcPr>
                <w:p w14:paraId="040E8444">
                  <w:pPr>
                    <w:pStyle w:val="32"/>
                    <w:bidi w:val="0"/>
                    <w:ind w:firstLine="0" w:firstLineChars="0"/>
                    <w:jc w:val="center"/>
                    <w:rPr>
                      <w:rFonts w:hint="default"/>
                      <w:lang w:val="en-US" w:eastAsia="zh-CN"/>
                    </w:rPr>
                  </w:pPr>
                  <w:r>
                    <w:rPr>
                      <w:rFonts w:hint="eastAsia"/>
                      <w:lang w:val="en-US" w:eastAsia="zh-CN"/>
                    </w:rPr>
                    <w:t>10</w:t>
                  </w:r>
                </w:p>
              </w:tc>
              <w:tc>
                <w:tcPr>
                  <w:tcW w:w="412" w:type="pct"/>
                  <w:vAlign w:val="center"/>
                </w:tcPr>
                <w:p w14:paraId="5D3C81A7">
                  <w:pPr>
                    <w:pStyle w:val="32"/>
                    <w:bidi w:val="0"/>
                    <w:ind w:firstLine="0" w:firstLineChars="0"/>
                    <w:jc w:val="center"/>
                    <w:rPr>
                      <w:rFonts w:hint="default"/>
                      <w:lang w:val="en-US" w:eastAsia="zh-CN"/>
                    </w:rPr>
                  </w:pPr>
                  <w:r>
                    <w:rPr>
                      <w:rFonts w:hint="eastAsia"/>
                      <w:lang w:val="en-US" w:eastAsia="zh-CN"/>
                    </w:rPr>
                    <w:t>5（8）</w:t>
                  </w:r>
                </w:p>
              </w:tc>
              <w:tc>
                <w:tcPr>
                  <w:tcW w:w="512" w:type="pct"/>
                  <w:vAlign w:val="center"/>
                </w:tcPr>
                <w:p w14:paraId="2F0CB2D9">
                  <w:pPr>
                    <w:pStyle w:val="32"/>
                    <w:bidi w:val="0"/>
                    <w:jc w:val="center"/>
                    <w:rPr>
                      <w:rFonts w:hint="default"/>
                      <w:lang w:val="en-US" w:eastAsia="zh-CN"/>
                    </w:rPr>
                  </w:pPr>
                  <w:r>
                    <w:rPr>
                      <w:rFonts w:hint="eastAsia"/>
                      <w:lang w:val="en-US" w:eastAsia="zh-CN"/>
                    </w:rPr>
                    <w:t>1000</w:t>
                  </w:r>
                </w:p>
              </w:tc>
              <w:tc>
                <w:tcPr>
                  <w:tcW w:w="472" w:type="pct"/>
                  <w:vAlign w:val="center"/>
                </w:tcPr>
                <w:p w14:paraId="04DE5260">
                  <w:pPr>
                    <w:pStyle w:val="32"/>
                    <w:bidi w:val="0"/>
                    <w:jc w:val="center"/>
                    <w:rPr>
                      <w:rFonts w:hint="default"/>
                      <w:lang w:val="en-US" w:eastAsia="zh-CN"/>
                    </w:rPr>
                  </w:pPr>
                  <w:r>
                    <w:rPr>
                      <w:rFonts w:hint="eastAsia"/>
                      <w:lang w:val="en-US" w:eastAsia="zh-CN"/>
                    </w:rPr>
                    <w:t>1</w:t>
                  </w:r>
                </w:p>
              </w:tc>
              <w:tc>
                <w:tcPr>
                  <w:tcW w:w="412" w:type="pct"/>
                  <w:vAlign w:val="center"/>
                </w:tcPr>
                <w:p w14:paraId="12F9DB01">
                  <w:pPr>
                    <w:pStyle w:val="32"/>
                    <w:bidi w:val="0"/>
                    <w:jc w:val="center"/>
                    <w:rPr>
                      <w:rFonts w:hint="default"/>
                      <w:lang w:val="en-US" w:eastAsia="zh-CN"/>
                    </w:rPr>
                  </w:pPr>
                  <w:r>
                    <w:rPr>
                      <w:rFonts w:hint="eastAsia"/>
                      <w:lang w:val="en-US" w:eastAsia="zh-CN"/>
                    </w:rPr>
                    <w:t>/</w:t>
                  </w:r>
                </w:p>
              </w:tc>
              <w:tc>
                <w:tcPr>
                  <w:tcW w:w="1436" w:type="pct"/>
                  <w:vAlign w:val="center"/>
                </w:tcPr>
                <w:p w14:paraId="36DD6D4A">
                  <w:pPr>
                    <w:pStyle w:val="32"/>
                    <w:keepNext w:val="0"/>
                    <w:keepLines w:val="0"/>
                    <w:pageBreakBefore w:val="0"/>
                    <w:widowControl w:val="0"/>
                    <w:kinsoku/>
                    <w:wordWrap w:val="0"/>
                    <w:overflowPunct/>
                    <w:topLinePunct w:val="0"/>
                    <w:autoSpaceDE/>
                    <w:autoSpaceDN/>
                    <w:bidi w:val="0"/>
                    <w:adjustRightInd w:val="0"/>
                    <w:snapToGrid w:val="0"/>
                    <w:jc w:val="center"/>
                    <w:textAlignment w:val="baseline"/>
                    <w:rPr>
                      <w:rFonts w:hint="eastAsia" w:cs="Times New Roman"/>
                      <w:color w:val="auto"/>
                      <w:lang w:val="en-US" w:eastAsia="zh-CN"/>
                    </w:rPr>
                  </w:pPr>
                  <w:r>
                    <w:rPr>
                      <w:rFonts w:hint="eastAsia" w:cs="Times New Roman"/>
                      <w:color w:val="auto"/>
                      <w:lang w:val="en-US" w:eastAsia="zh-CN"/>
                    </w:rPr>
                    <w:t>《城镇污水处理厂污染物排放标准》GB18918-2002)一级A标准</w:t>
                  </w:r>
                </w:p>
              </w:tc>
            </w:tr>
            <w:tr w14:paraId="112D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14:paraId="6CB053B6">
                  <w:pPr>
                    <w:pStyle w:val="32"/>
                    <w:bidi w:val="0"/>
                    <w:jc w:val="both"/>
                    <w:rPr>
                      <w:rFonts w:hint="eastAsia" w:cs="Times New Roman"/>
                      <w:color w:val="auto"/>
                      <w:lang w:val="en-US" w:eastAsia="zh-CN"/>
                    </w:rPr>
                  </w:pPr>
                  <w:r>
                    <w:rPr>
                      <w:rFonts w:hint="eastAsia" w:cs="Times New Roman"/>
                      <w:color w:val="auto"/>
                      <w:lang w:val="en-US" w:eastAsia="zh-CN"/>
                    </w:rPr>
                    <w:t>*消毒接触池接触时间1h，接触池出口总余氯2~8mgL</w:t>
                  </w:r>
                </w:p>
              </w:tc>
            </w:tr>
          </w:tbl>
          <w:p w14:paraId="22999231">
            <w:pPr>
              <w:bidi w:val="0"/>
              <w:rPr>
                <w:b/>
                <w:bCs/>
              </w:rPr>
            </w:pPr>
            <w:r>
              <w:rPr>
                <w:rFonts w:hint="eastAsia"/>
                <w:b/>
                <w:bCs/>
              </w:rPr>
              <w:t>3、噪声</w:t>
            </w:r>
          </w:p>
          <w:p w14:paraId="14155D5E">
            <w:pPr>
              <w:ind w:firstLine="480"/>
              <w:rPr>
                <w:color w:val="auto"/>
              </w:rPr>
            </w:pPr>
            <w:r>
              <w:rPr>
                <w:rFonts w:hint="eastAsia"/>
                <w:color w:val="auto"/>
              </w:rPr>
              <w:t>运营期厂界噪声排放执行《工业企业厂界环境噪声排放标准》（GB12348-2008）中</w:t>
            </w:r>
            <w:r>
              <w:rPr>
                <w:rFonts w:hint="eastAsia"/>
                <w:color w:val="auto"/>
                <w:lang w:val="en-US" w:eastAsia="zh-CN"/>
              </w:rPr>
              <w:t>2</w:t>
            </w:r>
            <w:r>
              <w:rPr>
                <w:rFonts w:hint="eastAsia"/>
                <w:color w:val="auto"/>
              </w:rPr>
              <w:t>类，具体标准见下表：</w:t>
            </w:r>
          </w:p>
          <w:p w14:paraId="597FF3BE">
            <w:pPr>
              <w:pStyle w:val="27"/>
              <w:bidi w:val="0"/>
            </w:pPr>
            <w:r>
              <w:rPr>
                <w:rFonts w:hint="eastAsia"/>
              </w:rPr>
              <w:t>表3-</w:t>
            </w:r>
            <w:r>
              <w:rPr>
                <w:rFonts w:hint="eastAsia"/>
                <w:lang w:val="en-US" w:eastAsia="zh-CN"/>
              </w:rPr>
              <w:t xml:space="preserve">9  </w:t>
            </w:r>
            <w:r>
              <w:rPr>
                <w:rFonts w:hint="eastAsia"/>
              </w:rPr>
              <w:t>运营期厂界噪声排放标准</w:t>
            </w:r>
            <w:r>
              <w:rPr>
                <w:rFonts w:hint="eastAsia"/>
                <w:lang w:val="en-US" w:eastAsia="zh-CN"/>
              </w:rPr>
              <w:t xml:space="preserve">  </w:t>
            </w:r>
            <w:r>
              <w:rPr>
                <w:rFonts w:hint="eastAsia"/>
              </w:rPr>
              <w:t>单位：dB</w:t>
            </w:r>
            <w:r>
              <w:rPr>
                <w:rFonts w:hint="eastAsia"/>
                <w:lang w:val="en-US" w:eastAsia="zh-CN"/>
              </w:rPr>
              <w:t>(</w:t>
            </w:r>
            <w:r>
              <w:rPr>
                <w:rFonts w:hint="eastAsia"/>
              </w:rPr>
              <w:t>A</w:t>
            </w:r>
            <w:r>
              <w:rPr>
                <w:rFonts w:hint="eastAsia"/>
                <w:lang w:val="en-US" w:eastAsia="zh-CN"/>
              </w:rPr>
              <w:t>)</w:t>
            </w:r>
          </w:p>
          <w:tbl>
            <w:tblPr>
              <w:tblStyle w:val="1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87"/>
              <w:gridCol w:w="2326"/>
              <w:gridCol w:w="3033"/>
            </w:tblGrid>
            <w:tr w14:paraId="58235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89" w:type="pct"/>
                  <w:vAlign w:val="center"/>
                </w:tcPr>
                <w:p w14:paraId="27F53596">
                  <w:pPr>
                    <w:pStyle w:val="32"/>
                    <w:bidi w:val="0"/>
                    <w:rPr>
                      <w:b/>
                      <w:bCs/>
                      <w:color w:val="auto"/>
                    </w:rPr>
                  </w:pPr>
                  <w:r>
                    <w:rPr>
                      <w:rFonts w:hint="eastAsia"/>
                      <w:b/>
                      <w:bCs/>
                    </w:rPr>
                    <w:t>《工业企业厂界环境噪声排放标准》</w:t>
                  </w:r>
                </w:p>
              </w:tc>
              <w:tc>
                <w:tcPr>
                  <w:tcW w:w="1393" w:type="pct"/>
                  <w:vAlign w:val="center"/>
                </w:tcPr>
                <w:p w14:paraId="7789E695">
                  <w:pPr>
                    <w:pStyle w:val="32"/>
                    <w:bidi w:val="0"/>
                    <w:rPr>
                      <w:b/>
                      <w:bCs/>
                      <w:color w:val="auto"/>
                    </w:rPr>
                  </w:pPr>
                  <w:r>
                    <w:rPr>
                      <w:rFonts w:hint="eastAsia"/>
                      <w:b/>
                      <w:bCs/>
                    </w:rPr>
                    <w:t>昼间</w:t>
                  </w:r>
                </w:p>
              </w:tc>
              <w:tc>
                <w:tcPr>
                  <w:tcW w:w="1817" w:type="pct"/>
                  <w:vAlign w:val="center"/>
                </w:tcPr>
                <w:p w14:paraId="4F39A4C7">
                  <w:pPr>
                    <w:pStyle w:val="32"/>
                    <w:bidi w:val="0"/>
                    <w:rPr>
                      <w:b/>
                      <w:bCs/>
                      <w:color w:val="auto"/>
                    </w:rPr>
                  </w:pPr>
                  <w:r>
                    <w:rPr>
                      <w:rFonts w:hint="eastAsia"/>
                      <w:b/>
                      <w:bCs/>
                    </w:rPr>
                    <w:t>夜间</w:t>
                  </w:r>
                </w:p>
              </w:tc>
            </w:tr>
            <w:tr w14:paraId="2024D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89" w:type="pct"/>
                  <w:vAlign w:val="center"/>
                </w:tcPr>
                <w:p w14:paraId="354EE1A7">
                  <w:pPr>
                    <w:pStyle w:val="32"/>
                    <w:bidi w:val="0"/>
                    <w:rPr>
                      <w:color w:val="auto"/>
                    </w:rPr>
                  </w:pPr>
                  <w:r>
                    <w:rPr>
                      <w:rFonts w:hint="eastAsia"/>
                      <w:lang w:val="en-US" w:eastAsia="zh-CN"/>
                    </w:rPr>
                    <w:t>2</w:t>
                  </w:r>
                  <w:r>
                    <w:rPr>
                      <w:rFonts w:hint="eastAsia"/>
                    </w:rPr>
                    <w:t>类</w:t>
                  </w:r>
                </w:p>
              </w:tc>
              <w:tc>
                <w:tcPr>
                  <w:tcW w:w="1393" w:type="pct"/>
                  <w:vAlign w:val="center"/>
                </w:tcPr>
                <w:p w14:paraId="49556D56">
                  <w:pPr>
                    <w:pStyle w:val="32"/>
                    <w:bidi w:val="0"/>
                    <w:rPr>
                      <w:rFonts w:hint="default" w:eastAsia="宋体"/>
                      <w:color w:val="auto"/>
                      <w:lang w:val="en-US" w:eastAsia="zh-CN"/>
                    </w:rPr>
                  </w:pPr>
                  <w:r>
                    <w:rPr>
                      <w:rFonts w:hint="eastAsia"/>
                      <w:lang w:val="en-US" w:eastAsia="zh-CN"/>
                    </w:rPr>
                    <w:t>60</w:t>
                  </w:r>
                </w:p>
              </w:tc>
              <w:tc>
                <w:tcPr>
                  <w:tcW w:w="1817" w:type="pct"/>
                  <w:vAlign w:val="center"/>
                </w:tcPr>
                <w:p w14:paraId="0EF7D92C">
                  <w:pPr>
                    <w:pStyle w:val="32"/>
                    <w:bidi w:val="0"/>
                    <w:rPr>
                      <w:rFonts w:hint="default" w:eastAsia="宋体"/>
                      <w:color w:val="auto"/>
                      <w:lang w:val="en-US" w:eastAsia="zh-CN"/>
                    </w:rPr>
                  </w:pPr>
                  <w:r>
                    <w:rPr>
                      <w:rFonts w:hint="eastAsia"/>
                      <w:lang w:val="en-US" w:eastAsia="zh-CN"/>
                    </w:rPr>
                    <w:t>50</w:t>
                  </w:r>
                </w:p>
              </w:tc>
            </w:tr>
          </w:tbl>
          <w:p w14:paraId="24782AA9">
            <w:pPr>
              <w:ind w:firstLine="482"/>
              <w:rPr>
                <w:b/>
                <w:bCs/>
                <w:color w:val="auto"/>
              </w:rPr>
            </w:pPr>
            <w:r>
              <w:rPr>
                <w:rFonts w:hint="eastAsia"/>
                <w:b/>
                <w:bCs/>
                <w:color w:val="auto"/>
              </w:rPr>
              <w:t>4、固体废物</w:t>
            </w:r>
          </w:p>
          <w:p w14:paraId="515B7595">
            <w:pPr>
              <w:ind w:firstLine="480"/>
              <w:rPr>
                <w:rFonts w:hint="eastAsia"/>
                <w:color w:val="auto"/>
                <w:lang w:val="en-US" w:eastAsia="zh-CN"/>
              </w:rPr>
            </w:pPr>
            <w:r>
              <w:rPr>
                <w:rFonts w:hint="eastAsia"/>
                <w:color w:val="auto"/>
              </w:rPr>
              <w:t>一般工业固废执行《一般工业固体废物贮存和填埋污染控制标准》（GB18599－2020）的相关要求；</w:t>
            </w:r>
            <w:r>
              <w:rPr>
                <w:rFonts w:hint="eastAsia"/>
                <w:color w:val="auto"/>
                <w:lang w:val="en-US" w:eastAsia="zh-CN"/>
              </w:rPr>
              <w:t>医疗废物、栅渣、化粪池及污水处理站污泥、废活性炭等属于</w:t>
            </w:r>
            <w:r>
              <w:rPr>
                <w:rFonts w:hint="eastAsia"/>
                <w:color w:val="auto"/>
              </w:rPr>
              <w:t>危险废物</w:t>
            </w:r>
            <w:r>
              <w:rPr>
                <w:rFonts w:hint="eastAsia"/>
                <w:color w:val="auto"/>
                <w:lang w:eastAsia="zh-CN"/>
              </w:rPr>
              <w:t>，</w:t>
            </w:r>
            <w:r>
              <w:rPr>
                <w:rFonts w:hint="eastAsia"/>
                <w:color w:val="auto"/>
                <w:lang w:val="en-US" w:eastAsia="zh-CN"/>
              </w:rPr>
              <w:t>其</w:t>
            </w:r>
            <w:r>
              <w:rPr>
                <w:rFonts w:hint="eastAsia"/>
                <w:color w:val="auto"/>
              </w:rPr>
              <w:t>贮存及处置参照执行《危险废物贮存污染控制标准》（GB18597-2023）</w:t>
            </w:r>
            <w:r>
              <w:rPr>
                <w:rFonts w:hint="eastAsia"/>
                <w:color w:val="auto"/>
                <w:lang w:val="en-US" w:eastAsia="zh-CN"/>
              </w:rPr>
              <w:t>，医疗废物在分类收集、运输、处置及处理过程中还应执行《医疗废物管理条例》中的相应标准；污泥清掏前应进行监测，执行《医疗机构水污染物排放标准》(GB 18466-2005)表4“医疗机构污泥控制标准”中相关要求。</w:t>
            </w:r>
          </w:p>
          <w:p w14:paraId="5367CEFC">
            <w:pPr>
              <w:pStyle w:val="27"/>
              <w:bidi w:val="0"/>
            </w:pPr>
            <w:r>
              <w:rPr>
                <w:rFonts w:hint="eastAsia"/>
              </w:rPr>
              <w:t>表3-</w:t>
            </w:r>
            <w:r>
              <w:rPr>
                <w:rFonts w:hint="eastAsia"/>
                <w:lang w:val="en-US" w:eastAsia="zh-CN"/>
              </w:rPr>
              <w:t xml:space="preserve">10  医疗机构污泥控制标准  </w:t>
            </w:r>
            <w:r>
              <w:rPr>
                <w:rFonts w:hint="eastAsia"/>
              </w:rPr>
              <w:t>单位：dB</w:t>
            </w:r>
            <w:r>
              <w:rPr>
                <w:rFonts w:hint="eastAsia"/>
                <w:lang w:val="en-US" w:eastAsia="zh-CN"/>
              </w:rPr>
              <w:t>(</w:t>
            </w:r>
            <w:r>
              <w:rPr>
                <w:rFonts w:hint="eastAsia"/>
              </w:rPr>
              <w:t>A</w:t>
            </w:r>
            <w:r>
              <w:rPr>
                <w:rFonts w:hint="eastAsia"/>
                <w:lang w:val="en-US" w:eastAsia="zh-CN"/>
              </w:rPr>
              <w:t>)</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392"/>
              <w:gridCol w:w="1392"/>
              <w:gridCol w:w="1392"/>
              <w:gridCol w:w="1393"/>
              <w:gridCol w:w="1394"/>
            </w:tblGrid>
            <w:tr w14:paraId="715F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vAlign w:val="center"/>
                </w:tcPr>
                <w:p w14:paraId="6C18705B">
                  <w:pPr>
                    <w:pStyle w:val="32"/>
                    <w:bidi w:val="0"/>
                    <w:jc w:val="center"/>
                    <w:rPr>
                      <w:rFonts w:hint="default"/>
                      <w:b/>
                      <w:bCs/>
                      <w:lang w:val="en-US" w:eastAsia="zh-CN"/>
                    </w:rPr>
                  </w:pPr>
                  <w:r>
                    <w:rPr>
                      <w:rFonts w:hint="eastAsia"/>
                      <w:b/>
                      <w:bCs/>
                      <w:lang w:val="en-US" w:eastAsia="zh-CN"/>
                    </w:rPr>
                    <w:t>医疗机构类别</w:t>
                  </w:r>
                </w:p>
              </w:tc>
              <w:tc>
                <w:tcPr>
                  <w:tcW w:w="1442" w:type="dxa"/>
                  <w:vAlign w:val="center"/>
                </w:tcPr>
                <w:p w14:paraId="1909AA2C">
                  <w:pPr>
                    <w:pStyle w:val="32"/>
                    <w:bidi w:val="0"/>
                    <w:jc w:val="center"/>
                    <w:rPr>
                      <w:rFonts w:hint="default"/>
                      <w:b/>
                      <w:bCs/>
                      <w:lang w:val="en-US" w:eastAsia="zh-CN"/>
                    </w:rPr>
                  </w:pPr>
                  <w:r>
                    <w:rPr>
                      <w:rFonts w:hint="eastAsia"/>
                      <w:b/>
                      <w:bCs/>
                      <w:lang w:val="en-US" w:eastAsia="zh-CN"/>
                    </w:rPr>
                    <w:t>粪大肠菌群数（MPN/g）</w:t>
                  </w:r>
                </w:p>
              </w:tc>
              <w:tc>
                <w:tcPr>
                  <w:tcW w:w="1442" w:type="dxa"/>
                  <w:vAlign w:val="center"/>
                </w:tcPr>
                <w:p w14:paraId="4C914910">
                  <w:pPr>
                    <w:pStyle w:val="32"/>
                    <w:bidi w:val="0"/>
                    <w:jc w:val="center"/>
                    <w:rPr>
                      <w:rFonts w:hint="default"/>
                      <w:b/>
                      <w:bCs/>
                      <w:lang w:val="en-US" w:eastAsia="zh-CN"/>
                    </w:rPr>
                  </w:pPr>
                  <w:r>
                    <w:rPr>
                      <w:rFonts w:hint="eastAsia"/>
                      <w:b/>
                      <w:bCs/>
                      <w:lang w:val="en-US" w:eastAsia="zh-CN"/>
                    </w:rPr>
                    <w:t>肠道致病菌</w:t>
                  </w:r>
                </w:p>
              </w:tc>
              <w:tc>
                <w:tcPr>
                  <w:tcW w:w="1442" w:type="dxa"/>
                  <w:vAlign w:val="center"/>
                </w:tcPr>
                <w:p w14:paraId="05C45671">
                  <w:pPr>
                    <w:pStyle w:val="32"/>
                    <w:bidi w:val="0"/>
                    <w:jc w:val="center"/>
                    <w:rPr>
                      <w:rFonts w:hint="default"/>
                      <w:b/>
                      <w:bCs/>
                      <w:lang w:val="en-US" w:eastAsia="zh-CN"/>
                    </w:rPr>
                  </w:pPr>
                  <w:r>
                    <w:rPr>
                      <w:rFonts w:hint="eastAsia"/>
                      <w:b/>
                      <w:bCs/>
                      <w:lang w:val="en-US" w:eastAsia="zh-CN"/>
                    </w:rPr>
                    <w:t>肠道病毒</w:t>
                  </w:r>
                </w:p>
              </w:tc>
              <w:tc>
                <w:tcPr>
                  <w:tcW w:w="1443" w:type="dxa"/>
                  <w:vAlign w:val="center"/>
                </w:tcPr>
                <w:p w14:paraId="27594E1F">
                  <w:pPr>
                    <w:pStyle w:val="32"/>
                    <w:bidi w:val="0"/>
                    <w:jc w:val="center"/>
                    <w:rPr>
                      <w:rFonts w:hint="default"/>
                      <w:b/>
                      <w:bCs/>
                      <w:lang w:val="en-US" w:eastAsia="zh-CN"/>
                    </w:rPr>
                  </w:pPr>
                  <w:r>
                    <w:rPr>
                      <w:rFonts w:hint="eastAsia"/>
                      <w:b/>
                      <w:bCs/>
                      <w:lang w:val="en-US" w:eastAsia="zh-CN"/>
                    </w:rPr>
                    <w:t>结核杆菌</w:t>
                  </w:r>
                </w:p>
              </w:tc>
              <w:tc>
                <w:tcPr>
                  <w:tcW w:w="1443" w:type="dxa"/>
                  <w:vAlign w:val="center"/>
                </w:tcPr>
                <w:p w14:paraId="50217B54">
                  <w:pPr>
                    <w:pStyle w:val="32"/>
                    <w:bidi w:val="0"/>
                    <w:jc w:val="center"/>
                    <w:rPr>
                      <w:rFonts w:hint="default"/>
                      <w:b/>
                      <w:bCs/>
                      <w:lang w:val="en-US" w:eastAsia="zh-CN"/>
                    </w:rPr>
                  </w:pPr>
                  <w:r>
                    <w:rPr>
                      <w:rFonts w:hint="eastAsia"/>
                      <w:b/>
                      <w:bCs/>
                      <w:lang w:val="en-US" w:eastAsia="zh-CN"/>
                    </w:rPr>
                    <w:t>蛔虫卵死亡率（%）</w:t>
                  </w:r>
                </w:p>
              </w:tc>
            </w:tr>
            <w:tr w14:paraId="6E75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vAlign w:val="center"/>
                </w:tcPr>
                <w:p w14:paraId="082A897B">
                  <w:pPr>
                    <w:pStyle w:val="32"/>
                    <w:bidi w:val="0"/>
                    <w:jc w:val="center"/>
                    <w:rPr>
                      <w:rFonts w:hint="default"/>
                      <w:lang w:val="en-US" w:eastAsia="zh-CN"/>
                    </w:rPr>
                  </w:pPr>
                  <w:r>
                    <w:rPr>
                      <w:rFonts w:hint="default"/>
                      <w:lang w:val="en-US" w:eastAsia="zh-CN"/>
                    </w:rPr>
                    <w:t>综合医疗机构和其他医疗机构</w:t>
                  </w:r>
                </w:p>
              </w:tc>
              <w:tc>
                <w:tcPr>
                  <w:tcW w:w="1442" w:type="dxa"/>
                  <w:vAlign w:val="center"/>
                </w:tcPr>
                <w:p w14:paraId="0D970EA5">
                  <w:pPr>
                    <w:pStyle w:val="32"/>
                    <w:bidi w:val="0"/>
                    <w:jc w:val="center"/>
                    <w:rPr>
                      <w:rFonts w:hint="default"/>
                      <w:lang w:val="en-US" w:eastAsia="zh-CN"/>
                    </w:rPr>
                  </w:pPr>
                  <w:r>
                    <w:rPr>
                      <w:rFonts w:hint="eastAsia"/>
                      <w:lang w:val="en-US" w:eastAsia="zh-CN"/>
                    </w:rPr>
                    <w:t>≤100</w:t>
                  </w:r>
                </w:p>
              </w:tc>
              <w:tc>
                <w:tcPr>
                  <w:tcW w:w="1442" w:type="dxa"/>
                  <w:vAlign w:val="center"/>
                </w:tcPr>
                <w:p w14:paraId="6FC09577">
                  <w:pPr>
                    <w:pStyle w:val="32"/>
                    <w:bidi w:val="0"/>
                    <w:jc w:val="center"/>
                    <w:rPr>
                      <w:rFonts w:hint="default"/>
                      <w:lang w:val="en-US" w:eastAsia="zh-CN"/>
                    </w:rPr>
                  </w:pPr>
                  <w:r>
                    <w:rPr>
                      <w:rFonts w:hint="eastAsia"/>
                      <w:lang w:val="en-US" w:eastAsia="zh-CN"/>
                    </w:rPr>
                    <w:t>/</w:t>
                  </w:r>
                </w:p>
              </w:tc>
              <w:tc>
                <w:tcPr>
                  <w:tcW w:w="1442" w:type="dxa"/>
                  <w:vAlign w:val="center"/>
                </w:tcPr>
                <w:p w14:paraId="17DDDF21">
                  <w:pPr>
                    <w:pStyle w:val="32"/>
                    <w:bidi w:val="0"/>
                    <w:jc w:val="center"/>
                    <w:rPr>
                      <w:rFonts w:hint="default"/>
                      <w:lang w:val="en-US" w:eastAsia="zh-CN"/>
                    </w:rPr>
                  </w:pPr>
                  <w:r>
                    <w:rPr>
                      <w:rFonts w:hint="eastAsia"/>
                      <w:lang w:val="en-US" w:eastAsia="zh-CN"/>
                    </w:rPr>
                    <w:t>/</w:t>
                  </w:r>
                </w:p>
              </w:tc>
              <w:tc>
                <w:tcPr>
                  <w:tcW w:w="1443" w:type="dxa"/>
                  <w:vAlign w:val="center"/>
                </w:tcPr>
                <w:p w14:paraId="153C480B">
                  <w:pPr>
                    <w:pStyle w:val="32"/>
                    <w:bidi w:val="0"/>
                    <w:jc w:val="center"/>
                    <w:rPr>
                      <w:rFonts w:hint="default"/>
                      <w:lang w:val="en-US" w:eastAsia="zh-CN"/>
                    </w:rPr>
                  </w:pPr>
                  <w:r>
                    <w:rPr>
                      <w:rFonts w:hint="eastAsia"/>
                      <w:lang w:val="en-US" w:eastAsia="zh-CN"/>
                    </w:rPr>
                    <w:t>/</w:t>
                  </w:r>
                </w:p>
              </w:tc>
              <w:tc>
                <w:tcPr>
                  <w:tcW w:w="1443" w:type="dxa"/>
                  <w:vAlign w:val="center"/>
                </w:tcPr>
                <w:p w14:paraId="770995C9">
                  <w:pPr>
                    <w:pStyle w:val="32"/>
                    <w:bidi w:val="0"/>
                    <w:jc w:val="center"/>
                    <w:rPr>
                      <w:rFonts w:hint="default"/>
                      <w:lang w:val="en-US" w:eastAsia="zh-CN"/>
                    </w:rPr>
                  </w:pPr>
                  <w:r>
                    <w:rPr>
                      <w:rFonts w:hint="eastAsia"/>
                      <w:lang w:val="en-US" w:eastAsia="zh-CN"/>
                    </w:rPr>
                    <w:t>＞95</w:t>
                  </w:r>
                </w:p>
              </w:tc>
            </w:tr>
          </w:tbl>
          <w:p w14:paraId="3C59BEA6">
            <w:pPr>
              <w:pStyle w:val="9"/>
              <w:rPr>
                <w:rFonts w:hint="default"/>
                <w:lang w:val="en-US" w:eastAsia="zh-CN"/>
              </w:rPr>
            </w:pPr>
          </w:p>
        </w:tc>
      </w:tr>
      <w:tr w14:paraId="4BA5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tcBorders>
              <w:tl2br w:val="nil"/>
              <w:tr2bl w:val="nil"/>
            </w:tcBorders>
            <w:shd w:val="clear" w:color="auto" w:fill="auto"/>
            <w:vAlign w:val="center"/>
          </w:tcPr>
          <w:p w14:paraId="634BDF85">
            <w:pPr>
              <w:ind w:firstLine="0" w:firstLineChars="0"/>
              <w:jc w:val="center"/>
              <w:rPr>
                <w:color w:val="auto"/>
                <w:sz w:val="28"/>
                <w:szCs w:val="28"/>
              </w:rPr>
            </w:pPr>
            <w:r>
              <w:rPr>
                <w:color w:val="auto"/>
                <w:szCs w:val="21"/>
              </w:rPr>
              <w:t>总量控制指标</w:t>
            </w:r>
          </w:p>
        </w:tc>
        <w:tc>
          <w:tcPr>
            <w:tcW w:w="8581" w:type="dxa"/>
            <w:tcBorders>
              <w:tl2br w:val="nil"/>
              <w:tr2bl w:val="nil"/>
            </w:tcBorders>
            <w:shd w:val="clear" w:color="auto" w:fill="auto"/>
            <w:vAlign w:val="center"/>
          </w:tcPr>
          <w:p w14:paraId="53864E6B">
            <w:pPr>
              <w:bidi w:val="0"/>
              <w:ind w:left="0" w:leftChars="0" w:firstLine="0" w:firstLineChars="0"/>
              <w:rPr>
                <w:rFonts w:hint="eastAsia"/>
                <w:lang w:eastAsia="zh-CN"/>
              </w:rPr>
            </w:pPr>
            <w:r>
              <w:rPr>
                <w:rFonts w:hint="eastAsia"/>
              </w:rPr>
              <w:t>水污染物排放总量控制指标</w:t>
            </w:r>
            <w:r>
              <w:rPr>
                <w:rFonts w:hint="eastAsia"/>
                <w:lang w:eastAsia="zh-CN"/>
              </w:rPr>
              <w:t>：</w:t>
            </w:r>
          </w:p>
          <w:p w14:paraId="1F94C327">
            <w:pPr>
              <w:bidi w:val="0"/>
              <w:rPr>
                <w:rFonts w:hint="eastAsia"/>
              </w:rPr>
            </w:pPr>
            <w:r>
              <w:rPr>
                <w:rFonts w:hint="eastAsia"/>
              </w:rPr>
              <w:t>本项目产生的污水</w:t>
            </w:r>
            <w:r>
              <w:rPr>
                <w:rFonts w:hint="eastAsia"/>
                <w:lang w:val="en-US" w:eastAsia="zh-CN"/>
              </w:rPr>
              <w:t>经自建污水处理厂处理后</w:t>
            </w:r>
            <w:r>
              <w:rPr>
                <w:rFonts w:hint="eastAsia"/>
              </w:rPr>
              <w:t>排入山南新区污水处理厂集中处置，水污染物总量控制因子排放指标在污水处理厂内部平衡，企业不再另行申请。</w:t>
            </w:r>
          </w:p>
          <w:p w14:paraId="617B9978">
            <w:pPr>
              <w:pStyle w:val="9"/>
              <w:rPr>
                <w:rFonts w:hint="eastAsia"/>
              </w:rPr>
            </w:pPr>
          </w:p>
          <w:p w14:paraId="593B6543">
            <w:pPr>
              <w:rPr>
                <w:rFonts w:hint="eastAsia"/>
              </w:rPr>
            </w:pPr>
          </w:p>
          <w:p w14:paraId="695EA4B8">
            <w:pPr>
              <w:pStyle w:val="9"/>
              <w:rPr>
                <w:rFonts w:hint="eastAsia"/>
              </w:rPr>
            </w:pPr>
          </w:p>
          <w:p w14:paraId="6A73B622">
            <w:pPr>
              <w:rPr>
                <w:rFonts w:hint="eastAsia"/>
              </w:rPr>
            </w:pPr>
          </w:p>
          <w:p w14:paraId="74EFB231">
            <w:pPr>
              <w:pStyle w:val="9"/>
              <w:rPr>
                <w:rFonts w:hint="eastAsia"/>
              </w:rPr>
            </w:pPr>
          </w:p>
          <w:p w14:paraId="57B19FE3">
            <w:pPr>
              <w:rPr>
                <w:rFonts w:hint="eastAsia"/>
              </w:rPr>
            </w:pPr>
          </w:p>
          <w:p w14:paraId="72FED427">
            <w:pPr>
              <w:pStyle w:val="9"/>
              <w:rPr>
                <w:rFonts w:hint="eastAsia"/>
              </w:rPr>
            </w:pPr>
          </w:p>
          <w:p w14:paraId="5F45C668">
            <w:pPr>
              <w:rPr>
                <w:rFonts w:hint="eastAsia"/>
              </w:rPr>
            </w:pPr>
          </w:p>
          <w:p w14:paraId="1A31C438">
            <w:pPr>
              <w:pStyle w:val="9"/>
            </w:pPr>
          </w:p>
          <w:p w14:paraId="2916D0A6"/>
          <w:p w14:paraId="39170D57">
            <w:pPr>
              <w:pStyle w:val="9"/>
            </w:pPr>
          </w:p>
          <w:p w14:paraId="152ABD54"/>
          <w:p w14:paraId="19251D10">
            <w:pPr>
              <w:pStyle w:val="9"/>
            </w:pPr>
          </w:p>
          <w:p w14:paraId="6560BCB2"/>
          <w:p w14:paraId="65FAE9EA">
            <w:pPr>
              <w:pStyle w:val="9"/>
            </w:pPr>
          </w:p>
          <w:p w14:paraId="24E63ED6"/>
          <w:p w14:paraId="5FCB17CF">
            <w:pPr>
              <w:pStyle w:val="9"/>
            </w:pPr>
          </w:p>
          <w:p w14:paraId="4CEC074C"/>
          <w:p w14:paraId="41245E25">
            <w:pPr>
              <w:pStyle w:val="9"/>
            </w:pPr>
          </w:p>
          <w:p w14:paraId="3C513BAA"/>
          <w:p w14:paraId="6C166765">
            <w:pPr>
              <w:pStyle w:val="9"/>
            </w:pPr>
          </w:p>
          <w:p w14:paraId="2B968712"/>
          <w:p w14:paraId="1FABB20D">
            <w:pPr>
              <w:pStyle w:val="9"/>
            </w:pPr>
          </w:p>
          <w:p w14:paraId="5132D804"/>
          <w:p w14:paraId="20A1E2A1">
            <w:pPr>
              <w:pStyle w:val="9"/>
            </w:pPr>
          </w:p>
          <w:p w14:paraId="66F4CB30"/>
          <w:p w14:paraId="2D04E997">
            <w:pPr>
              <w:pStyle w:val="9"/>
            </w:pPr>
          </w:p>
          <w:p w14:paraId="3032422C"/>
          <w:p w14:paraId="008FF197">
            <w:pPr>
              <w:pStyle w:val="9"/>
            </w:pPr>
          </w:p>
          <w:p w14:paraId="1787D5B7"/>
        </w:tc>
      </w:tr>
    </w:tbl>
    <w:p w14:paraId="2F984E38">
      <w:pPr>
        <w:pStyle w:val="4"/>
        <w:ind w:firstLine="643"/>
        <w:outlineLvl w:val="9"/>
        <w:sectPr>
          <w:pgSz w:w="11906" w:h="16838"/>
          <w:pgMar w:top="1417" w:right="1417" w:bottom="1417" w:left="1417" w:header="737" w:footer="850" w:gutter="0"/>
          <w:pgNumType w:fmt="decimal"/>
          <w:cols w:space="720" w:num="1"/>
          <w:docGrid w:type="lines" w:linePitch="312" w:charSpace="0"/>
        </w:sectPr>
      </w:pPr>
    </w:p>
    <w:p w14:paraId="6A054536">
      <w:pPr>
        <w:pStyle w:val="4"/>
        <w:jc w:val="center"/>
      </w:pPr>
      <w:bookmarkStart w:id="7" w:name="_Toc24344"/>
      <w:r>
        <w:rPr>
          <w:rFonts w:hint="eastAsia"/>
        </w:rPr>
        <w:t>四</w:t>
      </w:r>
      <w:r>
        <w:t>、</w:t>
      </w:r>
      <w:r>
        <w:rPr>
          <w:rFonts w:hint="eastAsia"/>
        </w:rPr>
        <w:t>主要环境影响和保护措施</w:t>
      </w:r>
      <w:bookmarkEnd w:id="7"/>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8185"/>
      </w:tblGrid>
      <w:tr w14:paraId="2FC1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pct"/>
            <w:tcBorders>
              <w:tl2br w:val="nil"/>
              <w:tr2bl w:val="nil"/>
            </w:tcBorders>
            <w:vAlign w:val="center"/>
          </w:tcPr>
          <w:p w14:paraId="6DFD0780">
            <w:pPr>
              <w:spacing w:afterLines="50"/>
              <w:ind w:firstLine="0" w:firstLineChars="0"/>
              <w:jc w:val="center"/>
              <w:rPr>
                <w:color w:val="auto"/>
                <w:sz w:val="28"/>
                <w:szCs w:val="28"/>
              </w:rPr>
            </w:pPr>
            <w:r>
              <w:rPr>
                <w:rFonts w:hint="eastAsia"/>
                <w:color w:val="auto"/>
                <w:szCs w:val="21"/>
              </w:rPr>
              <w:t>施工期环境保护措施</w:t>
            </w:r>
          </w:p>
        </w:tc>
        <w:tc>
          <w:tcPr>
            <w:tcW w:w="4406" w:type="pct"/>
            <w:tcBorders>
              <w:tl2br w:val="nil"/>
              <w:tr2bl w:val="nil"/>
            </w:tcBorders>
            <w:vAlign w:val="center"/>
          </w:tcPr>
          <w:p w14:paraId="1130FE83">
            <w:pPr>
              <w:bidi w:val="0"/>
              <w:rPr>
                <w:b/>
                <w:bCs/>
                <w:color w:val="auto"/>
              </w:rPr>
            </w:pPr>
            <w:r>
              <w:rPr>
                <w:b/>
                <w:bCs/>
                <w:color w:val="auto"/>
              </w:rPr>
              <w:t>施工期环境影响简要分析：</w:t>
            </w:r>
          </w:p>
          <w:p w14:paraId="5B27B2D5">
            <w:pPr>
              <w:bidi w:val="0"/>
              <w:rPr>
                <w:rFonts w:hint="eastAsia"/>
              </w:rPr>
            </w:pPr>
            <w:r>
              <w:rPr>
                <w:rFonts w:hint="eastAsia"/>
              </w:rPr>
              <w:t>本项目</w:t>
            </w:r>
            <w:r>
              <w:rPr>
                <w:rFonts w:hint="eastAsia"/>
                <w:lang w:val="en-US" w:eastAsia="zh-CN"/>
              </w:rPr>
              <w:t>利用原福利院闲置房屋</w:t>
            </w:r>
            <w:r>
              <w:rPr>
                <w:rFonts w:hint="eastAsia"/>
                <w:lang w:eastAsia="zh-CN"/>
              </w:rPr>
              <w:t>，</w:t>
            </w:r>
            <w:r>
              <w:rPr>
                <w:rFonts w:hint="eastAsia"/>
              </w:rPr>
              <w:t>经现场</w:t>
            </w:r>
            <w:r>
              <w:rPr>
                <w:rFonts w:hint="eastAsia"/>
                <w:lang w:val="en-US" w:eastAsia="zh-CN"/>
              </w:rPr>
              <w:t>勘察可知精神卫生福利中心主楼</w:t>
            </w:r>
            <w:r>
              <w:rPr>
                <w:rFonts w:hint="eastAsia"/>
              </w:rPr>
              <w:t>目前为闲置状态，地面已硬化。因此，无环境遗留问题。</w:t>
            </w:r>
          </w:p>
          <w:p w14:paraId="092C4C4F">
            <w:pPr>
              <w:bidi w:val="0"/>
              <w:rPr>
                <w:rFonts w:hint="eastAsia"/>
                <w:lang w:val="en-US" w:eastAsia="zh-CN"/>
              </w:rPr>
            </w:pPr>
            <w:r>
              <w:rPr>
                <w:rFonts w:hint="eastAsia"/>
              </w:rPr>
              <w:t>本项目施工期仅进行简单装修及医疗设备的安装，施工期工程量很小，</w:t>
            </w:r>
            <w:r>
              <w:rPr>
                <w:rFonts w:hint="eastAsia"/>
                <w:lang w:val="en-US" w:eastAsia="zh-CN"/>
              </w:rPr>
              <w:t>施工期环境保护措施如下：</w:t>
            </w:r>
          </w:p>
          <w:p w14:paraId="3ED40674">
            <w:pPr>
              <w:bidi w:val="0"/>
              <w:rPr>
                <w:rFonts w:hint="default"/>
                <w:b/>
                <w:bCs/>
                <w:lang w:val="en-US" w:eastAsia="zh-CN"/>
              </w:rPr>
            </w:pPr>
            <w:r>
              <w:rPr>
                <w:rFonts w:hint="default"/>
                <w:b/>
                <w:bCs/>
                <w:lang w:val="en-US" w:eastAsia="zh-CN"/>
              </w:rPr>
              <w:t>1、废水</w:t>
            </w:r>
          </w:p>
          <w:p w14:paraId="3F06A1AD">
            <w:pPr>
              <w:bidi w:val="0"/>
              <w:rPr>
                <w:rFonts w:hint="default"/>
                <w:lang w:val="en-US" w:eastAsia="zh-CN"/>
              </w:rPr>
            </w:pPr>
            <w:r>
              <w:rPr>
                <w:rFonts w:hint="default"/>
                <w:lang w:val="en-US" w:eastAsia="zh-CN"/>
              </w:rPr>
              <w:t>由于本项目施工仅是简单装修及设备的安装。因此，本项目施工期废水主要是为施工人员产生的生活污水经</w:t>
            </w:r>
            <w:r>
              <w:rPr>
                <w:rFonts w:hint="eastAsia"/>
                <w:lang w:val="en-US" w:eastAsia="zh-CN"/>
              </w:rPr>
              <w:t>化粪池处理后</w:t>
            </w:r>
            <w:r>
              <w:rPr>
                <w:rFonts w:hint="default"/>
                <w:lang w:val="en-US" w:eastAsia="zh-CN"/>
              </w:rPr>
              <w:t>排入</w:t>
            </w:r>
            <w:r>
              <w:rPr>
                <w:rFonts w:hint="eastAsia"/>
                <w:lang w:val="en-US" w:eastAsia="zh-CN"/>
              </w:rPr>
              <w:t>山南新区</w:t>
            </w:r>
            <w:r>
              <w:rPr>
                <w:rFonts w:hint="default"/>
                <w:lang w:val="en-US" w:eastAsia="zh-CN"/>
              </w:rPr>
              <w:t>污水处理厂处理。</w:t>
            </w:r>
          </w:p>
          <w:p w14:paraId="5827CBB4">
            <w:pPr>
              <w:bidi w:val="0"/>
              <w:rPr>
                <w:rFonts w:hint="default"/>
                <w:b/>
                <w:bCs/>
                <w:lang w:val="en-US" w:eastAsia="zh-CN"/>
              </w:rPr>
            </w:pPr>
            <w:r>
              <w:rPr>
                <w:rFonts w:hint="default"/>
                <w:b/>
                <w:bCs/>
                <w:lang w:val="en-US" w:eastAsia="zh-CN"/>
              </w:rPr>
              <w:t>2、废气</w:t>
            </w:r>
          </w:p>
          <w:p w14:paraId="56EBF5A5">
            <w:pPr>
              <w:bidi w:val="0"/>
              <w:rPr>
                <w:rFonts w:hint="default"/>
                <w:lang w:val="en-US" w:eastAsia="zh-CN"/>
              </w:rPr>
            </w:pPr>
            <w:r>
              <w:rPr>
                <w:rFonts w:hint="default"/>
                <w:lang w:val="en-US" w:eastAsia="zh-CN"/>
              </w:rPr>
              <w:t>施工期污染主要为设备搬运过程产生的少量扬尘，施工期扬尘经采取围挡、施工场内定期洒水喷淋、运输车辆加盖苦布、加强管理。随着施工进度的结束，施工扬尘的影响也会随之消失。</w:t>
            </w:r>
          </w:p>
          <w:p w14:paraId="2ADFC570">
            <w:pPr>
              <w:bidi w:val="0"/>
              <w:rPr>
                <w:rFonts w:hint="default"/>
                <w:b/>
                <w:bCs/>
                <w:lang w:val="en-US" w:eastAsia="zh-CN"/>
              </w:rPr>
            </w:pPr>
            <w:r>
              <w:rPr>
                <w:rFonts w:hint="default"/>
                <w:b/>
                <w:bCs/>
                <w:lang w:val="en-US" w:eastAsia="zh-CN"/>
              </w:rPr>
              <w:t>3、噪声</w:t>
            </w:r>
          </w:p>
          <w:p w14:paraId="08F534EB">
            <w:pPr>
              <w:bidi w:val="0"/>
              <w:rPr>
                <w:rFonts w:hint="default"/>
                <w:lang w:val="en-US" w:eastAsia="zh-CN"/>
              </w:rPr>
            </w:pPr>
            <w:r>
              <w:rPr>
                <w:rFonts w:hint="default"/>
                <w:lang w:val="en-US" w:eastAsia="zh-CN"/>
              </w:rPr>
              <w:t>施工期搬运过程产生的噪声，待施工结束后影响也将消失，通过采取隔音，可减轻项目施工期噪声影响。</w:t>
            </w:r>
          </w:p>
          <w:p w14:paraId="39A76CDE">
            <w:pPr>
              <w:bidi w:val="0"/>
              <w:rPr>
                <w:rFonts w:hint="default"/>
                <w:b/>
                <w:bCs/>
                <w:lang w:val="en-US" w:eastAsia="zh-CN"/>
              </w:rPr>
            </w:pPr>
            <w:r>
              <w:rPr>
                <w:rFonts w:hint="default"/>
                <w:b/>
                <w:bCs/>
                <w:lang w:val="en-US" w:eastAsia="zh-CN"/>
              </w:rPr>
              <w:t>4、固体废物</w:t>
            </w:r>
          </w:p>
          <w:p w14:paraId="2778F6A0">
            <w:pPr>
              <w:bidi w:val="0"/>
              <w:rPr>
                <w:rFonts w:hint="default"/>
                <w:b/>
                <w:bCs/>
                <w:lang w:val="en-US" w:eastAsia="zh-CN"/>
              </w:rPr>
            </w:pPr>
            <w:r>
              <w:rPr>
                <w:rFonts w:hint="default"/>
                <w:b/>
                <w:bCs/>
                <w:lang w:val="en-US" w:eastAsia="zh-CN"/>
              </w:rPr>
              <w:t>①生活垃圾</w:t>
            </w:r>
          </w:p>
          <w:p w14:paraId="1559C3E5">
            <w:pPr>
              <w:bidi w:val="0"/>
              <w:rPr>
                <w:rFonts w:hint="default"/>
                <w:lang w:val="en-US" w:eastAsia="zh-CN"/>
              </w:rPr>
            </w:pPr>
            <w:r>
              <w:rPr>
                <w:rFonts w:hint="default"/>
                <w:lang w:val="en-US" w:eastAsia="zh-CN"/>
              </w:rPr>
              <w:t>施工人员生活垃圾由环卫部门统一处理，不会对周围环境产生二次</w:t>
            </w:r>
            <w:r>
              <w:rPr>
                <w:rFonts w:hint="eastAsia"/>
                <w:lang w:val="en-US" w:eastAsia="zh-CN"/>
              </w:rPr>
              <w:t>污染</w:t>
            </w:r>
          </w:p>
          <w:p w14:paraId="34FBDDEA">
            <w:pPr>
              <w:bidi w:val="0"/>
              <w:rPr>
                <w:rFonts w:hint="default"/>
                <w:b/>
                <w:bCs/>
                <w:lang w:val="en-US" w:eastAsia="zh-CN"/>
              </w:rPr>
            </w:pPr>
            <w:r>
              <w:rPr>
                <w:rFonts w:hint="default"/>
                <w:b/>
                <w:bCs/>
                <w:lang w:val="en-US" w:eastAsia="zh-CN"/>
              </w:rPr>
              <w:t>②装修垃圾</w:t>
            </w:r>
          </w:p>
          <w:p w14:paraId="66AFAE42">
            <w:pPr>
              <w:bidi w:val="0"/>
              <w:rPr>
                <w:color w:val="auto"/>
                <w:spacing w:val="1"/>
                <w:szCs w:val="24"/>
              </w:rPr>
            </w:pPr>
            <w:r>
              <w:rPr>
                <w:rFonts w:hint="default"/>
                <w:lang w:val="en-US" w:eastAsia="zh-CN"/>
              </w:rPr>
              <w:t>本项目施工期废物以施工人员废弃包装物为主。废弃包装物回收外卖不会对周围环境造成影响。</w:t>
            </w:r>
          </w:p>
        </w:tc>
      </w:tr>
      <w:tr w14:paraId="5593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pct"/>
            <w:tcBorders>
              <w:tl2br w:val="nil"/>
              <w:tr2bl w:val="nil"/>
            </w:tcBorders>
            <w:vAlign w:val="center"/>
          </w:tcPr>
          <w:p w14:paraId="7647B39F">
            <w:pPr>
              <w:spacing w:afterLines="50"/>
              <w:ind w:firstLine="0" w:firstLineChars="0"/>
              <w:jc w:val="center"/>
              <w:rPr>
                <w:rFonts w:hint="eastAsia"/>
                <w:color w:val="auto"/>
                <w:szCs w:val="21"/>
              </w:rPr>
            </w:pPr>
            <w:r>
              <w:rPr>
                <w:rFonts w:hint="eastAsia" w:ascii="宋体"/>
                <w:color w:val="auto"/>
              </w:rPr>
              <w:t>运营期环境影响和保护措施</w:t>
            </w:r>
          </w:p>
        </w:tc>
        <w:tc>
          <w:tcPr>
            <w:tcW w:w="4406" w:type="pct"/>
            <w:tcBorders>
              <w:tl2br w:val="nil"/>
              <w:tr2bl w:val="nil"/>
            </w:tcBorders>
            <w:vAlign w:val="center"/>
          </w:tcPr>
          <w:p w14:paraId="6D90944C">
            <w:pPr>
              <w:ind w:firstLine="480"/>
              <w:rPr>
                <w:color w:val="auto"/>
              </w:rPr>
            </w:pPr>
            <w:r>
              <w:rPr>
                <w:rFonts w:hint="eastAsia"/>
                <w:color w:val="auto"/>
              </w:rPr>
              <w:t>本项目运营期产生的污染物主要是在生产过程中产生的废气、</w:t>
            </w:r>
            <w:r>
              <w:rPr>
                <w:rFonts w:hint="eastAsia"/>
                <w:color w:val="auto"/>
                <w:lang w:val="en-US" w:eastAsia="zh-CN"/>
              </w:rPr>
              <w:t>废水、</w:t>
            </w:r>
            <w:r>
              <w:rPr>
                <w:rFonts w:hint="eastAsia"/>
                <w:color w:val="auto"/>
              </w:rPr>
              <w:t>噪声、固体废物。</w:t>
            </w:r>
          </w:p>
          <w:p w14:paraId="168468D9">
            <w:pPr>
              <w:bidi w:val="0"/>
              <w:rPr>
                <w:rFonts w:hint="default"/>
                <w:lang w:val="en-US" w:eastAsia="zh-CN"/>
              </w:rPr>
            </w:pPr>
          </w:p>
        </w:tc>
      </w:tr>
    </w:tbl>
    <w:p w14:paraId="3631FDA8">
      <w:pPr>
        <w:ind w:firstLine="0" w:firstLineChars="0"/>
        <w:sectPr>
          <w:pgSz w:w="11906" w:h="16838"/>
          <w:pgMar w:top="1417" w:right="1417" w:bottom="1417" w:left="1417" w:header="737" w:footer="850" w:gutter="0"/>
          <w:pgNumType w:fmt="decimal"/>
          <w:cols w:space="0" w:num="1"/>
          <w:docGrid w:type="lines" w:linePitch="336"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3501"/>
      </w:tblGrid>
      <w:tr w14:paraId="66E3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Pr>
          <w:p w14:paraId="1F3DA1D8">
            <w:pPr>
              <w:ind w:left="0" w:leftChars="0" w:firstLine="0" w:firstLineChars="0"/>
              <w:jc w:val="both"/>
              <w:rPr>
                <w:vertAlign w:val="baseline"/>
              </w:rPr>
            </w:pPr>
          </w:p>
        </w:tc>
        <w:tc>
          <w:tcPr>
            <w:tcW w:w="13501" w:type="dxa"/>
          </w:tcPr>
          <w:p w14:paraId="3CEEE404">
            <w:pPr>
              <w:ind w:firstLine="480"/>
              <w:jc w:val="both"/>
              <w:rPr>
                <w:rFonts w:hint="default" w:eastAsia="宋体"/>
                <w:b/>
                <w:bCs/>
                <w:color w:val="auto"/>
                <w:lang w:val="en-US" w:eastAsia="zh-CN"/>
              </w:rPr>
            </w:pPr>
            <w:r>
              <w:rPr>
                <w:rFonts w:hint="eastAsia"/>
                <w:b/>
                <w:bCs/>
                <w:color w:val="auto"/>
                <w:lang w:val="en-US" w:eastAsia="zh-CN"/>
              </w:rPr>
              <w:t>一、大气</w:t>
            </w:r>
          </w:p>
          <w:p w14:paraId="1AE6BE2A">
            <w:pPr>
              <w:numPr>
                <w:ilvl w:val="0"/>
                <w:numId w:val="7"/>
              </w:numPr>
              <w:bidi w:val="0"/>
              <w:jc w:val="both"/>
              <w:rPr>
                <w:b/>
                <w:bCs/>
              </w:rPr>
            </w:pPr>
            <w:r>
              <w:rPr>
                <w:rFonts w:hint="eastAsia"/>
                <w:b/>
                <w:bCs/>
                <w:lang w:val="en-US" w:eastAsia="zh-CN"/>
              </w:rPr>
              <w:t>废气污染源强</w:t>
            </w:r>
          </w:p>
          <w:p w14:paraId="736B30D8">
            <w:pPr>
              <w:bidi w:val="0"/>
              <w:jc w:val="both"/>
              <w:rPr>
                <w:rFonts w:hint="eastAsia"/>
                <w:color w:val="auto"/>
                <w:highlight w:val="none"/>
                <w:lang w:val="en-US" w:eastAsia="zh-CN"/>
              </w:rPr>
            </w:pPr>
            <w:r>
              <w:rPr>
                <w:rFonts w:hint="eastAsia"/>
                <w:color w:val="auto"/>
                <w:highlight w:val="none"/>
                <w:lang w:val="en-US" w:eastAsia="zh-CN"/>
              </w:rPr>
              <w:t>根据工程分析可知，</w:t>
            </w:r>
            <w:r>
              <w:rPr>
                <w:color w:val="auto"/>
                <w:highlight w:val="none"/>
              </w:rPr>
              <w:t>项目营运期排放废气主要</w:t>
            </w:r>
            <w:r>
              <w:rPr>
                <w:rFonts w:hint="eastAsia"/>
                <w:color w:val="auto"/>
                <w:highlight w:val="none"/>
                <w:lang w:val="en-US" w:eastAsia="zh-CN"/>
              </w:rPr>
              <w:t>污水处理站臭气及油烟废气。其产污情况见下表。</w:t>
            </w:r>
          </w:p>
          <w:p w14:paraId="47BE3FB4">
            <w:pPr>
              <w:pStyle w:val="41"/>
              <w:bidi w:val="0"/>
              <w:rPr>
                <w:rFonts w:hint="eastAsia"/>
                <w:lang w:eastAsia="zh-CN"/>
              </w:rPr>
            </w:pPr>
            <w:r>
              <w:rPr>
                <w:rFonts w:hint="eastAsia"/>
              </w:rPr>
              <w:t>表4-</w:t>
            </w:r>
            <w:r>
              <w:t>1</w:t>
            </w:r>
            <w:r>
              <w:rPr>
                <w:rFonts w:hint="eastAsia"/>
                <w:lang w:eastAsia="zh-CN"/>
              </w:rPr>
              <w:t xml:space="preserve">  </w:t>
            </w:r>
            <w:r>
              <w:rPr>
                <w:rFonts w:hint="eastAsia"/>
              </w:rPr>
              <w:t>项目废气产排污节点、污染物产排及污染治理设施信息表</w:t>
            </w:r>
            <w:r>
              <w:rPr>
                <w:rFonts w:hint="eastAsia"/>
                <w:lang w:eastAsia="zh-CN"/>
              </w:rPr>
              <w:t>（</w:t>
            </w:r>
            <w:r>
              <w:rPr>
                <w:rFonts w:hint="eastAsia"/>
                <w:lang w:val="en-US" w:eastAsia="zh-CN"/>
              </w:rPr>
              <w:t>有组织</w:t>
            </w:r>
            <w:r>
              <w:rPr>
                <w:rFonts w:hint="eastAsia"/>
                <w:lang w:eastAsia="zh-CN"/>
              </w:rPr>
              <w:t>）</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36"/>
              <w:gridCol w:w="633"/>
              <w:gridCol w:w="717"/>
              <w:gridCol w:w="1016"/>
              <w:gridCol w:w="950"/>
              <w:gridCol w:w="1100"/>
              <w:gridCol w:w="984"/>
              <w:gridCol w:w="733"/>
              <w:gridCol w:w="933"/>
              <w:gridCol w:w="533"/>
              <w:gridCol w:w="617"/>
              <w:gridCol w:w="697"/>
              <w:gridCol w:w="687"/>
              <w:gridCol w:w="1116"/>
              <w:gridCol w:w="1117"/>
              <w:gridCol w:w="1004"/>
            </w:tblGrid>
            <w:tr w14:paraId="7EBB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jc w:val="center"/>
              </w:trPr>
              <w:tc>
                <w:tcPr>
                  <w:tcW w:w="164" w:type="pct"/>
                  <w:vMerge w:val="restart"/>
                  <w:shd w:val="clear" w:color="auto" w:fill="auto"/>
                  <w:vAlign w:val="center"/>
                </w:tcPr>
                <w:p w14:paraId="5B6D1A27">
                  <w:pPr>
                    <w:pStyle w:val="45"/>
                    <w:keepNext w:val="0"/>
                    <w:keepLines w:val="0"/>
                    <w:suppressLineNumbers w:val="0"/>
                    <w:bidi w:val="0"/>
                    <w:spacing w:before="0" w:beforeAutospacing="0" w:after="0" w:afterAutospacing="0"/>
                    <w:rPr>
                      <w:rFonts w:hint="eastAsia"/>
                      <w:b/>
                      <w:bCs/>
                    </w:rPr>
                  </w:pPr>
                  <w:r>
                    <w:rPr>
                      <w:rFonts w:hint="eastAsia"/>
                      <w:b/>
                      <w:bCs/>
                      <w:lang w:val="en-US" w:eastAsia="zh-CN"/>
                    </w:rPr>
                    <w:t>排放方式</w:t>
                  </w:r>
                </w:p>
              </w:tc>
              <w:tc>
                <w:tcPr>
                  <w:tcW w:w="238" w:type="pct"/>
                  <w:vMerge w:val="restart"/>
                  <w:shd w:val="clear" w:color="auto" w:fill="auto"/>
                  <w:vAlign w:val="center"/>
                </w:tcPr>
                <w:p w14:paraId="1ACF5C49">
                  <w:pPr>
                    <w:pStyle w:val="45"/>
                    <w:keepNext w:val="0"/>
                    <w:keepLines w:val="0"/>
                    <w:suppressLineNumbers w:val="0"/>
                    <w:bidi w:val="0"/>
                    <w:spacing w:before="0" w:beforeAutospacing="0" w:after="0" w:afterAutospacing="0"/>
                    <w:rPr>
                      <w:rFonts w:hint="eastAsia"/>
                      <w:b/>
                      <w:bCs/>
                    </w:rPr>
                  </w:pPr>
                  <w:r>
                    <w:rPr>
                      <w:rFonts w:hint="eastAsia"/>
                      <w:b/>
                      <w:bCs/>
                      <w:lang w:val="en-US" w:eastAsia="zh-CN"/>
                    </w:rPr>
                    <w:t>排气筒</w:t>
                  </w:r>
                </w:p>
              </w:tc>
              <w:tc>
                <w:tcPr>
                  <w:tcW w:w="270" w:type="pct"/>
                  <w:vMerge w:val="restart"/>
                  <w:shd w:val="clear" w:color="auto" w:fill="auto"/>
                  <w:vAlign w:val="center"/>
                </w:tcPr>
                <w:p w14:paraId="4E793225">
                  <w:pPr>
                    <w:pStyle w:val="45"/>
                    <w:keepNext w:val="0"/>
                    <w:keepLines w:val="0"/>
                    <w:suppressLineNumbers w:val="0"/>
                    <w:bidi w:val="0"/>
                    <w:spacing w:before="0" w:beforeAutospacing="0" w:after="0" w:afterAutospacing="0"/>
                    <w:rPr>
                      <w:rFonts w:hint="eastAsia"/>
                      <w:b/>
                      <w:bCs/>
                    </w:rPr>
                  </w:pPr>
                  <w:r>
                    <w:rPr>
                      <w:rFonts w:hint="eastAsia"/>
                      <w:b/>
                      <w:bCs/>
                      <w:lang w:val="en-US" w:eastAsia="zh-CN"/>
                    </w:rPr>
                    <w:t>产污工序</w:t>
                  </w:r>
                </w:p>
              </w:tc>
              <w:tc>
                <w:tcPr>
                  <w:tcW w:w="382" w:type="pct"/>
                  <w:vMerge w:val="restart"/>
                  <w:shd w:val="clear" w:color="auto" w:fill="auto"/>
                  <w:vAlign w:val="center"/>
                </w:tcPr>
                <w:p w14:paraId="38C783FE">
                  <w:pPr>
                    <w:pStyle w:val="45"/>
                    <w:keepNext w:val="0"/>
                    <w:keepLines w:val="0"/>
                    <w:suppressLineNumbers w:val="0"/>
                    <w:bidi w:val="0"/>
                    <w:spacing w:before="0" w:beforeAutospacing="0" w:after="0" w:afterAutospacing="0"/>
                    <w:rPr>
                      <w:rFonts w:hint="eastAsia"/>
                      <w:b/>
                      <w:bCs/>
                    </w:rPr>
                  </w:pPr>
                  <w:r>
                    <w:rPr>
                      <w:rFonts w:hint="eastAsia"/>
                      <w:b/>
                      <w:bCs/>
                      <w:lang w:val="en-US" w:eastAsia="zh-CN"/>
                    </w:rPr>
                    <w:t>污染物</w:t>
                  </w:r>
                </w:p>
              </w:tc>
              <w:tc>
                <w:tcPr>
                  <w:tcW w:w="1142" w:type="pct"/>
                  <w:gridSpan w:val="3"/>
                  <w:shd w:val="clear" w:color="auto" w:fill="auto"/>
                  <w:vAlign w:val="center"/>
                </w:tcPr>
                <w:p w14:paraId="0EDD0E55">
                  <w:pPr>
                    <w:pStyle w:val="45"/>
                    <w:keepNext w:val="0"/>
                    <w:keepLines w:val="0"/>
                    <w:suppressLineNumbers w:val="0"/>
                    <w:bidi w:val="0"/>
                    <w:spacing w:before="0" w:beforeAutospacing="0" w:after="0" w:afterAutospacing="0"/>
                    <w:rPr>
                      <w:rFonts w:hint="eastAsia"/>
                      <w:b/>
                      <w:bCs/>
                    </w:rPr>
                  </w:pPr>
                  <w:r>
                    <w:rPr>
                      <w:rFonts w:hint="eastAsia"/>
                      <w:b/>
                      <w:bCs/>
                      <w:lang w:val="en-US" w:eastAsia="zh-CN"/>
                    </w:rPr>
                    <w:t>产生源强</w:t>
                  </w:r>
                </w:p>
              </w:tc>
              <w:tc>
                <w:tcPr>
                  <w:tcW w:w="276" w:type="pct"/>
                  <w:vMerge w:val="restart"/>
                  <w:shd w:val="clear" w:color="auto" w:fill="auto"/>
                  <w:vAlign w:val="center"/>
                </w:tcPr>
                <w:p w14:paraId="0C241137">
                  <w:pPr>
                    <w:pStyle w:val="45"/>
                    <w:keepNext w:val="0"/>
                    <w:keepLines w:val="0"/>
                    <w:suppressLineNumbers w:val="0"/>
                    <w:bidi w:val="0"/>
                    <w:spacing w:before="0" w:beforeAutospacing="0" w:after="0" w:afterAutospacing="0"/>
                    <w:rPr>
                      <w:rFonts w:hint="eastAsia"/>
                      <w:b/>
                      <w:bCs/>
                    </w:rPr>
                  </w:pPr>
                  <w:r>
                    <w:rPr>
                      <w:rFonts w:hint="eastAsia"/>
                      <w:b/>
                      <w:bCs/>
                      <w:lang w:val="en-US" w:eastAsia="zh-CN"/>
                    </w:rPr>
                    <w:t>风量（m³</w:t>
                  </w:r>
                  <w:r>
                    <w:rPr>
                      <w:b/>
                      <w:bCs/>
                      <w:lang w:val="en-US" w:eastAsia="zh-CN"/>
                    </w:rPr>
                    <w:t xml:space="preserve">/h </w:t>
                  </w:r>
                  <w:r>
                    <w:rPr>
                      <w:rFonts w:hint="eastAsia"/>
                      <w:b/>
                      <w:bCs/>
                      <w:lang w:val="en-US" w:eastAsia="zh-CN"/>
                    </w:rPr>
                    <w:t>)</w:t>
                  </w:r>
                </w:p>
              </w:tc>
              <w:tc>
                <w:tcPr>
                  <w:tcW w:w="351" w:type="pct"/>
                  <w:vMerge w:val="restart"/>
                  <w:shd w:val="clear" w:color="auto" w:fill="auto"/>
                  <w:vAlign w:val="center"/>
                </w:tcPr>
                <w:p w14:paraId="32EE162F">
                  <w:pPr>
                    <w:pStyle w:val="45"/>
                    <w:keepNext w:val="0"/>
                    <w:keepLines w:val="0"/>
                    <w:suppressLineNumbers w:val="0"/>
                    <w:bidi w:val="0"/>
                    <w:spacing w:before="0" w:beforeAutospacing="0" w:after="0" w:afterAutospacing="0"/>
                    <w:rPr>
                      <w:rFonts w:hint="eastAsia"/>
                      <w:b/>
                      <w:bCs/>
                    </w:rPr>
                  </w:pPr>
                  <w:r>
                    <w:rPr>
                      <w:rFonts w:hint="eastAsia"/>
                      <w:b/>
                      <w:bCs/>
                      <w:lang w:val="en-US" w:eastAsia="zh-CN"/>
                    </w:rPr>
                    <w:t>治理措施</w:t>
                  </w:r>
                </w:p>
              </w:tc>
              <w:tc>
                <w:tcPr>
                  <w:tcW w:w="200" w:type="pct"/>
                  <w:vMerge w:val="restart"/>
                  <w:shd w:val="clear" w:color="auto" w:fill="auto"/>
                  <w:vAlign w:val="center"/>
                </w:tcPr>
                <w:p w14:paraId="0E160AEA">
                  <w:pPr>
                    <w:pStyle w:val="45"/>
                    <w:keepNext w:val="0"/>
                    <w:keepLines w:val="0"/>
                    <w:suppressLineNumbers w:val="0"/>
                    <w:bidi w:val="0"/>
                    <w:spacing w:before="0" w:beforeAutospacing="0" w:after="0" w:afterAutospacing="0"/>
                    <w:rPr>
                      <w:rFonts w:hint="default"/>
                      <w:b/>
                      <w:bCs/>
                      <w:lang w:val="en-US" w:eastAsia="zh-CN"/>
                    </w:rPr>
                  </w:pPr>
                  <w:r>
                    <w:rPr>
                      <w:rFonts w:hint="eastAsia"/>
                      <w:b/>
                      <w:bCs/>
                      <w:lang w:val="en-US" w:eastAsia="zh-CN"/>
                    </w:rPr>
                    <w:t>收集效率（%）</w:t>
                  </w:r>
                </w:p>
              </w:tc>
              <w:tc>
                <w:tcPr>
                  <w:tcW w:w="232" w:type="pct"/>
                  <w:vMerge w:val="restart"/>
                  <w:shd w:val="clear" w:color="auto" w:fill="auto"/>
                  <w:vAlign w:val="center"/>
                </w:tcPr>
                <w:p w14:paraId="2221C411">
                  <w:pPr>
                    <w:pStyle w:val="45"/>
                    <w:keepNext w:val="0"/>
                    <w:keepLines w:val="0"/>
                    <w:suppressLineNumbers w:val="0"/>
                    <w:bidi w:val="0"/>
                    <w:spacing w:before="0" w:beforeAutospacing="0" w:after="0" w:afterAutospacing="0"/>
                    <w:rPr>
                      <w:rFonts w:hint="eastAsia"/>
                      <w:b/>
                      <w:bCs/>
                    </w:rPr>
                  </w:pPr>
                  <w:r>
                    <w:rPr>
                      <w:rFonts w:hint="eastAsia"/>
                      <w:b/>
                      <w:bCs/>
                      <w:lang w:val="en-US" w:eastAsia="zh-CN"/>
                    </w:rPr>
                    <w:t>处理效率（%）</w:t>
                  </w:r>
                </w:p>
              </w:tc>
              <w:tc>
                <w:tcPr>
                  <w:tcW w:w="262" w:type="pct"/>
                  <w:vMerge w:val="restart"/>
                  <w:shd w:val="clear" w:color="auto" w:fill="auto"/>
                  <w:vAlign w:val="center"/>
                </w:tcPr>
                <w:p w14:paraId="6D566609">
                  <w:pPr>
                    <w:pStyle w:val="45"/>
                    <w:keepNext w:val="0"/>
                    <w:keepLines w:val="0"/>
                    <w:suppressLineNumbers w:val="0"/>
                    <w:bidi w:val="0"/>
                    <w:spacing w:before="0" w:beforeAutospacing="0" w:after="0" w:afterAutospacing="0"/>
                    <w:rPr>
                      <w:rFonts w:hint="eastAsia"/>
                      <w:b/>
                      <w:bCs/>
                    </w:rPr>
                  </w:pPr>
                  <w:r>
                    <w:rPr>
                      <w:rFonts w:hint="eastAsia"/>
                      <w:b/>
                      <w:bCs/>
                      <w:lang w:val="en-US" w:eastAsia="zh-CN"/>
                    </w:rPr>
                    <w:t>年工作时间（h）</w:t>
                  </w:r>
                </w:p>
              </w:tc>
              <w:tc>
                <w:tcPr>
                  <w:tcW w:w="258" w:type="pct"/>
                  <w:vMerge w:val="restart"/>
                  <w:shd w:val="clear" w:color="auto" w:fill="auto"/>
                  <w:vAlign w:val="center"/>
                </w:tcPr>
                <w:p w14:paraId="740945A7">
                  <w:pPr>
                    <w:pStyle w:val="45"/>
                    <w:keepNext w:val="0"/>
                    <w:keepLines w:val="0"/>
                    <w:suppressLineNumbers w:val="0"/>
                    <w:bidi w:val="0"/>
                    <w:spacing w:before="0" w:beforeAutospacing="0" w:after="0" w:afterAutospacing="0"/>
                    <w:rPr>
                      <w:rFonts w:hint="eastAsia"/>
                      <w:b/>
                      <w:bCs/>
                    </w:rPr>
                  </w:pPr>
                  <w:r>
                    <w:rPr>
                      <w:rFonts w:hint="eastAsia"/>
                      <w:b/>
                      <w:bCs/>
                      <w:lang w:val="en-US" w:eastAsia="zh-CN"/>
                    </w:rPr>
                    <w:t>是否为可行性技术</w:t>
                  </w:r>
                </w:p>
              </w:tc>
              <w:tc>
                <w:tcPr>
                  <w:tcW w:w="1219" w:type="pct"/>
                  <w:gridSpan w:val="3"/>
                  <w:shd w:val="clear" w:color="auto" w:fill="auto"/>
                  <w:vAlign w:val="center"/>
                </w:tcPr>
                <w:p w14:paraId="5DF7558E">
                  <w:pPr>
                    <w:pStyle w:val="45"/>
                    <w:keepNext w:val="0"/>
                    <w:keepLines w:val="0"/>
                    <w:suppressLineNumbers w:val="0"/>
                    <w:bidi w:val="0"/>
                    <w:spacing w:before="0" w:beforeAutospacing="0" w:after="0" w:afterAutospacing="0"/>
                    <w:rPr>
                      <w:rFonts w:hint="eastAsia"/>
                      <w:b/>
                      <w:bCs/>
                    </w:rPr>
                  </w:pPr>
                  <w:r>
                    <w:rPr>
                      <w:rFonts w:hint="eastAsia"/>
                      <w:b/>
                      <w:bCs/>
                      <w:lang w:val="en-US" w:eastAsia="zh-CN"/>
                    </w:rPr>
                    <w:t>排放源强</w:t>
                  </w:r>
                </w:p>
              </w:tc>
            </w:tr>
            <w:tr w14:paraId="4DC2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jc w:val="center"/>
              </w:trPr>
              <w:tc>
                <w:tcPr>
                  <w:tcW w:w="164" w:type="pct"/>
                  <w:vMerge w:val="continue"/>
                  <w:shd w:val="clear" w:color="auto" w:fill="auto"/>
                  <w:vAlign w:val="center"/>
                </w:tcPr>
                <w:p w14:paraId="7F5AE143">
                  <w:pPr>
                    <w:pStyle w:val="45"/>
                    <w:keepNext w:val="0"/>
                    <w:keepLines w:val="0"/>
                    <w:suppressLineNumbers w:val="0"/>
                    <w:bidi w:val="0"/>
                    <w:spacing w:before="0" w:beforeAutospacing="0" w:after="0" w:afterAutospacing="0"/>
                    <w:rPr>
                      <w:rFonts w:hint="eastAsia"/>
                      <w:b/>
                      <w:bCs/>
                    </w:rPr>
                  </w:pPr>
                </w:p>
              </w:tc>
              <w:tc>
                <w:tcPr>
                  <w:tcW w:w="238" w:type="pct"/>
                  <w:vMerge w:val="continue"/>
                  <w:shd w:val="clear" w:color="auto" w:fill="auto"/>
                  <w:vAlign w:val="center"/>
                </w:tcPr>
                <w:p w14:paraId="528C042B">
                  <w:pPr>
                    <w:pStyle w:val="45"/>
                    <w:keepNext w:val="0"/>
                    <w:keepLines w:val="0"/>
                    <w:suppressLineNumbers w:val="0"/>
                    <w:bidi w:val="0"/>
                    <w:spacing w:before="0" w:beforeAutospacing="0" w:after="0" w:afterAutospacing="0"/>
                    <w:rPr>
                      <w:rFonts w:hint="eastAsia"/>
                      <w:b/>
                      <w:bCs/>
                    </w:rPr>
                  </w:pPr>
                </w:p>
              </w:tc>
              <w:tc>
                <w:tcPr>
                  <w:tcW w:w="270" w:type="pct"/>
                  <w:vMerge w:val="continue"/>
                  <w:shd w:val="clear" w:color="auto" w:fill="auto"/>
                  <w:vAlign w:val="center"/>
                </w:tcPr>
                <w:p w14:paraId="50728307">
                  <w:pPr>
                    <w:pStyle w:val="45"/>
                    <w:keepNext w:val="0"/>
                    <w:keepLines w:val="0"/>
                    <w:suppressLineNumbers w:val="0"/>
                    <w:bidi w:val="0"/>
                    <w:spacing w:before="0" w:beforeAutospacing="0" w:after="0" w:afterAutospacing="0"/>
                    <w:rPr>
                      <w:rFonts w:hint="eastAsia"/>
                      <w:b/>
                      <w:bCs/>
                    </w:rPr>
                  </w:pPr>
                </w:p>
              </w:tc>
              <w:tc>
                <w:tcPr>
                  <w:tcW w:w="382" w:type="pct"/>
                  <w:vMerge w:val="continue"/>
                  <w:shd w:val="clear" w:color="auto" w:fill="auto"/>
                  <w:vAlign w:val="center"/>
                </w:tcPr>
                <w:p w14:paraId="3A7777E0">
                  <w:pPr>
                    <w:pStyle w:val="45"/>
                    <w:keepNext w:val="0"/>
                    <w:keepLines w:val="0"/>
                    <w:suppressLineNumbers w:val="0"/>
                    <w:bidi w:val="0"/>
                    <w:spacing w:before="0" w:beforeAutospacing="0" w:after="0" w:afterAutospacing="0"/>
                    <w:rPr>
                      <w:rFonts w:hint="eastAsia"/>
                      <w:b/>
                      <w:bCs/>
                    </w:rPr>
                  </w:pPr>
                </w:p>
              </w:tc>
              <w:tc>
                <w:tcPr>
                  <w:tcW w:w="357" w:type="pct"/>
                  <w:shd w:val="clear" w:color="auto" w:fill="auto"/>
                  <w:vAlign w:val="center"/>
                </w:tcPr>
                <w:p w14:paraId="6081131A">
                  <w:pPr>
                    <w:pStyle w:val="45"/>
                    <w:keepNext w:val="0"/>
                    <w:keepLines w:val="0"/>
                    <w:suppressLineNumbers w:val="0"/>
                    <w:bidi w:val="0"/>
                    <w:spacing w:before="0" w:beforeAutospacing="0" w:after="0" w:afterAutospacing="0"/>
                    <w:rPr>
                      <w:rFonts w:hint="eastAsia"/>
                      <w:b/>
                      <w:bCs/>
                    </w:rPr>
                  </w:pPr>
                  <w:r>
                    <w:rPr>
                      <w:rFonts w:hint="eastAsia"/>
                      <w:b/>
                      <w:bCs/>
                      <w:lang w:val="en-US" w:eastAsia="zh-CN"/>
                    </w:rPr>
                    <w:t>产生浓度mg/m³</w:t>
                  </w:r>
                </w:p>
              </w:tc>
              <w:tc>
                <w:tcPr>
                  <w:tcW w:w="414" w:type="pct"/>
                  <w:shd w:val="clear" w:color="auto" w:fill="auto"/>
                  <w:vAlign w:val="center"/>
                </w:tcPr>
                <w:p w14:paraId="27D343A4">
                  <w:pPr>
                    <w:pStyle w:val="45"/>
                    <w:keepNext w:val="0"/>
                    <w:keepLines w:val="0"/>
                    <w:suppressLineNumbers w:val="0"/>
                    <w:bidi w:val="0"/>
                    <w:spacing w:before="0" w:beforeAutospacing="0" w:after="0" w:afterAutospacing="0"/>
                    <w:rPr>
                      <w:rFonts w:hint="eastAsia"/>
                      <w:b/>
                      <w:bCs/>
                    </w:rPr>
                  </w:pPr>
                  <w:r>
                    <w:rPr>
                      <w:rFonts w:hint="eastAsia"/>
                      <w:b/>
                      <w:bCs/>
                      <w:lang w:val="en-US" w:eastAsia="zh-CN"/>
                    </w:rPr>
                    <w:t xml:space="preserve">产生速率 </w:t>
                  </w:r>
                  <w:r>
                    <w:rPr>
                      <w:b/>
                      <w:bCs/>
                      <w:lang w:val="en-US" w:eastAsia="zh-CN"/>
                    </w:rPr>
                    <w:t>kg/h</w:t>
                  </w:r>
                </w:p>
              </w:tc>
              <w:tc>
                <w:tcPr>
                  <w:tcW w:w="370" w:type="pct"/>
                  <w:shd w:val="clear" w:color="auto" w:fill="auto"/>
                  <w:vAlign w:val="center"/>
                </w:tcPr>
                <w:p w14:paraId="3462A300">
                  <w:pPr>
                    <w:pStyle w:val="45"/>
                    <w:keepNext w:val="0"/>
                    <w:keepLines w:val="0"/>
                    <w:suppressLineNumbers w:val="0"/>
                    <w:bidi w:val="0"/>
                    <w:spacing w:before="0" w:beforeAutospacing="0" w:after="0" w:afterAutospacing="0"/>
                    <w:rPr>
                      <w:rFonts w:hint="eastAsia"/>
                      <w:b/>
                      <w:bCs/>
                    </w:rPr>
                  </w:pPr>
                  <w:r>
                    <w:rPr>
                      <w:rFonts w:hint="eastAsia"/>
                      <w:b/>
                      <w:bCs/>
                      <w:lang w:val="en-US" w:eastAsia="zh-CN"/>
                    </w:rPr>
                    <w:t xml:space="preserve">产生量 </w:t>
                  </w:r>
                  <w:r>
                    <w:rPr>
                      <w:b/>
                      <w:bCs/>
                      <w:lang w:val="en-US" w:eastAsia="zh-CN"/>
                    </w:rPr>
                    <w:t>t/a</w:t>
                  </w:r>
                </w:p>
              </w:tc>
              <w:tc>
                <w:tcPr>
                  <w:tcW w:w="276" w:type="pct"/>
                  <w:vMerge w:val="continue"/>
                  <w:shd w:val="clear" w:color="auto" w:fill="auto"/>
                  <w:vAlign w:val="center"/>
                </w:tcPr>
                <w:p w14:paraId="4A9FE635">
                  <w:pPr>
                    <w:pStyle w:val="45"/>
                    <w:keepNext w:val="0"/>
                    <w:keepLines w:val="0"/>
                    <w:suppressLineNumbers w:val="0"/>
                    <w:bidi w:val="0"/>
                    <w:spacing w:before="0" w:beforeAutospacing="0" w:after="0" w:afterAutospacing="0"/>
                    <w:rPr>
                      <w:rFonts w:hint="eastAsia"/>
                      <w:b/>
                      <w:bCs/>
                    </w:rPr>
                  </w:pPr>
                </w:p>
              </w:tc>
              <w:tc>
                <w:tcPr>
                  <w:tcW w:w="351" w:type="pct"/>
                  <w:vMerge w:val="continue"/>
                  <w:shd w:val="clear" w:color="auto" w:fill="auto"/>
                  <w:vAlign w:val="center"/>
                </w:tcPr>
                <w:p w14:paraId="2EDA4D23">
                  <w:pPr>
                    <w:pStyle w:val="45"/>
                    <w:keepNext w:val="0"/>
                    <w:keepLines w:val="0"/>
                    <w:suppressLineNumbers w:val="0"/>
                    <w:bidi w:val="0"/>
                    <w:spacing w:before="0" w:beforeAutospacing="0" w:after="0" w:afterAutospacing="0"/>
                    <w:rPr>
                      <w:rFonts w:hint="eastAsia"/>
                      <w:b/>
                      <w:bCs/>
                    </w:rPr>
                  </w:pPr>
                </w:p>
              </w:tc>
              <w:tc>
                <w:tcPr>
                  <w:tcW w:w="200" w:type="pct"/>
                  <w:vMerge w:val="continue"/>
                  <w:shd w:val="clear" w:color="auto" w:fill="auto"/>
                  <w:vAlign w:val="center"/>
                </w:tcPr>
                <w:p w14:paraId="18E9D5C2">
                  <w:pPr>
                    <w:pStyle w:val="45"/>
                    <w:keepNext w:val="0"/>
                    <w:keepLines w:val="0"/>
                    <w:suppressLineNumbers w:val="0"/>
                    <w:bidi w:val="0"/>
                    <w:spacing w:before="0" w:beforeAutospacing="0" w:after="0" w:afterAutospacing="0"/>
                    <w:rPr>
                      <w:rFonts w:hint="eastAsia"/>
                      <w:b/>
                      <w:bCs/>
                    </w:rPr>
                  </w:pPr>
                </w:p>
              </w:tc>
              <w:tc>
                <w:tcPr>
                  <w:tcW w:w="232" w:type="pct"/>
                  <w:vMerge w:val="continue"/>
                  <w:shd w:val="clear" w:color="auto" w:fill="auto"/>
                  <w:vAlign w:val="center"/>
                </w:tcPr>
                <w:p w14:paraId="4B3D9EFE">
                  <w:pPr>
                    <w:pStyle w:val="45"/>
                    <w:keepNext w:val="0"/>
                    <w:keepLines w:val="0"/>
                    <w:suppressLineNumbers w:val="0"/>
                    <w:bidi w:val="0"/>
                    <w:spacing w:before="0" w:beforeAutospacing="0" w:after="0" w:afterAutospacing="0"/>
                    <w:rPr>
                      <w:rFonts w:hint="eastAsia"/>
                      <w:b/>
                      <w:bCs/>
                    </w:rPr>
                  </w:pPr>
                </w:p>
              </w:tc>
              <w:tc>
                <w:tcPr>
                  <w:tcW w:w="262" w:type="pct"/>
                  <w:vMerge w:val="continue"/>
                  <w:shd w:val="clear" w:color="auto" w:fill="auto"/>
                  <w:vAlign w:val="center"/>
                </w:tcPr>
                <w:p w14:paraId="022AB830">
                  <w:pPr>
                    <w:pStyle w:val="45"/>
                    <w:keepNext w:val="0"/>
                    <w:keepLines w:val="0"/>
                    <w:suppressLineNumbers w:val="0"/>
                    <w:bidi w:val="0"/>
                    <w:spacing w:before="0" w:beforeAutospacing="0" w:after="0" w:afterAutospacing="0"/>
                    <w:rPr>
                      <w:rFonts w:hint="eastAsia"/>
                      <w:b/>
                      <w:bCs/>
                    </w:rPr>
                  </w:pPr>
                </w:p>
              </w:tc>
              <w:tc>
                <w:tcPr>
                  <w:tcW w:w="258" w:type="pct"/>
                  <w:vMerge w:val="continue"/>
                  <w:shd w:val="clear" w:color="auto" w:fill="auto"/>
                  <w:vAlign w:val="center"/>
                </w:tcPr>
                <w:p w14:paraId="5393D124">
                  <w:pPr>
                    <w:pStyle w:val="45"/>
                    <w:keepNext w:val="0"/>
                    <w:keepLines w:val="0"/>
                    <w:suppressLineNumbers w:val="0"/>
                    <w:bidi w:val="0"/>
                    <w:spacing w:before="0" w:beforeAutospacing="0" w:after="0" w:afterAutospacing="0"/>
                    <w:rPr>
                      <w:rFonts w:hint="eastAsia"/>
                      <w:b/>
                      <w:bCs/>
                    </w:rPr>
                  </w:pPr>
                </w:p>
              </w:tc>
              <w:tc>
                <w:tcPr>
                  <w:tcW w:w="420" w:type="pct"/>
                  <w:shd w:val="clear" w:color="auto" w:fill="auto"/>
                  <w:vAlign w:val="center"/>
                </w:tcPr>
                <w:p w14:paraId="19040172">
                  <w:pPr>
                    <w:pStyle w:val="45"/>
                    <w:keepNext w:val="0"/>
                    <w:keepLines w:val="0"/>
                    <w:suppressLineNumbers w:val="0"/>
                    <w:bidi w:val="0"/>
                    <w:spacing w:before="0" w:beforeAutospacing="0" w:after="0" w:afterAutospacing="0"/>
                    <w:rPr>
                      <w:rFonts w:hint="eastAsia"/>
                      <w:b/>
                      <w:bCs/>
                    </w:rPr>
                  </w:pPr>
                  <w:r>
                    <w:rPr>
                      <w:rFonts w:hint="eastAsia"/>
                      <w:b/>
                      <w:bCs/>
                      <w:lang w:val="en-US" w:eastAsia="zh-CN"/>
                    </w:rPr>
                    <w:t>排放量t/a</w:t>
                  </w:r>
                </w:p>
              </w:tc>
              <w:tc>
                <w:tcPr>
                  <w:tcW w:w="420" w:type="pct"/>
                  <w:shd w:val="clear" w:color="auto" w:fill="auto"/>
                  <w:vAlign w:val="center"/>
                </w:tcPr>
                <w:p w14:paraId="175C9787">
                  <w:pPr>
                    <w:pStyle w:val="45"/>
                    <w:keepNext w:val="0"/>
                    <w:keepLines w:val="0"/>
                    <w:suppressLineNumbers w:val="0"/>
                    <w:bidi w:val="0"/>
                    <w:spacing w:before="0" w:beforeAutospacing="0" w:after="0" w:afterAutospacing="0"/>
                    <w:rPr>
                      <w:rFonts w:hint="eastAsia"/>
                      <w:b/>
                      <w:bCs/>
                    </w:rPr>
                  </w:pPr>
                  <w:r>
                    <w:rPr>
                      <w:rFonts w:hint="eastAsia"/>
                      <w:b/>
                      <w:bCs/>
                      <w:lang w:val="en-US" w:eastAsia="zh-CN"/>
                    </w:rPr>
                    <w:t xml:space="preserve">排放速率 </w:t>
                  </w:r>
                  <w:r>
                    <w:rPr>
                      <w:b/>
                      <w:bCs/>
                      <w:lang w:val="en-US" w:eastAsia="zh-CN"/>
                    </w:rPr>
                    <w:t>kg/h</w:t>
                  </w:r>
                </w:p>
              </w:tc>
              <w:tc>
                <w:tcPr>
                  <w:tcW w:w="378" w:type="pct"/>
                  <w:shd w:val="clear" w:color="auto" w:fill="auto"/>
                  <w:vAlign w:val="center"/>
                </w:tcPr>
                <w:p w14:paraId="705560C9">
                  <w:pPr>
                    <w:pStyle w:val="45"/>
                    <w:keepNext w:val="0"/>
                    <w:keepLines w:val="0"/>
                    <w:suppressLineNumbers w:val="0"/>
                    <w:bidi w:val="0"/>
                    <w:spacing w:before="0" w:beforeAutospacing="0" w:after="0" w:afterAutospacing="0"/>
                    <w:rPr>
                      <w:rFonts w:hint="eastAsia"/>
                      <w:b/>
                      <w:bCs/>
                    </w:rPr>
                  </w:pPr>
                  <w:r>
                    <w:rPr>
                      <w:rFonts w:hint="eastAsia"/>
                      <w:b/>
                      <w:bCs/>
                      <w:lang w:val="en-US" w:eastAsia="zh-CN"/>
                    </w:rPr>
                    <w:t>排放浓度mg/m³</w:t>
                  </w:r>
                </w:p>
              </w:tc>
            </w:tr>
            <w:tr w14:paraId="539B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jc w:val="center"/>
              </w:trPr>
              <w:tc>
                <w:tcPr>
                  <w:tcW w:w="164" w:type="pct"/>
                  <w:vMerge w:val="restart"/>
                  <w:shd w:val="clear" w:color="auto" w:fill="auto"/>
                  <w:vAlign w:val="center"/>
                </w:tcPr>
                <w:p w14:paraId="64240A85">
                  <w:pPr>
                    <w:pStyle w:val="45"/>
                    <w:keepNext w:val="0"/>
                    <w:keepLines w:val="0"/>
                    <w:suppressLineNumbers w:val="0"/>
                    <w:bidi w:val="0"/>
                    <w:spacing w:before="0" w:beforeAutospacing="0" w:after="0" w:afterAutospacing="0"/>
                    <w:rPr>
                      <w:rFonts w:hint="eastAsia"/>
                      <w:lang w:val="en-US" w:eastAsia="zh-CN"/>
                    </w:rPr>
                  </w:pPr>
                  <w:r>
                    <w:rPr>
                      <w:rFonts w:hint="eastAsia"/>
                      <w:lang w:val="en-US" w:eastAsia="zh-CN"/>
                    </w:rPr>
                    <w:t>有组织</w:t>
                  </w:r>
                </w:p>
              </w:tc>
              <w:tc>
                <w:tcPr>
                  <w:tcW w:w="238" w:type="pct"/>
                  <w:vMerge w:val="restart"/>
                  <w:shd w:val="clear" w:color="auto" w:fill="auto"/>
                  <w:vAlign w:val="center"/>
                </w:tcPr>
                <w:p w14:paraId="1709CBB9">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DA001</w:t>
                  </w:r>
                </w:p>
              </w:tc>
              <w:tc>
                <w:tcPr>
                  <w:tcW w:w="270" w:type="pct"/>
                  <w:vMerge w:val="restart"/>
                  <w:shd w:val="clear" w:color="auto" w:fill="auto"/>
                  <w:vAlign w:val="center"/>
                </w:tcPr>
                <w:p w14:paraId="6920F319">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污水处理站</w:t>
                  </w:r>
                </w:p>
              </w:tc>
              <w:tc>
                <w:tcPr>
                  <w:tcW w:w="382" w:type="pct"/>
                  <w:shd w:val="clear" w:color="auto" w:fill="auto"/>
                  <w:vAlign w:val="center"/>
                </w:tcPr>
                <w:p w14:paraId="2A3B9032">
                  <w:pPr>
                    <w:pStyle w:val="45"/>
                    <w:keepNext w:val="0"/>
                    <w:keepLines w:val="0"/>
                    <w:suppressLineNumbers w:val="0"/>
                    <w:bidi w:val="0"/>
                    <w:spacing w:before="0" w:beforeAutospacing="0" w:after="0" w:afterAutospacing="0"/>
                    <w:rPr>
                      <w:rFonts w:hint="eastAsia" w:eastAsia="宋体"/>
                      <w:lang w:eastAsia="zh-CN"/>
                    </w:rPr>
                  </w:pPr>
                  <w:r>
                    <w:rPr>
                      <w:rFonts w:hint="eastAsia"/>
                      <w:lang w:val="en-US" w:eastAsia="zh-CN"/>
                    </w:rPr>
                    <w:t>氨</w:t>
                  </w:r>
                </w:p>
              </w:tc>
              <w:tc>
                <w:tcPr>
                  <w:tcW w:w="357" w:type="pct"/>
                  <w:shd w:val="clear" w:color="auto" w:fill="auto"/>
                  <w:vAlign w:val="center"/>
                </w:tcPr>
                <w:p w14:paraId="6392934F">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0.3</w:t>
                  </w:r>
                </w:p>
              </w:tc>
              <w:tc>
                <w:tcPr>
                  <w:tcW w:w="414" w:type="pct"/>
                  <w:shd w:val="clear" w:color="auto" w:fill="auto"/>
                  <w:vAlign w:val="center"/>
                </w:tcPr>
                <w:p w14:paraId="3EA4D46E">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0.0015</w:t>
                  </w:r>
                </w:p>
              </w:tc>
              <w:tc>
                <w:tcPr>
                  <w:tcW w:w="370" w:type="pct"/>
                  <w:shd w:val="clear" w:color="auto" w:fill="auto"/>
                  <w:vAlign w:val="center"/>
                </w:tcPr>
                <w:p w14:paraId="4D2CD481">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0.0132</w:t>
                  </w:r>
                </w:p>
              </w:tc>
              <w:tc>
                <w:tcPr>
                  <w:tcW w:w="276" w:type="pct"/>
                  <w:vMerge w:val="restart"/>
                  <w:shd w:val="clear" w:color="auto" w:fill="auto"/>
                  <w:vAlign w:val="center"/>
                </w:tcPr>
                <w:p w14:paraId="639D193B">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5000</w:t>
                  </w:r>
                </w:p>
              </w:tc>
              <w:tc>
                <w:tcPr>
                  <w:tcW w:w="351" w:type="pct"/>
                  <w:vMerge w:val="restart"/>
                  <w:shd w:val="clear" w:color="auto" w:fill="auto"/>
                  <w:vAlign w:val="center"/>
                </w:tcPr>
                <w:p w14:paraId="2BFFC842">
                  <w:pPr>
                    <w:pStyle w:val="45"/>
                    <w:keepNext w:val="0"/>
                    <w:keepLines w:val="0"/>
                    <w:suppressLineNumbers w:val="0"/>
                    <w:bidi w:val="0"/>
                    <w:spacing w:before="0" w:beforeAutospacing="0" w:after="0" w:afterAutospacing="0"/>
                    <w:rPr>
                      <w:rFonts w:hint="eastAsia"/>
                    </w:rPr>
                  </w:pPr>
                  <w:r>
                    <w:rPr>
                      <w:rFonts w:hint="eastAsia"/>
                    </w:rPr>
                    <w:t>二级活性炭</w:t>
                  </w:r>
                </w:p>
              </w:tc>
              <w:tc>
                <w:tcPr>
                  <w:tcW w:w="200" w:type="pct"/>
                  <w:vMerge w:val="restart"/>
                  <w:shd w:val="clear" w:color="auto" w:fill="auto"/>
                  <w:vAlign w:val="center"/>
                </w:tcPr>
                <w:p w14:paraId="7D8654CF">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95</w:t>
                  </w:r>
                </w:p>
              </w:tc>
              <w:tc>
                <w:tcPr>
                  <w:tcW w:w="232" w:type="pct"/>
                  <w:vMerge w:val="restart"/>
                  <w:shd w:val="clear" w:color="auto" w:fill="auto"/>
                  <w:vAlign w:val="center"/>
                </w:tcPr>
                <w:p w14:paraId="501A936A">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80</w:t>
                  </w:r>
                </w:p>
              </w:tc>
              <w:tc>
                <w:tcPr>
                  <w:tcW w:w="262" w:type="pct"/>
                  <w:vMerge w:val="restart"/>
                  <w:shd w:val="clear" w:color="auto" w:fill="auto"/>
                  <w:vAlign w:val="center"/>
                </w:tcPr>
                <w:p w14:paraId="68CFE73B">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8760</w:t>
                  </w:r>
                </w:p>
              </w:tc>
              <w:tc>
                <w:tcPr>
                  <w:tcW w:w="258" w:type="pct"/>
                  <w:vMerge w:val="restart"/>
                  <w:shd w:val="clear" w:color="auto" w:fill="auto"/>
                  <w:vAlign w:val="center"/>
                </w:tcPr>
                <w:p w14:paraId="301BF920">
                  <w:pPr>
                    <w:pStyle w:val="45"/>
                    <w:keepNext w:val="0"/>
                    <w:keepLines w:val="0"/>
                    <w:suppressLineNumbers w:val="0"/>
                    <w:bidi w:val="0"/>
                    <w:spacing w:before="0" w:beforeAutospacing="0" w:after="0" w:afterAutospacing="0"/>
                    <w:rPr>
                      <w:rFonts w:hint="eastAsia"/>
                      <w:lang w:val="en-US" w:eastAsia="zh-CN"/>
                    </w:rPr>
                  </w:pPr>
                  <w:r>
                    <w:rPr>
                      <w:rFonts w:hint="eastAsia"/>
                      <w:lang w:val="en-US" w:eastAsia="zh-CN"/>
                    </w:rPr>
                    <w:t>是</w:t>
                  </w:r>
                </w:p>
              </w:tc>
              <w:tc>
                <w:tcPr>
                  <w:tcW w:w="420" w:type="pct"/>
                  <w:shd w:val="clear" w:color="auto" w:fill="auto"/>
                  <w:vAlign w:val="center"/>
                </w:tcPr>
                <w:p w14:paraId="79F6C67B">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0.0025</w:t>
                  </w:r>
                </w:p>
              </w:tc>
              <w:tc>
                <w:tcPr>
                  <w:tcW w:w="420" w:type="pct"/>
                  <w:shd w:val="clear" w:color="auto" w:fill="auto"/>
                  <w:vAlign w:val="center"/>
                </w:tcPr>
                <w:p w14:paraId="177BA160">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0.00029</w:t>
                  </w:r>
                </w:p>
              </w:tc>
              <w:tc>
                <w:tcPr>
                  <w:tcW w:w="378" w:type="pct"/>
                  <w:shd w:val="clear" w:color="auto" w:fill="auto"/>
                  <w:vAlign w:val="center"/>
                </w:tcPr>
                <w:p w14:paraId="63BC8778">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0.0058</w:t>
                  </w:r>
                </w:p>
              </w:tc>
            </w:tr>
            <w:tr w14:paraId="456B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jc w:val="center"/>
              </w:trPr>
              <w:tc>
                <w:tcPr>
                  <w:tcW w:w="164" w:type="pct"/>
                  <w:vMerge w:val="continue"/>
                  <w:shd w:val="clear" w:color="auto" w:fill="auto"/>
                  <w:vAlign w:val="center"/>
                </w:tcPr>
                <w:p w14:paraId="6A55D8B7">
                  <w:pPr>
                    <w:pStyle w:val="45"/>
                    <w:keepNext w:val="0"/>
                    <w:keepLines w:val="0"/>
                    <w:suppressLineNumbers w:val="0"/>
                    <w:bidi w:val="0"/>
                    <w:spacing w:before="0" w:beforeAutospacing="0" w:after="0" w:afterAutospacing="0"/>
                    <w:rPr>
                      <w:rFonts w:hint="eastAsia"/>
                      <w:lang w:val="en-US" w:eastAsia="zh-CN"/>
                    </w:rPr>
                  </w:pPr>
                </w:p>
              </w:tc>
              <w:tc>
                <w:tcPr>
                  <w:tcW w:w="238" w:type="pct"/>
                  <w:vMerge w:val="continue"/>
                  <w:shd w:val="clear" w:color="auto" w:fill="auto"/>
                  <w:vAlign w:val="center"/>
                </w:tcPr>
                <w:p w14:paraId="501BDDC8">
                  <w:pPr>
                    <w:pStyle w:val="45"/>
                    <w:keepNext w:val="0"/>
                    <w:keepLines w:val="0"/>
                    <w:suppressLineNumbers w:val="0"/>
                    <w:bidi w:val="0"/>
                    <w:spacing w:before="0" w:beforeAutospacing="0" w:after="0" w:afterAutospacing="0"/>
                    <w:rPr>
                      <w:rFonts w:hint="eastAsia"/>
                      <w:lang w:val="en-US" w:eastAsia="zh-CN"/>
                    </w:rPr>
                  </w:pPr>
                </w:p>
              </w:tc>
              <w:tc>
                <w:tcPr>
                  <w:tcW w:w="270" w:type="pct"/>
                  <w:vMerge w:val="continue"/>
                  <w:shd w:val="clear" w:color="auto" w:fill="auto"/>
                  <w:vAlign w:val="center"/>
                </w:tcPr>
                <w:p w14:paraId="22235FF4">
                  <w:pPr>
                    <w:pStyle w:val="45"/>
                    <w:keepNext w:val="0"/>
                    <w:keepLines w:val="0"/>
                    <w:suppressLineNumbers w:val="0"/>
                    <w:bidi w:val="0"/>
                    <w:spacing w:before="0" w:beforeAutospacing="0" w:after="0" w:afterAutospacing="0"/>
                    <w:rPr>
                      <w:rFonts w:hint="eastAsia"/>
                      <w:lang w:val="en-US" w:eastAsia="zh-CN"/>
                    </w:rPr>
                  </w:pPr>
                </w:p>
              </w:tc>
              <w:tc>
                <w:tcPr>
                  <w:tcW w:w="382" w:type="pct"/>
                  <w:shd w:val="clear" w:color="auto" w:fill="auto"/>
                  <w:vAlign w:val="center"/>
                </w:tcPr>
                <w:p w14:paraId="3B85354B">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硫化氢</w:t>
                  </w:r>
                </w:p>
              </w:tc>
              <w:tc>
                <w:tcPr>
                  <w:tcW w:w="357" w:type="pct"/>
                  <w:shd w:val="clear" w:color="auto" w:fill="auto"/>
                  <w:vAlign w:val="center"/>
                </w:tcPr>
                <w:p w14:paraId="3C286BA3">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0.0114</w:t>
                  </w:r>
                </w:p>
              </w:tc>
              <w:tc>
                <w:tcPr>
                  <w:tcW w:w="414" w:type="pct"/>
                  <w:shd w:val="clear" w:color="auto" w:fill="auto"/>
                  <w:vAlign w:val="center"/>
                </w:tcPr>
                <w:p w14:paraId="7131A9F7">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0.000057</w:t>
                  </w:r>
                </w:p>
              </w:tc>
              <w:tc>
                <w:tcPr>
                  <w:tcW w:w="370" w:type="pct"/>
                  <w:shd w:val="clear" w:color="auto" w:fill="auto"/>
                  <w:vAlign w:val="center"/>
                </w:tcPr>
                <w:p w14:paraId="233B8072">
                  <w:pPr>
                    <w:pStyle w:val="45"/>
                    <w:keepNext w:val="0"/>
                    <w:keepLines w:val="0"/>
                    <w:suppressLineNumbers w:val="0"/>
                    <w:bidi w:val="0"/>
                    <w:spacing w:before="0" w:beforeAutospacing="0" w:after="0" w:afterAutospacing="0"/>
                    <w:rPr>
                      <w:rFonts w:hint="eastAsia"/>
                      <w:lang w:val="en-US" w:eastAsia="zh-CN"/>
                    </w:rPr>
                  </w:pPr>
                  <w:r>
                    <w:rPr>
                      <w:rFonts w:hint="eastAsia"/>
                      <w:lang w:val="en-US" w:eastAsia="zh-CN"/>
                    </w:rPr>
                    <w:t>0.0005</w:t>
                  </w:r>
                </w:p>
              </w:tc>
              <w:tc>
                <w:tcPr>
                  <w:tcW w:w="276" w:type="pct"/>
                  <w:vMerge w:val="continue"/>
                  <w:shd w:val="clear" w:color="auto" w:fill="auto"/>
                  <w:vAlign w:val="center"/>
                </w:tcPr>
                <w:p w14:paraId="0B94910B">
                  <w:pPr>
                    <w:pStyle w:val="45"/>
                    <w:keepNext w:val="0"/>
                    <w:keepLines w:val="0"/>
                    <w:suppressLineNumbers w:val="0"/>
                    <w:bidi w:val="0"/>
                    <w:spacing w:before="0" w:beforeAutospacing="0" w:after="0" w:afterAutospacing="0"/>
                    <w:rPr>
                      <w:rFonts w:hint="eastAsia"/>
                      <w:lang w:val="en-US" w:eastAsia="zh-CN"/>
                    </w:rPr>
                  </w:pPr>
                </w:p>
              </w:tc>
              <w:tc>
                <w:tcPr>
                  <w:tcW w:w="351" w:type="pct"/>
                  <w:vMerge w:val="continue"/>
                  <w:shd w:val="clear" w:color="auto" w:fill="auto"/>
                  <w:vAlign w:val="center"/>
                </w:tcPr>
                <w:p w14:paraId="7E7DD646">
                  <w:pPr>
                    <w:pStyle w:val="45"/>
                    <w:keepNext w:val="0"/>
                    <w:keepLines w:val="0"/>
                    <w:suppressLineNumbers w:val="0"/>
                    <w:bidi w:val="0"/>
                    <w:spacing w:before="0" w:beforeAutospacing="0" w:after="0" w:afterAutospacing="0"/>
                    <w:rPr>
                      <w:rFonts w:hint="eastAsia"/>
                    </w:rPr>
                  </w:pPr>
                </w:p>
              </w:tc>
              <w:tc>
                <w:tcPr>
                  <w:tcW w:w="200" w:type="pct"/>
                  <w:vMerge w:val="continue"/>
                  <w:shd w:val="clear" w:color="auto" w:fill="auto"/>
                  <w:vAlign w:val="center"/>
                </w:tcPr>
                <w:p w14:paraId="650D9E83">
                  <w:pPr>
                    <w:pStyle w:val="45"/>
                    <w:keepNext w:val="0"/>
                    <w:keepLines w:val="0"/>
                    <w:suppressLineNumbers w:val="0"/>
                    <w:bidi w:val="0"/>
                    <w:spacing w:before="0" w:beforeAutospacing="0" w:after="0" w:afterAutospacing="0"/>
                    <w:rPr>
                      <w:rFonts w:hint="eastAsia"/>
                      <w:lang w:val="en-US" w:eastAsia="zh-CN"/>
                    </w:rPr>
                  </w:pPr>
                </w:p>
              </w:tc>
              <w:tc>
                <w:tcPr>
                  <w:tcW w:w="232" w:type="pct"/>
                  <w:vMerge w:val="continue"/>
                  <w:shd w:val="clear" w:color="auto" w:fill="auto"/>
                  <w:vAlign w:val="center"/>
                </w:tcPr>
                <w:p w14:paraId="446946AF">
                  <w:pPr>
                    <w:pStyle w:val="45"/>
                    <w:keepNext w:val="0"/>
                    <w:keepLines w:val="0"/>
                    <w:suppressLineNumbers w:val="0"/>
                    <w:bidi w:val="0"/>
                    <w:spacing w:before="0" w:beforeAutospacing="0" w:after="0" w:afterAutospacing="0"/>
                    <w:rPr>
                      <w:rFonts w:hint="eastAsia"/>
                      <w:lang w:val="en-US" w:eastAsia="zh-CN"/>
                    </w:rPr>
                  </w:pPr>
                </w:p>
              </w:tc>
              <w:tc>
                <w:tcPr>
                  <w:tcW w:w="262" w:type="pct"/>
                  <w:vMerge w:val="continue"/>
                  <w:shd w:val="clear" w:color="auto" w:fill="auto"/>
                  <w:vAlign w:val="center"/>
                </w:tcPr>
                <w:p w14:paraId="58015532">
                  <w:pPr>
                    <w:pStyle w:val="45"/>
                    <w:keepNext w:val="0"/>
                    <w:keepLines w:val="0"/>
                    <w:suppressLineNumbers w:val="0"/>
                    <w:bidi w:val="0"/>
                    <w:spacing w:before="0" w:beforeAutospacing="0" w:after="0" w:afterAutospacing="0"/>
                    <w:rPr>
                      <w:rFonts w:hint="eastAsia"/>
                      <w:lang w:val="en-US" w:eastAsia="zh-CN"/>
                    </w:rPr>
                  </w:pPr>
                </w:p>
              </w:tc>
              <w:tc>
                <w:tcPr>
                  <w:tcW w:w="258" w:type="pct"/>
                  <w:vMerge w:val="continue"/>
                  <w:shd w:val="clear" w:color="auto" w:fill="auto"/>
                  <w:vAlign w:val="center"/>
                </w:tcPr>
                <w:p w14:paraId="468D4BA3">
                  <w:pPr>
                    <w:pStyle w:val="45"/>
                    <w:keepNext w:val="0"/>
                    <w:keepLines w:val="0"/>
                    <w:suppressLineNumbers w:val="0"/>
                    <w:bidi w:val="0"/>
                    <w:spacing w:before="0" w:beforeAutospacing="0" w:after="0" w:afterAutospacing="0"/>
                    <w:rPr>
                      <w:rFonts w:hint="eastAsia"/>
                      <w:lang w:val="en-US" w:eastAsia="zh-CN"/>
                    </w:rPr>
                  </w:pPr>
                </w:p>
              </w:tc>
              <w:tc>
                <w:tcPr>
                  <w:tcW w:w="420" w:type="pct"/>
                  <w:shd w:val="clear" w:color="auto" w:fill="auto"/>
                  <w:vAlign w:val="center"/>
                </w:tcPr>
                <w:p w14:paraId="1682A398">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0.000096</w:t>
                  </w:r>
                </w:p>
              </w:tc>
              <w:tc>
                <w:tcPr>
                  <w:tcW w:w="420" w:type="pct"/>
                  <w:shd w:val="clear" w:color="auto" w:fill="auto"/>
                  <w:vAlign w:val="center"/>
                </w:tcPr>
                <w:p w14:paraId="385343DB">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0.00001</w:t>
                  </w:r>
                </w:p>
              </w:tc>
              <w:tc>
                <w:tcPr>
                  <w:tcW w:w="378" w:type="pct"/>
                  <w:shd w:val="clear" w:color="auto" w:fill="auto"/>
                  <w:vAlign w:val="center"/>
                </w:tcPr>
                <w:p w14:paraId="451528F6">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0.002</w:t>
                  </w:r>
                </w:p>
              </w:tc>
            </w:tr>
            <w:tr w14:paraId="23D0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2" w:hRule="atLeast"/>
                <w:jc w:val="center"/>
              </w:trPr>
              <w:tc>
                <w:tcPr>
                  <w:tcW w:w="164" w:type="pct"/>
                  <w:vMerge w:val="continue"/>
                  <w:shd w:val="clear" w:color="auto" w:fill="auto"/>
                  <w:vAlign w:val="center"/>
                </w:tcPr>
                <w:p w14:paraId="3ED06E97">
                  <w:pPr>
                    <w:pStyle w:val="45"/>
                    <w:keepNext w:val="0"/>
                    <w:keepLines w:val="0"/>
                    <w:suppressLineNumbers w:val="0"/>
                    <w:bidi w:val="0"/>
                    <w:spacing w:before="0" w:beforeAutospacing="0" w:after="0" w:afterAutospacing="0"/>
                    <w:rPr>
                      <w:rFonts w:hint="eastAsia"/>
                    </w:rPr>
                  </w:pPr>
                </w:p>
              </w:tc>
              <w:tc>
                <w:tcPr>
                  <w:tcW w:w="238" w:type="pct"/>
                  <w:vMerge w:val="continue"/>
                  <w:shd w:val="clear" w:color="auto" w:fill="auto"/>
                  <w:vAlign w:val="center"/>
                </w:tcPr>
                <w:p w14:paraId="689F2ED9">
                  <w:pPr>
                    <w:pStyle w:val="45"/>
                    <w:keepNext w:val="0"/>
                    <w:keepLines w:val="0"/>
                    <w:suppressLineNumbers w:val="0"/>
                    <w:bidi w:val="0"/>
                    <w:spacing w:before="0" w:beforeAutospacing="0" w:after="0" w:afterAutospacing="0"/>
                    <w:rPr>
                      <w:rFonts w:hint="eastAsia"/>
                    </w:rPr>
                  </w:pPr>
                </w:p>
              </w:tc>
              <w:tc>
                <w:tcPr>
                  <w:tcW w:w="270" w:type="pct"/>
                  <w:vMerge w:val="continue"/>
                  <w:shd w:val="clear" w:color="auto" w:fill="auto"/>
                  <w:vAlign w:val="center"/>
                </w:tcPr>
                <w:p w14:paraId="540503B2">
                  <w:pPr>
                    <w:pStyle w:val="45"/>
                    <w:keepNext w:val="0"/>
                    <w:keepLines w:val="0"/>
                    <w:suppressLineNumbers w:val="0"/>
                    <w:bidi w:val="0"/>
                    <w:spacing w:before="0" w:beforeAutospacing="0" w:after="0" w:afterAutospacing="0"/>
                    <w:rPr>
                      <w:rFonts w:hint="default"/>
                      <w:lang w:val="en-US" w:eastAsia="zh-CN"/>
                    </w:rPr>
                  </w:pPr>
                </w:p>
              </w:tc>
              <w:tc>
                <w:tcPr>
                  <w:tcW w:w="382" w:type="pct"/>
                  <w:shd w:val="clear" w:color="auto" w:fill="auto"/>
                  <w:vAlign w:val="center"/>
                </w:tcPr>
                <w:p w14:paraId="5BE7B408">
                  <w:pPr>
                    <w:pStyle w:val="45"/>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臭气浓度</w:t>
                  </w:r>
                </w:p>
              </w:tc>
              <w:tc>
                <w:tcPr>
                  <w:tcW w:w="357" w:type="pct"/>
                  <w:shd w:val="clear" w:color="auto" w:fill="auto"/>
                  <w:vAlign w:val="center"/>
                </w:tcPr>
                <w:p w14:paraId="7DCD0C63">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少量</w:t>
                  </w:r>
                </w:p>
              </w:tc>
              <w:tc>
                <w:tcPr>
                  <w:tcW w:w="414" w:type="pct"/>
                  <w:shd w:val="clear" w:color="auto" w:fill="auto"/>
                  <w:vAlign w:val="center"/>
                </w:tcPr>
                <w:p w14:paraId="5E324E6E">
                  <w:pPr>
                    <w:pStyle w:val="45"/>
                    <w:keepNext w:val="0"/>
                    <w:keepLines w:val="0"/>
                    <w:suppressLineNumbers w:val="0"/>
                    <w:bidi w:val="0"/>
                    <w:spacing w:before="0" w:beforeAutospacing="0" w:after="0" w:afterAutospacing="0"/>
                    <w:rPr>
                      <w:rFonts w:hint="eastAsia"/>
                      <w:lang w:val="en-US" w:eastAsia="zh-CN"/>
                    </w:rPr>
                  </w:pPr>
                  <w:r>
                    <w:rPr>
                      <w:rFonts w:hint="eastAsia"/>
                      <w:lang w:val="en-US" w:eastAsia="zh-CN"/>
                    </w:rPr>
                    <w:t>少量</w:t>
                  </w:r>
                </w:p>
              </w:tc>
              <w:tc>
                <w:tcPr>
                  <w:tcW w:w="370" w:type="pct"/>
                  <w:shd w:val="clear" w:color="auto" w:fill="auto"/>
                  <w:vAlign w:val="center"/>
                </w:tcPr>
                <w:p w14:paraId="0714EE3D">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少量</w:t>
                  </w:r>
                </w:p>
              </w:tc>
              <w:tc>
                <w:tcPr>
                  <w:tcW w:w="276" w:type="pct"/>
                  <w:vMerge w:val="continue"/>
                  <w:shd w:val="clear" w:color="auto" w:fill="auto"/>
                  <w:vAlign w:val="center"/>
                </w:tcPr>
                <w:p w14:paraId="16ECA2A1">
                  <w:pPr>
                    <w:pStyle w:val="45"/>
                    <w:keepNext w:val="0"/>
                    <w:keepLines w:val="0"/>
                    <w:suppressLineNumbers w:val="0"/>
                    <w:bidi w:val="0"/>
                    <w:spacing w:before="0" w:beforeAutospacing="0" w:after="0" w:afterAutospacing="0"/>
                    <w:rPr>
                      <w:rFonts w:hint="eastAsia"/>
                    </w:rPr>
                  </w:pPr>
                </w:p>
              </w:tc>
              <w:tc>
                <w:tcPr>
                  <w:tcW w:w="351" w:type="pct"/>
                  <w:vMerge w:val="continue"/>
                  <w:shd w:val="clear" w:color="auto" w:fill="auto"/>
                  <w:vAlign w:val="center"/>
                </w:tcPr>
                <w:p w14:paraId="27AE1438">
                  <w:pPr>
                    <w:pStyle w:val="45"/>
                    <w:keepNext w:val="0"/>
                    <w:keepLines w:val="0"/>
                    <w:suppressLineNumbers w:val="0"/>
                    <w:bidi w:val="0"/>
                    <w:spacing w:before="0" w:beforeAutospacing="0" w:after="0" w:afterAutospacing="0"/>
                    <w:rPr>
                      <w:rFonts w:hint="eastAsia"/>
                    </w:rPr>
                  </w:pPr>
                </w:p>
              </w:tc>
              <w:tc>
                <w:tcPr>
                  <w:tcW w:w="200" w:type="pct"/>
                  <w:vMerge w:val="continue"/>
                  <w:shd w:val="clear" w:color="auto" w:fill="auto"/>
                  <w:vAlign w:val="center"/>
                </w:tcPr>
                <w:p w14:paraId="5CA654A5">
                  <w:pPr>
                    <w:pStyle w:val="45"/>
                    <w:keepNext w:val="0"/>
                    <w:keepLines w:val="0"/>
                    <w:suppressLineNumbers w:val="0"/>
                    <w:bidi w:val="0"/>
                    <w:spacing w:before="0" w:beforeAutospacing="0" w:after="0" w:afterAutospacing="0"/>
                    <w:rPr>
                      <w:rFonts w:hint="default"/>
                      <w:lang w:val="en-US" w:eastAsia="zh-CN"/>
                    </w:rPr>
                  </w:pPr>
                </w:p>
              </w:tc>
              <w:tc>
                <w:tcPr>
                  <w:tcW w:w="232" w:type="pct"/>
                  <w:vMerge w:val="continue"/>
                  <w:shd w:val="clear" w:color="auto" w:fill="auto"/>
                  <w:vAlign w:val="center"/>
                </w:tcPr>
                <w:p w14:paraId="2F7875C8">
                  <w:pPr>
                    <w:pStyle w:val="45"/>
                    <w:keepNext w:val="0"/>
                    <w:keepLines w:val="0"/>
                    <w:suppressLineNumbers w:val="0"/>
                    <w:bidi w:val="0"/>
                    <w:spacing w:before="0" w:beforeAutospacing="0" w:after="0" w:afterAutospacing="0"/>
                    <w:rPr>
                      <w:rFonts w:hint="eastAsia"/>
                    </w:rPr>
                  </w:pPr>
                </w:p>
              </w:tc>
              <w:tc>
                <w:tcPr>
                  <w:tcW w:w="262" w:type="pct"/>
                  <w:vMerge w:val="continue"/>
                  <w:shd w:val="clear" w:color="auto" w:fill="auto"/>
                  <w:vAlign w:val="center"/>
                </w:tcPr>
                <w:p w14:paraId="445BAC4D">
                  <w:pPr>
                    <w:pStyle w:val="45"/>
                    <w:keepNext w:val="0"/>
                    <w:keepLines w:val="0"/>
                    <w:suppressLineNumbers w:val="0"/>
                    <w:bidi w:val="0"/>
                    <w:spacing w:before="0" w:beforeAutospacing="0" w:after="0" w:afterAutospacing="0"/>
                    <w:rPr>
                      <w:rFonts w:hint="eastAsia"/>
                    </w:rPr>
                  </w:pPr>
                </w:p>
              </w:tc>
              <w:tc>
                <w:tcPr>
                  <w:tcW w:w="258" w:type="pct"/>
                  <w:vMerge w:val="continue"/>
                  <w:shd w:val="clear" w:color="auto" w:fill="auto"/>
                  <w:vAlign w:val="center"/>
                </w:tcPr>
                <w:p w14:paraId="1F557C1F">
                  <w:pPr>
                    <w:pStyle w:val="45"/>
                    <w:keepNext w:val="0"/>
                    <w:keepLines w:val="0"/>
                    <w:suppressLineNumbers w:val="0"/>
                    <w:bidi w:val="0"/>
                    <w:spacing w:before="0" w:beforeAutospacing="0" w:after="0" w:afterAutospacing="0"/>
                    <w:rPr>
                      <w:rFonts w:hint="eastAsia"/>
                    </w:rPr>
                  </w:pPr>
                </w:p>
              </w:tc>
              <w:tc>
                <w:tcPr>
                  <w:tcW w:w="420" w:type="pct"/>
                  <w:shd w:val="clear" w:color="auto" w:fill="auto"/>
                  <w:vAlign w:val="center"/>
                </w:tcPr>
                <w:p w14:paraId="50547F3B">
                  <w:pPr>
                    <w:pStyle w:val="45"/>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r>
                    <w:rPr>
                      <w:rFonts w:hint="eastAsia"/>
                      <w:lang w:val="en-US" w:eastAsia="zh-CN"/>
                    </w:rPr>
                    <w:t>少量</w:t>
                  </w:r>
                </w:p>
              </w:tc>
              <w:tc>
                <w:tcPr>
                  <w:tcW w:w="420" w:type="pct"/>
                  <w:shd w:val="clear" w:color="auto" w:fill="auto"/>
                  <w:vAlign w:val="center"/>
                </w:tcPr>
                <w:p w14:paraId="2BA71E4C">
                  <w:pPr>
                    <w:pStyle w:val="45"/>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r>
                    <w:rPr>
                      <w:rFonts w:hint="eastAsia"/>
                      <w:lang w:val="en-US" w:eastAsia="zh-CN"/>
                    </w:rPr>
                    <w:t>少量</w:t>
                  </w:r>
                </w:p>
              </w:tc>
              <w:tc>
                <w:tcPr>
                  <w:tcW w:w="378" w:type="pct"/>
                  <w:shd w:val="clear" w:color="auto" w:fill="auto"/>
                  <w:vAlign w:val="center"/>
                </w:tcPr>
                <w:p w14:paraId="477B622C">
                  <w:pPr>
                    <w:pStyle w:val="45"/>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r>
                    <w:rPr>
                      <w:rFonts w:hint="eastAsia"/>
                      <w:lang w:val="en-US" w:eastAsia="zh-CN"/>
                    </w:rPr>
                    <w:t>少量</w:t>
                  </w:r>
                </w:p>
              </w:tc>
            </w:tr>
            <w:tr w14:paraId="62E5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jc w:val="center"/>
              </w:trPr>
              <w:tc>
                <w:tcPr>
                  <w:tcW w:w="164" w:type="pct"/>
                  <w:vMerge w:val="continue"/>
                  <w:shd w:val="clear" w:color="auto" w:fill="auto"/>
                  <w:vAlign w:val="center"/>
                </w:tcPr>
                <w:p w14:paraId="47909AD4">
                  <w:pPr>
                    <w:pStyle w:val="45"/>
                    <w:keepNext w:val="0"/>
                    <w:keepLines w:val="0"/>
                    <w:suppressLineNumbers w:val="0"/>
                    <w:bidi w:val="0"/>
                    <w:spacing w:before="0" w:beforeAutospacing="0" w:after="0" w:afterAutospacing="0"/>
                    <w:rPr>
                      <w:rFonts w:hint="eastAsia"/>
                    </w:rPr>
                  </w:pPr>
                </w:p>
              </w:tc>
              <w:tc>
                <w:tcPr>
                  <w:tcW w:w="238" w:type="pct"/>
                  <w:shd w:val="clear" w:color="auto" w:fill="auto"/>
                  <w:vAlign w:val="center"/>
                </w:tcPr>
                <w:p w14:paraId="6C116C4E">
                  <w:pPr>
                    <w:pStyle w:val="45"/>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DA002</w:t>
                  </w:r>
                </w:p>
              </w:tc>
              <w:tc>
                <w:tcPr>
                  <w:tcW w:w="270" w:type="pct"/>
                  <w:shd w:val="clear" w:color="auto" w:fill="auto"/>
                  <w:vAlign w:val="center"/>
                </w:tcPr>
                <w:p w14:paraId="4DEF3B4F">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食堂</w:t>
                  </w:r>
                </w:p>
              </w:tc>
              <w:tc>
                <w:tcPr>
                  <w:tcW w:w="382" w:type="pct"/>
                  <w:shd w:val="clear" w:color="auto" w:fill="auto"/>
                  <w:vAlign w:val="center"/>
                </w:tcPr>
                <w:p w14:paraId="08B19482">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油烟</w:t>
                  </w:r>
                </w:p>
              </w:tc>
              <w:tc>
                <w:tcPr>
                  <w:tcW w:w="357" w:type="pct"/>
                  <w:shd w:val="clear" w:color="auto" w:fill="auto"/>
                  <w:vAlign w:val="center"/>
                </w:tcPr>
                <w:p w14:paraId="36CE4DE2">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10.3</w:t>
                  </w:r>
                </w:p>
              </w:tc>
              <w:tc>
                <w:tcPr>
                  <w:tcW w:w="414" w:type="pct"/>
                  <w:shd w:val="clear" w:color="auto" w:fill="auto"/>
                  <w:vAlign w:val="center"/>
                </w:tcPr>
                <w:p w14:paraId="285DCBB2">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0.041</w:t>
                  </w:r>
                </w:p>
              </w:tc>
              <w:tc>
                <w:tcPr>
                  <w:tcW w:w="370" w:type="pct"/>
                  <w:shd w:val="clear" w:color="auto" w:fill="auto"/>
                  <w:vAlign w:val="center"/>
                </w:tcPr>
                <w:p w14:paraId="7D4A747F">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0.0602</w:t>
                  </w:r>
                </w:p>
              </w:tc>
              <w:tc>
                <w:tcPr>
                  <w:tcW w:w="276" w:type="pct"/>
                  <w:shd w:val="clear" w:color="auto" w:fill="auto"/>
                  <w:vAlign w:val="center"/>
                </w:tcPr>
                <w:p w14:paraId="1C136D79">
                  <w:pPr>
                    <w:pStyle w:val="45"/>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4000</w:t>
                  </w:r>
                </w:p>
              </w:tc>
              <w:tc>
                <w:tcPr>
                  <w:tcW w:w="351" w:type="pct"/>
                  <w:shd w:val="clear" w:color="auto" w:fill="auto"/>
                  <w:vAlign w:val="center"/>
                </w:tcPr>
                <w:p w14:paraId="5AD9A9A5">
                  <w:pPr>
                    <w:pStyle w:val="45"/>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油烟净化器</w:t>
                  </w:r>
                </w:p>
              </w:tc>
              <w:tc>
                <w:tcPr>
                  <w:tcW w:w="200" w:type="pct"/>
                  <w:shd w:val="clear" w:color="auto" w:fill="auto"/>
                  <w:vAlign w:val="center"/>
                </w:tcPr>
                <w:p w14:paraId="07B05D7B">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100</w:t>
                  </w:r>
                </w:p>
              </w:tc>
              <w:tc>
                <w:tcPr>
                  <w:tcW w:w="232" w:type="pct"/>
                  <w:shd w:val="clear" w:color="auto" w:fill="auto"/>
                  <w:vAlign w:val="center"/>
                </w:tcPr>
                <w:p w14:paraId="0231E0AF">
                  <w:pPr>
                    <w:pStyle w:val="45"/>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85</w:t>
                  </w:r>
                </w:p>
              </w:tc>
              <w:tc>
                <w:tcPr>
                  <w:tcW w:w="262" w:type="pct"/>
                  <w:shd w:val="clear" w:color="auto" w:fill="auto"/>
                  <w:vAlign w:val="center"/>
                </w:tcPr>
                <w:p w14:paraId="4EA245A8">
                  <w:pPr>
                    <w:pStyle w:val="45"/>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1460</w:t>
                  </w:r>
                </w:p>
              </w:tc>
              <w:tc>
                <w:tcPr>
                  <w:tcW w:w="258" w:type="pct"/>
                  <w:vMerge w:val="continue"/>
                  <w:shd w:val="clear" w:color="auto" w:fill="auto"/>
                  <w:vAlign w:val="center"/>
                </w:tcPr>
                <w:p w14:paraId="60B2C39F">
                  <w:pPr>
                    <w:pStyle w:val="45"/>
                    <w:keepNext w:val="0"/>
                    <w:keepLines w:val="0"/>
                    <w:suppressLineNumbers w:val="0"/>
                    <w:bidi w:val="0"/>
                    <w:spacing w:before="0" w:beforeAutospacing="0" w:after="0" w:afterAutospacing="0"/>
                    <w:rPr>
                      <w:rFonts w:hint="eastAsia"/>
                    </w:rPr>
                  </w:pPr>
                </w:p>
              </w:tc>
              <w:tc>
                <w:tcPr>
                  <w:tcW w:w="420" w:type="pct"/>
                  <w:shd w:val="clear" w:color="auto" w:fill="auto"/>
                  <w:vAlign w:val="center"/>
                </w:tcPr>
                <w:p w14:paraId="793DB4AB">
                  <w:pPr>
                    <w:pStyle w:val="45"/>
                    <w:keepNext w:val="0"/>
                    <w:keepLines w:val="0"/>
                    <w:suppressLineNumbers w:val="0"/>
                    <w:bidi w:val="0"/>
                    <w:spacing w:before="0" w:beforeAutospacing="0" w:after="0" w:afterAutospacing="0"/>
                    <w:ind w:left="24" w:leftChars="10" w:right="24" w:rightChars="10" w:firstLine="0" w:firstLineChars="0"/>
                    <w:rPr>
                      <w:rFonts w:hint="default"/>
                      <w:lang w:val="en-US" w:eastAsia="zh-CN"/>
                    </w:rPr>
                  </w:pPr>
                  <w:r>
                    <w:rPr>
                      <w:rFonts w:hint="eastAsia"/>
                      <w:lang w:val="en-US" w:eastAsia="zh-CN"/>
                    </w:rPr>
                    <w:t>0.0090</w:t>
                  </w:r>
                </w:p>
              </w:tc>
              <w:tc>
                <w:tcPr>
                  <w:tcW w:w="420" w:type="pct"/>
                  <w:shd w:val="clear" w:color="auto" w:fill="auto"/>
                  <w:vAlign w:val="center"/>
                </w:tcPr>
                <w:p w14:paraId="5E92B5FA">
                  <w:pPr>
                    <w:pStyle w:val="45"/>
                    <w:keepNext w:val="0"/>
                    <w:keepLines w:val="0"/>
                    <w:suppressLineNumbers w:val="0"/>
                    <w:bidi w:val="0"/>
                    <w:spacing w:before="0" w:beforeAutospacing="0" w:after="0" w:afterAutospacing="0"/>
                    <w:ind w:left="24" w:leftChars="10" w:right="24" w:rightChars="10" w:firstLine="0" w:firstLineChars="0"/>
                    <w:rPr>
                      <w:rFonts w:hint="default"/>
                      <w:lang w:val="en-US" w:eastAsia="zh-CN"/>
                    </w:rPr>
                  </w:pPr>
                  <w:r>
                    <w:rPr>
                      <w:rFonts w:hint="eastAsia"/>
                      <w:lang w:val="en-US" w:eastAsia="zh-CN"/>
                    </w:rPr>
                    <w:t>0.0062</w:t>
                  </w:r>
                </w:p>
              </w:tc>
              <w:tc>
                <w:tcPr>
                  <w:tcW w:w="378" w:type="pct"/>
                  <w:shd w:val="clear" w:color="auto" w:fill="auto"/>
                  <w:vAlign w:val="center"/>
                </w:tcPr>
                <w:p w14:paraId="40D0DE36">
                  <w:pPr>
                    <w:pStyle w:val="45"/>
                    <w:keepNext w:val="0"/>
                    <w:keepLines w:val="0"/>
                    <w:suppressLineNumbers w:val="0"/>
                    <w:bidi w:val="0"/>
                    <w:spacing w:before="0" w:beforeAutospacing="0" w:after="0" w:afterAutospacing="0"/>
                    <w:ind w:left="24" w:leftChars="10" w:right="24" w:rightChars="10" w:firstLine="0" w:firstLineChars="0"/>
                    <w:rPr>
                      <w:rFonts w:hint="default"/>
                      <w:lang w:val="en-US" w:eastAsia="zh-CN"/>
                    </w:rPr>
                  </w:pPr>
                  <w:r>
                    <w:rPr>
                      <w:rFonts w:hint="eastAsia"/>
                      <w:lang w:val="en-US" w:eastAsia="zh-CN"/>
                    </w:rPr>
                    <w:t>1.54</w:t>
                  </w:r>
                </w:p>
              </w:tc>
            </w:tr>
            <w:tr w14:paraId="6EAA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jc w:val="center"/>
              </w:trPr>
              <w:tc>
                <w:tcPr>
                  <w:tcW w:w="5000" w:type="pct"/>
                  <w:gridSpan w:val="16"/>
                  <w:shd w:val="clear" w:color="auto" w:fill="auto"/>
                  <w:vAlign w:val="center"/>
                </w:tcPr>
                <w:p w14:paraId="1035E903">
                  <w:pPr>
                    <w:pStyle w:val="45"/>
                    <w:keepNext w:val="0"/>
                    <w:keepLines w:val="0"/>
                    <w:suppressLineNumbers w:val="0"/>
                    <w:bidi w:val="0"/>
                    <w:spacing w:before="0" w:beforeAutospacing="0" w:after="0" w:afterAutospacing="0"/>
                    <w:jc w:val="left"/>
                    <w:rPr>
                      <w:rFonts w:hint="default"/>
                      <w:lang w:val="en-US" w:eastAsia="zh-CN"/>
                    </w:rPr>
                  </w:pPr>
                  <w:r>
                    <w:rPr>
                      <w:rFonts w:hint="eastAsia"/>
                      <w:b/>
                      <w:bCs/>
                      <w:sz w:val="18"/>
                      <w:szCs w:val="18"/>
                      <w:lang w:val="en-US" w:eastAsia="zh-CN"/>
                    </w:rPr>
                    <w:t>根据</w:t>
                  </w:r>
                  <w:r>
                    <w:rPr>
                      <w:rFonts w:hint="default"/>
                      <w:b/>
                      <w:bCs/>
                      <w:sz w:val="18"/>
                      <w:szCs w:val="18"/>
                      <w:lang w:val="en-US" w:eastAsia="zh-CN"/>
                    </w:rPr>
                    <w:t>《排污许可证与核发技术规范</w:t>
                  </w:r>
                  <w:r>
                    <w:rPr>
                      <w:rFonts w:hint="eastAsia"/>
                      <w:b/>
                      <w:bCs/>
                      <w:sz w:val="18"/>
                      <w:szCs w:val="18"/>
                      <w:lang w:val="en-US" w:eastAsia="zh-CN"/>
                    </w:rPr>
                    <w:t xml:space="preserve"> </w:t>
                  </w:r>
                  <w:r>
                    <w:rPr>
                      <w:rFonts w:hint="default"/>
                      <w:b/>
                      <w:bCs/>
                      <w:sz w:val="18"/>
                      <w:szCs w:val="18"/>
                      <w:lang w:val="en-US" w:eastAsia="zh-CN"/>
                    </w:rPr>
                    <w:t>医疗机构》</w:t>
                  </w:r>
                  <w:r>
                    <w:rPr>
                      <w:rFonts w:hint="eastAsia"/>
                      <w:b/>
                      <w:bCs/>
                      <w:sz w:val="18"/>
                      <w:szCs w:val="18"/>
                      <w:lang w:val="en-US" w:eastAsia="zh-CN"/>
                    </w:rPr>
                    <w:t>（HJ1105-2020），吸附法处理恶臭气体为可行技术</w:t>
                  </w:r>
                </w:p>
              </w:tc>
            </w:tr>
          </w:tbl>
          <w:p w14:paraId="4099984F">
            <w:pPr>
              <w:ind w:left="0" w:leftChars="0" w:firstLine="0" w:firstLineChars="0"/>
              <w:jc w:val="center"/>
              <w:rPr>
                <w:rFonts w:hint="eastAsia"/>
                <w:lang w:val="en-US" w:eastAsia="zh-CN"/>
              </w:rPr>
            </w:pPr>
            <w:r>
              <w:rPr>
                <w:rFonts w:ascii="宋体" w:hAnsi="宋体" w:eastAsia="宋体" w:cs="宋体"/>
                <w:b/>
                <w:bCs/>
                <w:spacing w:val="5"/>
                <w:sz w:val="24"/>
                <w:szCs w:val="24"/>
                <w:highlight w:val="none"/>
              </w:rPr>
              <w:t>表</w:t>
            </w:r>
            <w:r>
              <w:rPr>
                <w:rFonts w:hint="eastAsia" w:ascii="Times New Roman" w:hAnsi="Times New Roman" w:eastAsia="宋体" w:cs="Times New Roman"/>
                <w:b/>
                <w:bCs/>
                <w:spacing w:val="5"/>
                <w:sz w:val="24"/>
                <w:szCs w:val="24"/>
                <w:highlight w:val="none"/>
                <w:lang w:val="en-US" w:eastAsia="zh-CN"/>
              </w:rPr>
              <w:t>4-2</w:t>
            </w:r>
            <w:r>
              <w:rPr>
                <w:rFonts w:ascii="Times New Roman" w:hAnsi="Times New Roman" w:eastAsia="Times New Roman" w:cs="Times New Roman"/>
                <w:b/>
                <w:bCs/>
                <w:spacing w:val="5"/>
                <w:sz w:val="24"/>
                <w:szCs w:val="24"/>
                <w:highlight w:val="none"/>
              </w:rPr>
              <w:t xml:space="preserve">  </w:t>
            </w:r>
            <w:r>
              <w:rPr>
                <w:rFonts w:hint="eastAsia" w:ascii="宋体" w:hAnsi="宋体" w:cs="宋体"/>
                <w:b/>
                <w:bCs/>
                <w:spacing w:val="5"/>
                <w:sz w:val="24"/>
                <w:szCs w:val="24"/>
                <w:highlight w:val="none"/>
                <w:lang w:val="en-US" w:eastAsia="zh-CN"/>
              </w:rPr>
              <w:t>项目</w:t>
            </w:r>
            <w:r>
              <w:rPr>
                <w:rFonts w:ascii="宋体" w:hAnsi="宋体" w:eastAsia="宋体" w:cs="宋体"/>
                <w:b/>
                <w:bCs/>
                <w:spacing w:val="5"/>
                <w:sz w:val="24"/>
                <w:szCs w:val="24"/>
                <w:highlight w:val="none"/>
              </w:rPr>
              <w:t>废</w:t>
            </w:r>
            <w:r>
              <w:rPr>
                <w:rFonts w:ascii="宋体" w:hAnsi="宋体" w:eastAsia="宋体" w:cs="宋体"/>
                <w:b/>
                <w:bCs/>
                <w:spacing w:val="4"/>
                <w:sz w:val="24"/>
                <w:szCs w:val="24"/>
                <w:highlight w:val="none"/>
              </w:rPr>
              <w:t>气污染物产排情况一览表</w:t>
            </w:r>
            <w:r>
              <w:rPr>
                <w:rFonts w:hint="eastAsia" w:ascii="宋体" w:hAnsi="宋体" w:cs="宋体"/>
                <w:b/>
                <w:bCs/>
                <w:spacing w:val="4"/>
                <w:sz w:val="24"/>
                <w:szCs w:val="24"/>
                <w:highlight w:val="none"/>
                <w:lang w:eastAsia="zh-CN"/>
              </w:rPr>
              <w:t>（</w:t>
            </w:r>
            <w:r>
              <w:rPr>
                <w:rFonts w:hint="eastAsia" w:ascii="宋体" w:hAnsi="宋体" w:cs="宋体"/>
                <w:b/>
                <w:bCs/>
                <w:spacing w:val="4"/>
                <w:sz w:val="24"/>
                <w:szCs w:val="24"/>
                <w:highlight w:val="none"/>
                <w:lang w:val="en-US" w:eastAsia="zh-CN"/>
              </w:rPr>
              <w:t>无组织</w:t>
            </w:r>
            <w:r>
              <w:rPr>
                <w:rFonts w:hint="eastAsia" w:ascii="宋体" w:hAnsi="宋体" w:cs="宋体"/>
                <w:b/>
                <w:bCs/>
                <w:spacing w:val="4"/>
                <w:sz w:val="24"/>
                <w:szCs w:val="24"/>
                <w:highlight w:val="none"/>
                <w:lang w:eastAsia="zh-CN"/>
              </w:rPr>
              <w:t>）</w:t>
            </w:r>
          </w:p>
          <w:tbl>
            <w:tblPr>
              <w:tblStyle w:val="18"/>
              <w:tblW w:w="132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9"/>
              <w:gridCol w:w="1130"/>
              <w:gridCol w:w="1126"/>
              <w:gridCol w:w="1183"/>
              <w:gridCol w:w="1143"/>
              <w:gridCol w:w="1157"/>
              <w:gridCol w:w="1717"/>
              <w:gridCol w:w="1300"/>
              <w:gridCol w:w="1100"/>
              <w:gridCol w:w="1058"/>
              <w:gridCol w:w="1551"/>
            </w:tblGrid>
            <w:tr w14:paraId="2BB24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8FE83">
                  <w:pPr>
                    <w:pStyle w:val="45"/>
                    <w:keepNext w:val="0"/>
                    <w:keepLines w:val="0"/>
                    <w:suppressLineNumbers w:val="0"/>
                    <w:bidi w:val="0"/>
                    <w:spacing w:before="0" w:beforeAutospacing="0" w:after="0" w:afterAutospacing="0"/>
                    <w:rPr>
                      <w:rFonts w:hint="eastAsia"/>
                      <w:b/>
                      <w:bCs/>
                    </w:rPr>
                  </w:pPr>
                  <w:r>
                    <w:rPr>
                      <w:rFonts w:hint="eastAsia"/>
                      <w:b/>
                      <w:bCs/>
                      <w:lang w:val="en-US" w:eastAsia="zh-CN"/>
                    </w:rPr>
                    <w:t>排放源</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01602">
                  <w:pPr>
                    <w:pStyle w:val="45"/>
                    <w:keepNext w:val="0"/>
                    <w:keepLines w:val="0"/>
                    <w:suppressLineNumbers w:val="0"/>
                    <w:bidi w:val="0"/>
                    <w:spacing w:before="0" w:beforeAutospacing="0" w:after="0" w:afterAutospacing="0"/>
                    <w:rPr>
                      <w:rFonts w:hint="eastAsia"/>
                      <w:b/>
                      <w:bCs/>
                    </w:rPr>
                  </w:pPr>
                  <w:r>
                    <w:rPr>
                      <w:rFonts w:hint="eastAsia"/>
                      <w:b/>
                      <w:bCs/>
                      <w:lang w:val="en-US" w:eastAsia="zh-CN"/>
                    </w:rPr>
                    <w:t>污染源</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C66F9">
                  <w:pPr>
                    <w:pStyle w:val="45"/>
                    <w:keepNext w:val="0"/>
                    <w:keepLines w:val="0"/>
                    <w:suppressLineNumbers w:val="0"/>
                    <w:bidi w:val="0"/>
                    <w:spacing w:before="0" w:beforeAutospacing="0" w:after="0" w:afterAutospacing="0"/>
                    <w:rPr>
                      <w:rFonts w:hint="eastAsia"/>
                      <w:b/>
                      <w:bCs/>
                    </w:rPr>
                  </w:pPr>
                  <w:r>
                    <w:rPr>
                      <w:rFonts w:hint="eastAsia"/>
                      <w:b/>
                      <w:bCs/>
                      <w:lang w:val="en-US" w:eastAsia="zh-CN"/>
                    </w:rPr>
                    <w:t>产污工序</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14C8C">
                  <w:pPr>
                    <w:pStyle w:val="45"/>
                    <w:keepNext w:val="0"/>
                    <w:keepLines w:val="0"/>
                    <w:suppressLineNumbers w:val="0"/>
                    <w:bidi w:val="0"/>
                    <w:spacing w:before="0" w:beforeAutospacing="0" w:after="0" w:afterAutospacing="0"/>
                    <w:rPr>
                      <w:rFonts w:hint="eastAsia"/>
                      <w:b/>
                      <w:bCs/>
                    </w:rPr>
                  </w:pPr>
                  <w:r>
                    <w:rPr>
                      <w:rFonts w:hint="eastAsia"/>
                      <w:b/>
                      <w:bCs/>
                      <w:lang w:val="en-US" w:eastAsia="zh-CN"/>
                    </w:rPr>
                    <w:t>污染物</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D122C">
                  <w:pPr>
                    <w:pStyle w:val="45"/>
                    <w:keepNext w:val="0"/>
                    <w:keepLines w:val="0"/>
                    <w:suppressLineNumbers w:val="0"/>
                    <w:bidi w:val="0"/>
                    <w:spacing w:before="0" w:beforeAutospacing="0" w:after="0" w:afterAutospacing="0"/>
                    <w:rPr>
                      <w:rFonts w:hint="eastAsia"/>
                      <w:b/>
                      <w:bCs/>
                    </w:rPr>
                  </w:pPr>
                  <w:r>
                    <w:rPr>
                      <w:rFonts w:hint="eastAsia"/>
                      <w:b/>
                      <w:bCs/>
                      <w:lang w:val="en-US" w:eastAsia="zh-CN"/>
                    </w:rPr>
                    <w:t>年工作时间（</w:t>
                  </w:r>
                  <w:r>
                    <w:rPr>
                      <w:rFonts w:hint="default"/>
                      <w:b/>
                      <w:bCs/>
                      <w:lang w:val="en-US" w:eastAsia="zh-CN"/>
                    </w:rPr>
                    <w:t>h</w:t>
                  </w:r>
                  <w:r>
                    <w:rPr>
                      <w:rFonts w:hint="eastAsia"/>
                      <w:b/>
                      <w:bCs/>
                      <w:lang w:val="en-US" w:eastAsia="zh-CN"/>
                    </w:rPr>
                    <w:t>）</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33CEF0">
                  <w:pPr>
                    <w:pStyle w:val="45"/>
                    <w:keepNext w:val="0"/>
                    <w:keepLines w:val="0"/>
                    <w:suppressLineNumbers w:val="0"/>
                    <w:bidi w:val="0"/>
                    <w:spacing w:before="0" w:beforeAutospacing="0" w:after="0" w:afterAutospacing="0"/>
                    <w:rPr>
                      <w:rFonts w:hint="eastAsia"/>
                      <w:b/>
                      <w:bCs/>
                    </w:rPr>
                  </w:pPr>
                  <w:r>
                    <w:rPr>
                      <w:rFonts w:hint="eastAsia"/>
                      <w:b/>
                      <w:bCs/>
                      <w:lang w:val="en-US" w:eastAsia="zh-CN"/>
                    </w:rPr>
                    <w:t xml:space="preserve">产生量 </w:t>
                  </w:r>
                  <w:r>
                    <w:rPr>
                      <w:rFonts w:hint="default"/>
                      <w:b/>
                      <w:bCs/>
                      <w:lang w:val="en-US" w:eastAsia="zh-CN"/>
                    </w:rPr>
                    <w:t>t/a</w:t>
                  </w:r>
                </w:p>
              </w:tc>
              <w:tc>
                <w:tcPr>
                  <w:tcW w:w="6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603B7">
                  <w:pPr>
                    <w:pStyle w:val="45"/>
                    <w:keepNext w:val="0"/>
                    <w:keepLines w:val="0"/>
                    <w:suppressLineNumbers w:val="0"/>
                    <w:bidi w:val="0"/>
                    <w:spacing w:before="0" w:beforeAutospacing="0" w:after="0" w:afterAutospacing="0"/>
                    <w:rPr>
                      <w:rFonts w:hint="eastAsia"/>
                      <w:b/>
                      <w:bCs/>
                    </w:rPr>
                  </w:pPr>
                  <w:r>
                    <w:rPr>
                      <w:rFonts w:hint="eastAsia"/>
                      <w:b/>
                      <w:bCs/>
                      <w:lang w:val="en-US" w:eastAsia="zh-CN"/>
                    </w:rPr>
                    <w:t xml:space="preserve">排放速率 </w:t>
                  </w:r>
                  <w:r>
                    <w:rPr>
                      <w:rFonts w:hint="default"/>
                      <w:b/>
                      <w:bCs/>
                      <w:lang w:val="en-US" w:eastAsia="zh-CN"/>
                    </w:rPr>
                    <w:t>kg/h</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A7B5C">
                  <w:pPr>
                    <w:pStyle w:val="45"/>
                    <w:keepNext w:val="0"/>
                    <w:keepLines w:val="0"/>
                    <w:suppressLineNumbers w:val="0"/>
                    <w:bidi w:val="0"/>
                    <w:spacing w:before="0" w:beforeAutospacing="0" w:after="0" w:afterAutospacing="0"/>
                    <w:rPr>
                      <w:rFonts w:hint="eastAsia"/>
                      <w:b/>
                      <w:bCs/>
                    </w:rPr>
                  </w:pPr>
                  <w:r>
                    <w:rPr>
                      <w:rFonts w:hint="eastAsia"/>
                      <w:b/>
                      <w:bCs/>
                      <w:lang w:val="en-US" w:eastAsia="zh-CN"/>
                    </w:rPr>
                    <w:t xml:space="preserve">面源长度 </w:t>
                  </w:r>
                  <w:r>
                    <w:rPr>
                      <w:rFonts w:hint="default"/>
                      <w:b/>
                      <w:bCs/>
                      <w:lang w:val="en-US" w:eastAsia="zh-CN"/>
                    </w:rPr>
                    <w:t>m</w:t>
                  </w:r>
                </w:p>
              </w:tc>
              <w:tc>
                <w:tcPr>
                  <w:tcW w:w="4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8EA7A0">
                  <w:pPr>
                    <w:pStyle w:val="45"/>
                    <w:keepNext w:val="0"/>
                    <w:keepLines w:val="0"/>
                    <w:suppressLineNumbers w:val="0"/>
                    <w:bidi w:val="0"/>
                    <w:spacing w:before="0" w:beforeAutospacing="0" w:after="0" w:afterAutospacing="0"/>
                    <w:rPr>
                      <w:rFonts w:hint="eastAsia"/>
                      <w:b/>
                      <w:bCs/>
                    </w:rPr>
                  </w:pPr>
                  <w:r>
                    <w:rPr>
                      <w:rFonts w:hint="eastAsia"/>
                      <w:b/>
                      <w:bCs/>
                      <w:lang w:val="en-US" w:eastAsia="zh-CN"/>
                    </w:rPr>
                    <w:t xml:space="preserve">面源宽度 </w:t>
                  </w:r>
                  <w:r>
                    <w:rPr>
                      <w:rFonts w:hint="default"/>
                      <w:b/>
                      <w:bCs/>
                      <w:lang w:val="en-US" w:eastAsia="zh-CN"/>
                    </w:rPr>
                    <w:t>m</w:t>
                  </w:r>
                </w:p>
              </w:tc>
              <w:tc>
                <w:tcPr>
                  <w:tcW w:w="3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19E9B">
                  <w:pPr>
                    <w:pStyle w:val="45"/>
                    <w:keepNext w:val="0"/>
                    <w:keepLines w:val="0"/>
                    <w:suppressLineNumbers w:val="0"/>
                    <w:bidi w:val="0"/>
                    <w:spacing w:before="0" w:beforeAutospacing="0" w:after="0" w:afterAutospacing="0"/>
                    <w:rPr>
                      <w:rFonts w:hint="eastAsia"/>
                      <w:b/>
                      <w:bCs/>
                    </w:rPr>
                  </w:pPr>
                  <w:r>
                    <w:rPr>
                      <w:rFonts w:hint="eastAsia"/>
                      <w:b/>
                      <w:bCs/>
                      <w:lang w:val="en-US" w:eastAsia="zh-CN"/>
                    </w:rPr>
                    <w:t xml:space="preserve">面源高度 </w:t>
                  </w:r>
                  <w:r>
                    <w:rPr>
                      <w:rFonts w:hint="default"/>
                      <w:b/>
                      <w:bCs/>
                      <w:lang w:val="en-US" w:eastAsia="zh-CN"/>
                    </w:rPr>
                    <w:t>m</w:t>
                  </w:r>
                </w:p>
              </w:tc>
              <w:tc>
                <w:tcPr>
                  <w:tcW w:w="5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E40B5">
                  <w:pPr>
                    <w:pStyle w:val="45"/>
                    <w:keepNext w:val="0"/>
                    <w:keepLines w:val="0"/>
                    <w:suppressLineNumbers w:val="0"/>
                    <w:bidi w:val="0"/>
                    <w:spacing w:before="0" w:beforeAutospacing="0" w:after="0" w:afterAutospacing="0"/>
                    <w:rPr>
                      <w:rFonts w:hint="eastAsia"/>
                      <w:b/>
                      <w:bCs/>
                    </w:rPr>
                  </w:pPr>
                  <w:r>
                    <w:rPr>
                      <w:rFonts w:hint="eastAsia"/>
                      <w:b/>
                      <w:bCs/>
                      <w:lang w:val="en-US" w:eastAsia="zh-CN"/>
                    </w:rPr>
                    <w:t xml:space="preserve">执行标准 </w:t>
                  </w:r>
                  <w:r>
                    <w:rPr>
                      <w:rFonts w:hint="default"/>
                      <w:b/>
                      <w:bCs/>
                      <w:lang w:val="en-US" w:eastAsia="zh-CN"/>
                    </w:rPr>
                    <w:t>mg/m³</w:t>
                  </w:r>
                </w:p>
              </w:tc>
            </w:tr>
            <w:tr w14:paraId="235AB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7AD11">
                  <w:pPr>
                    <w:pStyle w:val="45"/>
                    <w:keepNext w:val="0"/>
                    <w:keepLines w:val="0"/>
                    <w:suppressLineNumbers w:val="0"/>
                    <w:bidi w:val="0"/>
                    <w:spacing w:before="0" w:beforeAutospacing="0" w:after="0" w:afterAutospacing="0"/>
                    <w:rPr>
                      <w:rFonts w:hint="eastAsia"/>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F4DF4">
                  <w:pPr>
                    <w:pStyle w:val="45"/>
                    <w:keepNext w:val="0"/>
                    <w:keepLines w:val="0"/>
                    <w:suppressLineNumbers w:val="0"/>
                    <w:bidi w:val="0"/>
                    <w:spacing w:before="0" w:beforeAutospacing="0" w:after="0" w:afterAutospacing="0"/>
                    <w:rPr>
                      <w:rFonts w:hint="eastAsia"/>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9C694">
                  <w:pPr>
                    <w:pStyle w:val="45"/>
                    <w:keepNext w:val="0"/>
                    <w:keepLines w:val="0"/>
                    <w:suppressLineNumbers w:val="0"/>
                    <w:bidi w:val="0"/>
                    <w:spacing w:before="0" w:beforeAutospacing="0" w:after="0" w:afterAutospacing="0"/>
                    <w:rPr>
                      <w:rFonts w:hint="eastAsia"/>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17989">
                  <w:pPr>
                    <w:pStyle w:val="45"/>
                    <w:keepNext w:val="0"/>
                    <w:keepLines w:val="0"/>
                    <w:suppressLineNumbers w:val="0"/>
                    <w:bidi w:val="0"/>
                    <w:spacing w:before="0" w:beforeAutospacing="0" w:after="0" w:afterAutospacing="0"/>
                    <w:rPr>
                      <w:rFonts w:hint="eastAsia"/>
                    </w:rPr>
                  </w:pP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9F212">
                  <w:pPr>
                    <w:pStyle w:val="45"/>
                    <w:keepNext w:val="0"/>
                    <w:keepLines w:val="0"/>
                    <w:suppressLineNumbers w:val="0"/>
                    <w:bidi w:val="0"/>
                    <w:spacing w:before="0" w:beforeAutospacing="0" w:after="0" w:afterAutospacing="0"/>
                    <w:rPr>
                      <w:rFonts w:hint="eastAsia"/>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2FE40">
                  <w:pPr>
                    <w:pStyle w:val="45"/>
                    <w:keepNext w:val="0"/>
                    <w:keepLines w:val="0"/>
                    <w:suppressLineNumbers w:val="0"/>
                    <w:bidi w:val="0"/>
                    <w:spacing w:before="0" w:beforeAutospacing="0" w:after="0" w:afterAutospacing="0"/>
                    <w:rPr>
                      <w:rFonts w:hint="eastAsia"/>
                    </w:rPr>
                  </w:pPr>
                </w:p>
              </w:tc>
              <w:tc>
                <w:tcPr>
                  <w:tcW w:w="6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5E6B6">
                  <w:pPr>
                    <w:pStyle w:val="45"/>
                    <w:keepNext w:val="0"/>
                    <w:keepLines w:val="0"/>
                    <w:suppressLineNumbers w:val="0"/>
                    <w:bidi w:val="0"/>
                    <w:spacing w:before="0" w:beforeAutospacing="0" w:after="0" w:afterAutospacing="0"/>
                    <w:rPr>
                      <w:rFonts w:hint="eastAsia"/>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85A2E">
                  <w:pPr>
                    <w:pStyle w:val="45"/>
                    <w:keepNext w:val="0"/>
                    <w:keepLines w:val="0"/>
                    <w:suppressLineNumbers w:val="0"/>
                    <w:bidi w:val="0"/>
                    <w:spacing w:before="0" w:beforeAutospacing="0" w:after="0" w:afterAutospacing="0"/>
                    <w:rPr>
                      <w:rFonts w:hint="eastAsia"/>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1B321">
                  <w:pPr>
                    <w:pStyle w:val="45"/>
                    <w:keepNext w:val="0"/>
                    <w:keepLines w:val="0"/>
                    <w:suppressLineNumbers w:val="0"/>
                    <w:bidi w:val="0"/>
                    <w:spacing w:before="0" w:beforeAutospacing="0" w:after="0" w:afterAutospacing="0"/>
                    <w:rPr>
                      <w:rFonts w:hint="eastAsia"/>
                    </w:rPr>
                  </w:pPr>
                </w:p>
              </w:tc>
              <w:tc>
                <w:tcPr>
                  <w:tcW w:w="3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0067D">
                  <w:pPr>
                    <w:pStyle w:val="45"/>
                    <w:keepNext w:val="0"/>
                    <w:keepLines w:val="0"/>
                    <w:suppressLineNumbers w:val="0"/>
                    <w:bidi w:val="0"/>
                    <w:spacing w:before="0" w:beforeAutospacing="0" w:after="0" w:afterAutospacing="0"/>
                    <w:rPr>
                      <w:rFonts w:hint="eastAsia"/>
                    </w:rPr>
                  </w:pP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3108E">
                  <w:pPr>
                    <w:pStyle w:val="45"/>
                    <w:keepNext w:val="0"/>
                    <w:keepLines w:val="0"/>
                    <w:suppressLineNumbers w:val="0"/>
                    <w:bidi w:val="0"/>
                    <w:spacing w:before="0" w:beforeAutospacing="0" w:after="0" w:afterAutospacing="0"/>
                    <w:rPr>
                      <w:rFonts w:hint="eastAsia"/>
                    </w:rPr>
                  </w:pPr>
                </w:p>
              </w:tc>
            </w:tr>
            <w:tr w14:paraId="5D145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0" w:hRule="atLeast"/>
                <w:jc w:val="center"/>
              </w:trPr>
              <w:tc>
                <w:tcPr>
                  <w:tcW w:w="308" w:type="pct"/>
                  <w:vMerge w:val="restart"/>
                  <w:tcBorders>
                    <w:top w:val="single" w:color="000000" w:sz="4" w:space="0"/>
                    <w:left w:val="single" w:color="000000" w:sz="4" w:space="0"/>
                    <w:right w:val="single" w:color="000000" w:sz="4" w:space="0"/>
                  </w:tcBorders>
                  <w:shd w:val="clear" w:color="auto" w:fill="auto"/>
                  <w:vAlign w:val="center"/>
                </w:tcPr>
                <w:p w14:paraId="2139C287">
                  <w:pPr>
                    <w:pStyle w:val="45"/>
                    <w:keepNext w:val="0"/>
                    <w:keepLines w:val="0"/>
                    <w:suppressLineNumbers w:val="0"/>
                    <w:bidi w:val="0"/>
                    <w:spacing w:before="0" w:beforeAutospacing="0" w:after="0" w:afterAutospacing="0"/>
                    <w:rPr>
                      <w:rFonts w:hint="eastAsia"/>
                    </w:rPr>
                  </w:pPr>
                  <w:r>
                    <w:rPr>
                      <w:rFonts w:hint="eastAsia"/>
                      <w:lang w:val="en-US" w:eastAsia="zh-CN"/>
                    </w:rPr>
                    <w:t>无组织</w:t>
                  </w:r>
                </w:p>
              </w:tc>
              <w:tc>
                <w:tcPr>
                  <w:tcW w:w="425" w:type="pct"/>
                  <w:vMerge w:val="restart"/>
                  <w:tcBorders>
                    <w:top w:val="single" w:color="000000" w:sz="4" w:space="0"/>
                    <w:left w:val="single" w:color="000000" w:sz="4" w:space="0"/>
                    <w:right w:val="single" w:color="000000" w:sz="4" w:space="0"/>
                  </w:tcBorders>
                  <w:shd w:val="clear" w:color="auto" w:fill="auto"/>
                  <w:vAlign w:val="center"/>
                </w:tcPr>
                <w:p w14:paraId="200412F8">
                  <w:pPr>
                    <w:pStyle w:val="45"/>
                    <w:keepNext w:val="0"/>
                    <w:keepLines w:val="0"/>
                    <w:suppressLineNumbers w:val="0"/>
                    <w:bidi w:val="0"/>
                    <w:spacing w:before="0" w:beforeAutospacing="0" w:after="0" w:afterAutospacing="0"/>
                    <w:rPr>
                      <w:rFonts w:hint="default"/>
                      <w:lang w:val="en-US"/>
                    </w:rPr>
                  </w:pPr>
                  <w:r>
                    <w:rPr>
                      <w:rFonts w:hint="eastAsia"/>
                      <w:lang w:val="en-US" w:eastAsia="zh-CN"/>
                    </w:rPr>
                    <w:t>污水处理站</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8774311">
                  <w:pPr>
                    <w:pStyle w:val="45"/>
                    <w:keepNext w:val="0"/>
                    <w:keepLines w:val="0"/>
                    <w:suppressLineNumbers w:val="0"/>
                    <w:bidi w:val="0"/>
                    <w:spacing w:before="0" w:beforeAutospacing="0" w:after="0" w:afterAutospacing="0"/>
                    <w:rPr>
                      <w:rFonts w:hint="default" w:eastAsia="宋体"/>
                      <w:lang w:val="en-US" w:eastAsia="zh-CN"/>
                    </w:rPr>
                  </w:pPr>
                  <w:r>
                    <w:rPr>
                      <w:rFonts w:hint="eastAsia" w:eastAsia="宋体"/>
                      <w:lang w:val="en-US" w:eastAsia="zh-CN"/>
                    </w:rPr>
                    <w:t>污水处理</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A0014">
                  <w:pPr>
                    <w:pStyle w:val="45"/>
                    <w:keepNext w:val="0"/>
                    <w:keepLines w:val="0"/>
                    <w:suppressLineNumbers w:val="0"/>
                    <w:bidi w:val="0"/>
                    <w:spacing w:before="0" w:beforeAutospacing="0" w:after="0" w:afterAutospacing="0"/>
                    <w:rPr>
                      <w:rFonts w:hint="eastAsia"/>
                    </w:rPr>
                  </w:pPr>
                  <w:r>
                    <w:rPr>
                      <w:rFonts w:hint="eastAsia"/>
                      <w:lang w:val="en-US" w:eastAsia="zh-CN"/>
                    </w:rPr>
                    <w:t>氨</w:t>
                  </w:r>
                </w:p>
              </w:tc>
              <w:tc>
                <w:tcPr>
                  <w:tcW w:w="430" w:type="pct"/>
                  <w:vMerge w:val="restart"/>
                  <w:tcBorders>
                    <w:top w:val="single" w:color="000000" w:sz="4" w:space="0"/>
                    <w:left w:val="single" w:color="000000" w:sz="4" w:space="0"/>
                    <w:right w:val="single" w:color="000000" w:sz="4" w:space="0"/>
                  </w:tcBorders>
                  <w:shd w:val="clear" w:color="auto" w:fill="auto"/>
                  <w:vAlign w:val="center"/>
                </w:tcPr>
                <w:p w14:paraId="1AB47BE3">
                  <w:pPr>
                    <w:pStyle w:val="45"/>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8760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77BDD">
                  <w:pPr>
                    <w:pStyle w:val="45"/>
                    <w:keepNext w:val="0"/>
                    <w:keepLines w:val="0"/>
                    <w:suppressLineNumbers w:val="0"/>
                    <w:bidi w:val="0"/>
                    <w:spacing w:before="0" w:beforeAutospacing="0" w:after="0" w:afterAutospacing="0"/>
                    <w:rPr>
                      <w:rFonts w:hint="default"/>
                      <w:lang w:val="en-US"/>
                    </w:rPr>
                  </w:pPr>
                  <w:r>
                    <w:rPr>
                      <w:rFonts w:hint="eastAsia"/>
                      <w:lang w:val="en-US" w:eastAsia="zh-CN"/>
                    </w:rPr>
                    <w:t>0.0007</w:t>
                  </w:r>
                </w:p>
              </w:tc>
              <w:tc>
                <w:tcPr>
                  <w:tcW w:w="6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AD15D">
                  <w:pPr>
                    <w:pStyle w:val="45"/>
                    <w:keepNext w:val="0"/>
                    <w:keepLines w:val="0"/>
                    <w:suppressLineNumbers w:val="0"/>
                    <w:bidi w:val="0"/>
                    <w:spacing w:before="0" w:beforeAutospacing="0" w:after="0" w:afterAutospacing="0"/>
                    <w:rPr>
                      <w:rFonts w:hint="default"/>
                      <w:lang w:val="en-US"/>
                    </w:rPr>
                  </w:pPr>
                  <w:r>
                    <w:rPr>
                      <w:rFonts w:hint="eastAsia"/>
                      <w:lang w:val="en-US" w:eastAsia="zh-CN"/>
                    </w:rPr>
                    <w:t>0.00008</w:t>
                  </w:r>
                </w:p>
              </w:tc>
              <w:tc>
                <w:tcPr>
                  <w:tcW w:w="489" w:type="pct"/>
                  <w:vMerge w:val="restart"/>
                  <w:tcBorders>
                    <w:top w:val="single" w:color="000000" w:sz="4" w:space="0"/>
                    <w:left w:val="single" w:color="000000" w:sz="4" w:space="0"/>
                    <w:right w:val="single" w:color="000000" w:sz="4" w:space="0"/>
                  </w:tcBorders>
                  <w:shd w:val="clear" w:color="auto" w:fill="auto"/>
                  <w:vAlign w:val="center"/>
                </w:tcPr>
                <w:p w14:paraId="1938AB6F">
                  <w:pPr>
                    <w:pStyle w:val="45"/>
                    <w:keepNext w:val="0"/>
                    <w:keepLines w:val="0"/>
                    <w:suppressLineNumbers w:val="0"/>
                    <w:bidi w:val="0"/>
                    <w:spacing w:before="0" w:beforeAutospacing="0" w:after="0" w:afterAutospacing="0"/>
                    <w:rPr>
                      <w:rFonts w:hint="default"/>
                      <w:lang w:val="en-US"/>
                    </w:rPr>
                  </w:pPr>
                  <w:r>
                    <w:rPr>
                      <w:rFonts w:hint="eastAsia"/>
                      <w:lang w:val="en-US" w:eastAsia="zh-CN"/>
                    </w:rPr>
                    <w:t>13.9</w:t>
                  </w:r>
                </w:p>
              </w:tc>
              <w:tc>
                <w:tcPr>
                  <w:tcW w:w="414" w:type="pct"/>
                  <w:vMerge w:val="restart"/>
                  <w:tcBorders>
                    <w:top w:val="single" w:color="000000" w:sz="4" w:space="0"/>
                    <w:left w:val="single" w:color="000000" w:sz="4" w:space="0"/>
                    <w:right w:val="single" w:color="000000" w:sz="4" w:space="0"/>
                  </w:tcBorders>
                  <w:shd w:val="clear" w:color="auto" w:fill="auto"/>
                  <w:vAlign w:val="center"/>
                </w:tcPr>
                <w:p w14:paraId="7F26599E">
                  <w:pPr>
                    <w:pStyle w:val="45"/>
                    <w:keepNext w:val="0"/>
                    <w:keepLines w:val="0"/>
                    <w:suppressLineNumbers w:val="0"/>
                    <w:bidi w:val="0"/>
                    <w:spacing w:before="0" w:beforeAutospacing="0" w:after="0" w:afterAutospacing="0"/>
                    <w:rPr>
                      <w:rFonts w:hint="default"/>
                      <w:lang w:val="en-US"/>
                    </w:rPr>
                  </w:pPr>
                  <w:r>
                    <w:rPr>
                      <w:rFonts w:hint="eastAsia"/>
                      <w:lang w:val="en-US" w:eastAsia="zh-CN"/>
                    </w:rPr>
                    <w:t>7.4</w:t>
                  </w:r>
                </w:p>
              </w:tc>
              <w:tc>
                <w:tcPr>
                  <w:tcW w:w="398" w:type="pct"/>
                  <w:vMerge w:val="restart"/>
                  <w:tcBorders>
                    <w:top w:val="single" w:color="000000" w:sz="4" w:space="0"/>
                    <w:left w:val="single" w:color="000000" w:sz="4" w:space="0"/>
                    <w:right w:val="single" w:color="000000" w:sz="4" w:space="0"/>
                  </w:tcBorders>
                  <w:shd w:val="clear" w:color="auto" w:fill="auto"/>
                  <w:vAlign w:val="center"/>
                </w:tcPr>
                <w:p w14:paraId="4847AF5F">
                  <w:pPr>
                    <w:pStyle w:val="45"/>
                    <w:keepNext w:val="0"/>
                    <w:keepLines w:val="0"/>
                    <w:suppressLineNumbers w:val="0"/>
                    <w:bidi w:val="0"/>
                    <w:spacing w:before="0" w:beforeAutospacing="0" w:after="0" w:afterAutospacing="0"/>
                    <w:rPr>
                      <w:rFonts w:hint="default"/>
                      <w:lang w:val="en-US"/>
                    </w:rPr>
                  </w:pPr>
                  <w:r>
                    <w:rPr>
                      <w:rFonts w:hint="eastAsia"/>
                      <w:lang w:val="en-US" w:eastAsia="zh-CN"/>
                    </w:rPr>
                    <w:t>3.5</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31938">
                  <w:pPr>
                    <w:pStyle w:val="45"/>
                    <w:keepNext w:val="0"/>
                    <w:keepLines w:val="0"/>
                    <w:suppressLineNumbers w:val="0"/>
                    <w:bidi w:val="0"/>
                    <w:spacing w:before="0" w:beforeAutospacing="0" w:after="0" w:afterAutospacing="0"/>
                    <w:rPr>
                      <w:rFonts w:hint="default"/>
                      <w:lang w:val="en-US"/>
                    </w:rPr>
                  </w:pPr>
                  <w:r>
                    <w:rPr>
                      <w:rFonts w:hint="eastAsia"/>
                      <w:lang w:val="en-US" w:eastAsia="zh-CN"/>
                    </w:rPr>
                    <w:t>1.0</w:t>
                  </w:r>
                </w:p>
              </w:tc>
            </w:tr>
            <w:tr w14:paraId="6E3FD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308" w:type="pct"/>
                  <w:vMerge w:val="continue"/>
                  <w:tcBorders>
                    <w:left w:val="single" w:color="000000" w:sz="4" w:space="0"/>
                    <w:right w:val="single" w:color="000000" w:sz="4" w:space="0"/>
                  </w:tcBorders>
                  <w:shd w:val="clear" w:color="auto" w:fill="auto"/>
                  <w:vAlign w:val="center"/>
                </w:tcPr>
                <w:p w14:paraId="4696B628">
                  <w:pPr>
                    <w:pStyle w:val="45"/>
                    <w:keepNext w:val="0"/>
                    <w:keepLines w:val="0"/>
                    <w:suppressLineNumbers w:val="0"/>
                    <w:bidi w:val="0"/>
                    <w:spacing w:before="0" w:beforeAutospacing="0" w:after="0" w:afterAutospacing="0"/>
                    <w:rPr>
                      <w:rFonts w:hint="eastAsia"/>
                      <w:lang w:val="en-US" w:eastAsia="zh-CN"/>
                    </w:rPr>
                  </w:pPr>
                </w:p>
              </w:tc>
              <w:tc>
                <w:tcPr>
                  <w:tcW w:w="425" w:type="pct"/>
                  <w:vMerge w:val="continue"/>
                  <w:tcBorders>
                    <w:left w:val="single" w:color="000000" w:sz="4" w:space="0"/>
                    <w:right w:val="single" w:color="000000" w:sz="4" w:space="0"/>
                  </w:tcBorders>
                  <w:shd w:val="clear" w:color="auto" w:fill="auto"/>
                  <w:vAlign w:val="center"/>
                </w:tcPr>
                <w:p w14:paraId="308036D9">
                  <w:pPr>
                    <w:pStyle w:val="45"/>
                    <w:keepNext w:val="0"/>
                    <w:keepLines w:val="0"/>
                    <w:suppressLineNumbers w:val="0"/>
                    <w:bidi w:val="0"/>
                    <w:spacing w:before="0" w:beforeAutospacing="0" w:after="0" w:afterAutospacing="0"/>
                    <w:rPr>
                      <w:rFonts w:hint="eastAsia"/>
                      <w:lang w:val="en-US" w:eastAsia="zh-CN"/>
                    </w:rPr>
                  </w:pPr>
                </w:p>
              </w:tc>
              <w:tc>
                <w:tcPr>
                  <w:tcW w:w="423" w:type="pct"/>
                  <w:vMerge w:val="continue"/>
                  <w:tcBorders>
                    <w:left w:val="single" w:color="000000" w:sz="4" w:space="0"/>
                    <w:right w:val="single" w:color="000000" w:sz="4" w:space="0"/>
                  </w:tcBorders>
                  <w:shd w:val="clear" w:color="auto" w:fill="auto"/>
                  <w:vAlign w:val="center"/>
                </w:tcPr>
                <w:p w14:paraId="28A84149">
                  <w:pPr>
                    <w:pStyle w:val="45"/>
                    <w:keepNext w:val="0"/>
                    <w:keepLines w:val="0"/>
                    <w:suppressLineNumbers w:val="0"/>
                    <w:bidi w:val="0"/>
                    <w:spacing w:before="0" w:beforeAutospacing="0" w:after="0" w:afterAutospacing="0"/>
                    <w:rPr>
                      <w:rFonts w:hint="eastAsia" w:eastAsia="宋体"/>
                      <w:lang w:val="en-US" w:eastAsia="zh-CN"/>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E4806">
                  <w:pPr>
                    <w:pStyle w:val="45"/>
                    <w:keepNext w:val="0"/>
                    <w:keepLines w:val="0"/>
                    <w:suppressLineNumbers w:val="0"/>
                    <w:bidi w:val="0"/>
                    <w:spacing w:before="0" w:beforeAutospacing="0" w:after="0" w:afterAutospacing="0"/>
                    <w:rPr>
                      <w:rFonts w:hint="eastAsia"/>
                      <w:lang w:val="en-US" w:eastAsia="zh-CN"/>
                    </w:rPr>
                  </w:pPr>
                  <w:r>
                    <w:rPr>
                      <w:rFonts w:hint="eastAsia"/>
                      <w:lang w:val="en-US" w:eastAsia="zh-CN"/>
                    </w:rPr>
                    <w:t>硫化氢</w:t>
                  </w:r>
                </w:p>
              </w:tc>
              <w:tc>
                <w:tcPr>
                  <w:tcW w:w="430" w:type="pct"/>
                  <w:vMerge w:val="continue"/>
                  <w:tcBorders>
                    <w:left w:val="single" w:color="000000" w:sz="4" w:space="0"/>
                    <w:right w:val="single" w:color="000000" w:sz="4" w:space="0"/>
                  </w:tcBorders>
                  <w:shd w:val="clear" w:color="auto" w:fill="auto"/>
                  <w:vAlign w:val="center"/>
                </w:tcPr>
                <w:p w14:paraId="75D1B642">
                  <w:pPr>
                    <w:pStyle w:val="45"/>
                    <w:keepNext w:val="0"/>
                    <w:keepLines w:val="0"/>
                    <w:suppressLineNumbers w:val="0"/>
                    <w:bidi w:val="0"/>
                    <w:spacing w:before="0" w:beforeAutospacing="0" w:after="0" w:afterAutospacing="0"/>
                    <w:rPr>
                      <w:rFonts w:hint="eastAsia"/>
                      <w:lang w:val="en-US" w:eastAsia="zh-CN"/>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F6998">
                  <w:pPr>
                    <w:pStyle w:val="45"/>
                    <w:keepNext w:val="0"/>
                    <w:keepLines w:val="0"/>
                    <w:suppressLineNumbers w:val="0"/>
                    <w:bidi w:val="0"/>
                    <w:spacing w:before="0" w:beforeAutospacing="0" w:after="0" w:afterAutospacing="0"/>
                    <w:ind w:left="24" w:leftChars="10" w:right="24" w:rightChars="10" w:firstLine="0" w:firstLineChars="0"/>
                    <w:rPr>
                      <w:rFonts w:hint="eastAsia" w:ascii="宋体" w:hAnsi="Courier New" w:eastAsia="宋体" w:cs="宋体"/>
                      <w:b w:val="0"/>
                      <w:spacing w:val="-2"/>
                      <w:kern w:val="0"/>
                      <w:sz w:val="21"/>
                      <w:szCs w:val="21"/>
                      <w:lang w:val="en-US" w:eastAsia="zh-CN" w:bidi="ar-SA"/>
                    </w:rPr>
                  </w:pPr>
                  <w:r>
                    <w:rPr>
                      <w:rFonts w:hint="eastAsia"/>
                      <w:lang w:val="en-US" w:eastAsia="zh-CN"/>
                    </w:rPr>
                    <w:t>0.00002</w:t>
                  </w:r>
                </w:p>
              </w:tc>
              <w:tc>
                <w:tcPr>
                  <w:tcW w:w="6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1086D">
                  <w:pPr>
                    <w:pStyle w:val="45"/>
                    <w:keepNext w:val="0"/>
                    <w:keepLines w:val="0"/>
                    <w:suppressLineNumbers w:val="0"/>
                    <w:bidi w:val="0"/>
                    <w:spacing w:before="0" w:beforeAutospacing="0" w:after="0" w:afterAutospacing="0"/>
                    <w:ind w:left="24" w:leftChars="10" w:right="24" w:rightChars="10" w:firstLine="0" w:firstLineChars="0"/>
                    <w:rPr>
                      <w:rFonts w:hint="eastAsia" w:ascii="宋体" w:hAnsi="Courier New" w:eastAsia="宋体" w:cs="宋体"/>
                      <w:b w:val="0"/>
                      <w:spacing w:val="-2"/>
                      <w:kern w:val="0"/>
                      <w:sz w:val="21"/>
                      <w:szCs w:val="21"/>
                      <w:lang w:val="en-US" w:eastAsia="zh-CN" w:bidi="ar-SA"/>
                    </w:rPr>
                  </w:pPr>
                  <w:r>
                    <w:rPr>
                      <w:rFonts w:hint="eastAsia"/>
                      <w:lang w:val="en-US" w:eastAsia="zh-CN"/>
                    </w:rPr>
                    <w:t>0.000002</w:t>
                  </w:r>
                </w:p>
              </w:tc>
              <w:tc>
                <w:tcPr>
                  <w:tcW w:w="489" w:type="pct"/>
                  <w:vMerge w:val="continue"/>
                  <w:tcBorders>
                    <w:left w:val="single" w:color="000000" w:sz="4" w:space="0"/>
                    <w:right w:val="single" w:color="000000" w:sz="4" w:space="0"/>
                  </w:tcBorders>
                  <w:shd w:val="clear" w:color="auto" w:fill="auto"/>
                  <w:vAlign w:val="center"/>
                </w:tcPr>
                <w:p w14:paraId="2ADEBAF2">
                  <w:pPr>
                    <w:pStyle w:val="45"/>
                    <w:keepNext w:val="0"/>
                    <w:keepLines w:val="0"/>
                    <w:suppressLineNumbers w:val="0"/>
                    <w:bidi w:val="0"/>
                    <w:spacing w:before="0" w:beforeAutospacing="0" w:after="0" w:afterAutospacing="0"/>
                    <w:rPr>
                      <w:rFonts w:hint="eastAsia"/>
                      <w:lang w:val="en-US" w:eastAsia="zh-CN"/>
                    </w:rPr>
                  </w:pPr>
                </w:p>
              </w:tc>
              <w:tc>
                <w:tcPr>
                  <w:tcW w:w="414" w:type="pct"/>
                  <w:vMerge w:val="continue"/>
                  <w:tcBorders>
                    <w:left w:val="single" w:color="000000" w:sz="4" w:space="0"/>
                    <w:right w:val="single" w:color="000000" w:sz="4" w:space="0"/>
                  </w:tcBorders>
                  <w:shd w:val="clear" w:color="auto" w:fill="auto"/>
                  <w:vAlign w:val="center"/>
                </w:tcPr>
                <w:p w14:paraId="7E40BA25">
                  <w:pPr>
                    <w:pStyle w:val="45"/>
                    <w:keepNext w:val="0"/>
                    <w:keepLines w:val="0"/>
                    <w:suppressLineNumbers w:val="0"/>
                    <w:bidi w:val="0"/>
                    <w:spacing w:before="0" w:beforeAutospacing="0" w:after="0" w:afterAutospacing="0"/>
                    <w:rPr>
                      <w:rFonts w:hint="eastAsia"/>
                      <w:lang w:val="en-US" w:eastAsia="zh-CN"/>
                    </w:rPr>
                  </w:pPr>
                </w:p>
              </w:tc>
              <w:tc>
                <w:tcPr>
                  <w:tcW w:w="398" w:type="pct"/>
                  <w:vMerge w:val="continue"/>
                  <w:tcBorders>
                    <w:left w:val="single" w:color="000000" w:sz="4" w:space="0"/>
                    <w:right w:val="single" w:color="000000" w:sz="4" w:space="0"/>
                  </w:tcBorders>
                  <w:shd w:val="clear" w:color="auto" w:fill="auto"/>
                  <w:vAlign w:val="center"/>
                </w:tcPr>
                <w:p w14:paraId="37EBACAC">
                  <w:pPr>
                    <w:pStyle w:val="45"/>
                    <w:keepNext w:val="0"/>
                    <w:keepLines w:val="0"/>
                    <w:suppressLineNumbers w:val="0"/>
                    <w:bidi w:val="0"/>
                    <w:spacing w:before="0" w:beforeAutospacing="0" w:after="0" w:afterAutospacing="0"/>
                    <w:rPr>
                      <w:rFonts w:hint="eastAsia"/>
                      <w:lang w:val="en-US" w:eastAsia="zh-CN"/>
                    </w:rPr>
                  </w:pP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2D8FB">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0.03</w:t>
                  </w:r>
                </w:p>
              </w:tc>
            </w:tr>
            <w:tr w14:paraId="2F7C9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3" w:hRule="atLeast"/>
                <w:jc w:val="center"/>
              </w:trPr>
              <w:tc>
                <w:tcPr>
                  <w:tcW w:w="308" w:type="pct"/>
                  <w:vMerge w:val="continue"/>
                  <w:tcBorders>
                    <w:left w:val="single" w:color="000000" w:sz="4" w:space="0"/>
                    <w:bottom w:val="single" w:color="000000" w:sz="4" w:space="0"/>
                    <w:right w:val="single" w:color="000000" w:sz="4" w:space="0"/>
                  </w:tcBorders>
                  <w:shd w:val="clear" w:color="auto" w:fill="auto"/>
                  <w:vAlign w:val="center"/>
                </w:tcPr>
                <w:p w14:paraId="4DD2D2D4">
                  <w:pPr>
                    <w:pStyle w:val="45"/>
                    <w:keepNext w:val="0"/>
                    <w:keepLines w:val="0"/>
                    <w:suppressLineNumbers w:val="0"/>
                    <w:bidi w:val="0"/>
                    <w:spacing w:before="0" w:beforeAutospacing="0" w:after="0" w:afterAutospacing="0"/>
                    <w:rPr>
                      <w:rFonts w:hint="eastAsia"/>
                      <w:lang w:val="en-US" w:eastAsia="zh-CN"/>
                    </w:rPr>
                  </w:pPr>
                </w:p>
              </w:tc>
              <w:tc>
                <w:tcPr>
                  <w:tcW w:w="425" w:type="pct"/>
                  <w:vMerge w:val="continue"/>
                  <w:tcBorders>
                    <w:left w:val="single" w:color="000000" w:sz="4" w:space="0"/>
                    <w:bottom w:val="single" w:color="000000" w:sz="4" w:space="0"/>
                    <w:right w:val="single" w:color="000000" w:sz="4" w:space="0"/>
                  </w:tcBorders>
                  <w:shd w:val="clear" w:color="auto" w:fill="auto"/>
                  <w:vAlign w:val="center"/>
                </w:tcPr>
                <w:p w14:paraId="63C11864">
                  <w:pPr>
                    <w:pStyle w:val="45"/>
                    <w:keepNext w:val="0"/>
                    <w:keepLines w:val="0"/>
                    <w:suppressLineNumbers w:val="0"/>
                    <w:bidi w:val="0"/>
                    <w:spacing w:before="0" w:beforeAutospacing="0" w:after="0" w:afterAutospacing="0"/>
                    <w:rPr>
                      <w:rFonts w:hint="eastAsia"/>
                      <w:lang w:val="en-US" w:eastAsia="zh-CN"/>
                    </w:rPr>
                  </w:pP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BB844C1">
                  <w:pPr>
                    <w:pStyle w:val="45"/>
                    <w:keepNext w:val="0"/>
                    <w:keepLines w:val="0"/>
                    <w:suppressLineNumbers w:val="0"/>
                    <w:bidi w:val="0"/>
                    <w:spacing w:before="0" w:beforeAutospacing="0" w:after="0" w:afterAutospacing="0"/>
                    <w:rPr>
                      <w:rFonts w:hint="eastAsia" w:eastAsia="宋体"/>
                      <w:lang w:val="en-US" w:eastAsia="zh-CN"/>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0E7DF">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臭气浓度</w:t>
                  </w:r>
                </w:p>
              </w:tc>
              <w:tc>
                <w:tcPr>
                  <w:tcW w:w="430" w:type="pct"/>
                  <w:vMerge w:val="continue"/>
                  <w:tcBorders>
                    <w:left w:val="single" w:color="000000" w:sz="4" w:space="0"/>
                    <w:bottom w:val="single" w:color="000000" w:sz="4" w:space="0"/>
                    <w:right w:val="single" w:color="000000" w:sz="4" w:space="0"/>
                  </w:tcBorders>
                  <w:shd w:val="clear" w:color="auto" w:fill="auto"/>
                  <w:vAlign w:val="center"/>
                </w:tcPr>
                <w:p w14:paraId="09D4E14A">
                  <w:pPr>
                    <w:pStyle w:val="45"/>
                    <w:keepNext w:val="0"/>
                    <w:keepLines w:val="0"/>
                    <w:suppressLineNumbers w:val="0"/>
                    <w:bidi w:val="0"/>
                    <w:spacing w:before="0" w:beforeAutospacing="0" w:after="0" w:afterAutospacing="0"/>
                    <w:rPr>
                      <w:rFonts w:hint="eastAsia"/>
                      <w:lang w:val="en-US" w:eastAsia="zh-CN"/>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B7001">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少量</w:t>
                  </w:r>
                </w:p>
              </w:tc>
              <w:tc>
                <w:tcPr>
                  <w:tcW w:w="6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BEC04">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少量</w:t>
                  </w:r>
                </w:p>
              </w:tc>
              <w:tc>
                <w:tcPr>
                  <w:tcW w:w="489" w:type="pct"/>
                  <w:vMerge w:val="continue"/>
                  <w:tcBorders>
                    <w:left w:val="single" w:color="000000" w:sz="4" w:space="0"/>
                    <w:bottom w:val="single" w:color="000000" w:sz="4" w:space="0"/>
                    <w:right w:val="single" w:color="000000" w:sz="4" w:space="0"/>
                  </w:tcBorders>
                  <w:shd w:val="clear" w:color="auto" w:fill="auto"/>
                  <w:vAlign w:val="center"/>
                </w:tcPr>
                <w:p w14:paraId="10678F0A">
                  <w:pPr>
                    <w:pStyle w:val="45"/>
                    <w:keepNext w:val="0"/>
                    <w:keepLines w:val="0"/>
                    <w:suppressLineNumbers w:val="0"/>
                    <w:bidi w:val="0"/>
                    <w:spacing w:before="0" w:beforeAutospacing="0" w:after="0" w:afterAutospacing="0"/>
                    <w:rPr>
                      <w:rFonts w:hint="eastAsia"/>
                      <w:lang w:val="en-US" w:eastAsia="zh-CN"/>
                    </w:rPr>
                  </w:pPr>
                </w:p>
              </w:tc>
              <w:tc>
                <w:tcPr>
                  <w:tcW w:w="414" w:type="pct"/>
                  <w:vMerge w:val="continue"/>
                  <w:tcBorders>
                    <w:left w:val="single" w:color="000000" w:sz="4" w:space="0"/>
                    <w:bottom w:val="single" w:color="000000" w:sz="4" w:space="0"/>
                    <w:right w:val="single" w:color="000000" w:sz="4" w:space="0"/>
                  </w:tcBorders>
                  <w:shd w:val="clear" w:color="auto" w:fill="auto"/>
                  <w:vAlign w:val="center"/>
                </w:tcPr>
                <w:p w14:paraId="55E2550C">
                  <w:pPr>
                    <w:pStyle w:val="45"/>
                    <w:keepNext w:val="0"/>
                    <w:keepLines w:val="0"/>
                    <w:suppressLineNumbers w:val="0"/>
                    <w:bidi w:val="0"/>
                    <w:spacing w:before="0" w:beforeAutospacing="0" w:after="0" w:afterAutospacing="0"/>
                    <w:rPr>
                      <w:rFonts w:hint="eastAsia"/>
                      <w:lang w:val="en-US" w:eastAsia="zh-CN"/>
                    </w:rPr>
                  </w:pPr>
                </w:p>
              </w:tc>
              <w:tc>
                <w:tcPr>
                  <w:tcW w:w="398" w:type="pct"/>
                  <w:vMerge w:val="continue"/>
                  <w:tcBorders>
                    <w:left w:val="single" w:color="000000" w:sz="4" w:space="0"/>
                    <w:bottom w:val="single" w:color="000000" w:sz="4" w:space="0"/>
                    <w:right w:val="single" w:color="000000" w:sz="4" w:space="0"/>
                  </w:tcBorders>
                  <w:shd w:val="clear" w:color="auto" w:fill="auto"/>
                  <w:vAlign w:val="center"/>
                </w:tcPr>
                <w:p w14:paraId="47342674">
                  <w:pPr>
                    <w:pStyle w:val="45"/>
                    <w:keepNext w:val="0"/>
                    <w:keepLines w:val="0"/>
                    <w:suppressLineNumbers w:val="0"/>
                    <w:bidi w:val="0"/>
                    <w:spacing w:before="0" w:beforeAutospacing="0" w:after="0" w:afterAutospacing="0"/>
                    <w:rPr>
                      <w:rFonts w:hint="eastAsia"/>
                      <w:lang w:val="en-US" w:eastAsia="zh-CN"/>
                    </w:rPr>
                  </w:pP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F4102">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10</w:t>
                  </w:r>
                  <w:r>
                    <w:rPr>
                      <w:rFonts w:hint="eastAsia"/>
                      <w:color w:val="auto"/>
                      <w:lang w:val="en-US" w:eastAsia="zh-CN"/>
                    </w:rPr>
                    <w:t>（无量纲）</w:t>
                  </w:r>
                </w:p>
              </w:tc>
            </w:tr>
          </w:tbl>
          <w:p w14:paraId="3F422765">
            <w:pPr>
              <w:pStyle w:val="41"/>
              <w:bidi w:val="0"/>
              <w:jc w:val="center"/>
            </w:pPr>
          </w:p>
          <w:p w14:paraId="393EDA7D">
            <w:pPr>
              <w:pStyle w:val="41"/>
              <w:bidi w:val="0"/>
              <w:jc w:val="center"/>
            </w:pPr>
            <w:r>
              <w:t>表</w:t>
            </w:r>
            <w:r>
              <w:rPr>
                <w:rFonts w:hint="eastAsia"/>
              </w:rPr>
              <w:t>4-</w:t>
            </w:r>
            <w:r>
              <w:rPr>
                <w:rFonts w:hint="eastAsia"/>
                <w:lang w:val="en-US" w:eastAsia="zh-CN"/>
              </w:rPr>
              <w:t xml:space="preserve">3  </w:t>
            </w:r>
            <w:r>
              <w:rPr>
                <w:rFonts w:hint="eastAsia"/>
              </w:rPr>
              <w:t>本项目</w:t>
            </w:r>
            <w:r>
              <w:t>有组织废气排放口基本信息一览表</w:t>
            </w:r>
          </w:p>
          <w:tbl>
            <w:tblPr>
              <w:tblStyle w:val="18"/>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8"/>
              <w:gridCol w:w="820"/>
              <w:gridCol w:w="1083"/>
              <w:gridCol w:w="897"/>
              <w:gridCol w:w="1122"/>
              <w:gridCol w:w="1087"/>
              <w:gridCol w:w="803"/>
              <w:gridCol w:w="1106"/>
              <w:gridCol w:w="663"/>
              <w:gridCol w:w="907"/>
              <w:gridCol w:w="1935"/>
              <w:gridCol w:w="2252"/>
            </w:tblGrid>
            <w:tr w14:paraId="373F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32" w:type="pct"/>
                  <w:vMerge w:val="restart"/>
                  <w:noWrap w:val="0"/>
                  <w:vAlign w:val="center"/>
                </w:tcPr>
                <w:p w14:paraId="437CAAC9">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序号</w:t>
                  </w:r>
                </w:p>
              </w:tc>
              <w:tc>
                <w:tcPr>
                  <w:tcW w:w="308" w:type="pct"/>
                  <w:vMerge w:val="restart"/>
                  <w:noWrap w:val="0"/>
                  <w:vAlign w:val="center"/>
                </w:tcPr>
                <w:p w14:paraId="2D3536EB">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排放口编号</w:t>
                  </w:r>
                </w:p>
              </w:tc>
              <w:tc>
                <w:tcPr>
                  <w:tcW w:w="407" w:type="pct"/>
                  <w:vMerge w:val="restart"/>
                  <w:noWrap w:val="0"/>
                  <w:vAlign w:val="center"/>
                </w:tcPr>
                <w:p w14:paraId="2AE85103">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排放口名称</w:t>
                  </w:r>
                </w:p>
              </w:tc>
              <w:tc>
                <w:tcPr>
                  <w:tcW w:w="337" w:type="pct"/>
                  <w:vMerge w:val="restart"/>
                  <w:noWrap w:val="0"/>
                  <w:vAlign w:val="center"/>
                </w:tcPr>
                <w:p w14:paraId="056680C1">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污染物种类</w:t>
                  </w:r>
                </w:p>
              </w:tc>
              <w:tc>
                <w:tcPr>
                  <w:tcW w:w="831" w:type="pct"/>
                  <w:gridSpan w:val="2"/>
                  <w:noWrap w:val="0"/>
                  <w:vAlign w:val="center"/>
                </w:tcPr>
                <w:p w14:paraId="21423161">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排放口地理坐标</w:t>
                  </w:r>
                </w:p>
              </w:tc>
              <w:tc>
                <w:tcPr>
                  <w:tcW w:w="302" w:type="pct"/>
                  <w:vMerge w:val="restart"/>
                  <w:noWrap w:val="0"/>
                  <w:vAlign w:val="center"/>
                </w:tcPr>
                <w:p w14:paraId="6AB92711">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排气筒高度（m）</w:t>
                  </w:r>
                </w:p>
              </w:tc>
              <w:tc>
                <w:tcPr>
                  <w:tcW w:w="416" w:type="pct"/>
                  <w:vMerge w:val="restart"/>
                  <w:noWrap w:val="0"/>
                  <w:vAlign w:val="center"/>
                </w:tcPr>
                <w:p w14:paraId="166E3FCA">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排气筒出口内径（m）</w:t>
                  </w:r>
                </w:p>
              </w:tc>
              <w:tc>
                <w:tcPr>
                  <w:tcW w:w="249" w:type="pct"/>
                  <w:vMerge w:val="restart"/>
                  <w:noWrap w:val="0"/>
                  <w:vAlign w:val="center"/>
                </w:tcPr>
                <w:p w14:paraId="55815731">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排气温度（℃）</w:t>
                  </w:r>
                </w:p>
              </w:tc>
              <w:tc>
                <w:tcPr>
                  <w:tcW w:w="341" w:type="pct"/>
                  <w:vMerge w:val="restart"/>
                  <w:noWrap w:val="0"/>
                  <w:vAlign w:val="center"/>
                </w:tcPr>
                <w:p w14:paraId="74389437">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排放口类型</w:t>
                  </w:r>
                </w:p>
              </w:tc>
              <w:tc>
                <w:tcPr>
                  <w:tcW w:w="727" w:type="pct"/>
                  <w:vMerge w:val="restart"/>
                  <w:noWrap w:val="0"/>
                  <w:vAlign w:val="center"/>
                </w:tcPr>
                <w:p w14:paraId="6D9800FE">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执行标准</w:t>
                  </w:r>
                </w:p>
              </w:tc>
              <w:tc>
                <w:tcPr>
                  <w:tcW w:w="846" w:type="pct"/>
                  <w:vMerge w:val="restart"/>
                  <w:noWrap w:val="0"/>
                  <w:vAlign w:val="center"/>
                </w:tcPr>
                <w:p w14:paraId="598CEECD">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限值</w:t>
                  </w:r>
                  <w:r>
                    <w:rPr>
                      <w:rFonts w:hint="eastAsia"/>
                      <w:lang w:val="en-US" w:eastAsia="zh-CN"/>
                    </w:rPr>
                    <w:t>kg/h</w:t>
                  </w:r>
                </w:p>
              </w:tc>
            </w:tr>
            <w:tr w14:paraId="3FEE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32" w:type="pct"/>
                  <w:vMerge w:val="continue"/>
                  <w:noWrap w:val="0"/>
                  <w:vAlign w:val="center"/>
                </w:tcPr>
                <w:p w14:paraId="010E4C1E">
                  <w:pPr>
                    <w:pStyle w:val="53"/>
                    <w:keepNext w:val="0"/>
                    <w:keepLines w:val="0"/>
                    <w:suppressLineNumbers w:val="0"/>
                    <w:bidi w:val="0"/>
                    <w:spacing w:before="0" w:beforeAutospacing="0" w:after="0" w:afterAutospacing="0"/>
                    <w:jc w:val="center"/>
                    <w:rPr>
                      <w:rFonts w:hint="default"/>
                      <w:lang w:val="en-US" w:eastAsia="zh-CN"/>
                    </w:rPr>
                  </w:pPr>
                </w:p>
              </w:tc>
              <w:tc>
                <w:tcPr>
                  <w:tcW w:w="308" w:type="pct"/>
                  <w:vMerge w:val="continue"/>
                  <w:noWrap w:val="0"/>
                  <w:vAlign w:val="center"/>
                </w:tcPr>
                <w:p w14:paraId="28E05980">
                  <w:pPr>
                    <w:pStyle w:val="53"/>
                    <w:keepNext w:val="0"/>
                    <w:keepLines w:val="0"/>
                    <w:suppressLineNumbers w:val="0"/>
                    <w:bidi w:val="0"/>
                    <w:spacing w:before="0" w:beforeAutospacing="0" w:after="0" w:afterAutospacing="0"/>
                    <w:jc w:val="center"/>
                    <w:rPr>
                      <w:rFonts w:hint="default"/>
                      <w:lang w:val="en-US" w:eastAsia="zh-CN"/>
                    </w:rPr>
                  </w:pPr>
                </w:p>
              </w:tc>
              <w:tc>
                <w:tcPr>
                  <w:tcW w:w="407" w:type="pct"/>
                  <w:vMerge w:val="continue"/>
                  <w:noWrap w:val="0"/>
                  <w:vAlign w:val="center"/>
                </w:tcPr>
                <w:p w14:paraId="07BF50DD">
                  <w:pPr>
                    <w:pStyle w:val="53"/>
                    <w:keepNext w:val="0"/>
                    <w:keepLines w:val="0"/>
                    <w:suppressLineNumbers w:val="0"/>
                    <w:bidi w:val="0"/>
                    <w:spacing w:before="0" w:beforeAutospacing="0" w:after="0" w:afterAutospacing="0"/>
                    <w:jc w:val="center"/>
                    <w:rPr>
                      <w:rFonts w:hint="default"/>
                      <w:lang w:val="en-US" w:eastAsia="zh-CN"/>
                    </w:rPr>
                  </w:pPr>
                </w:p>
              </w:tc>
              <w:tc>
                <w:tcPr>
                  <w:tcW w:w="337" w:type="pct"/>
                  <w:vMerge w:val="continue"/>
                  <w:noWrap w:val="0"/>
                  <w:vAlign w:val="center"/>
                </w:tcPr>
                <w:p w14:paraId="54B364A1">
                  <w:pPr>
                    <w:pStyle w:val="53"/>
                    <w:keepNext w:val="0"/>
                    <w:keepLines w:val="0"/>
                    <w:suppressLineNumbers w:val="0"/>
                    <w:bidi w:val="0"/>
                    <w:spacing w:before="0" w:beforeAutospacing="0" w:after="0" w:afterAutospacing="0"/>
                    <w:jc w:val="center"/>
                    <w:rPr>
                      <w:rFonts w:hint="default"/>
                      <w:lang w:val="en-US" w:eastAsia="zh-CN"/>
                    </w:rPr>
                  </w:pPr>
                </w:p>
              </w:tc>
              <w:tc>
                <w:tcPr>
                  <w:tcW w:w="422" w:type="pct"/>
                  <w:noWrap w:val="0"/>
                  <w:vAlign w:val="center"/>
                </w:tcPr>
                <w:p w14:paraId="4D656E61">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经度</w:t>
                  </w:r>
                </w:p>
              </w:tc>
              <w:tc>
                <w:tcPr>
                  <w:tcW w:w="408" w:type="pct"/>
                  <w:noWrap w:val="0"/>
                  <w:vAlign w:val="center"/>
                </w:tcPr>
                <w:p w14:paraId="77FD7197">
                  <w:pPr>
                    <w:pStyle w:val="53"/>
                    <w:keepNext w:val="0"/>
                    <w:keepLines w:val="0"/>
                    <w:suppressLineNumbers w:val="0"/>
                    <w:bidi w:val="0"/>
                    <w:spacing w:before="0" w:beforeAutospacing="0" w:after="0" w:afterAutospacing="0"/>
                    <w:jc w:val="center"/>
                    <w:rPr>
                      <w:rFonts w:hint="default"/>
                      <w:b/>
                      <w:bCs/>
                      <w:lang w:val="en-US" w:eastAsia="zh-CN"/>
                    </w:rPr>
                  </w:pPr>
                  <w:r>
                    <w:rPr>
                      <w:rFonts w:hint="default"/>
                      <w:b/>
                      <w:bCs/>
                      <w:lang w:val="en-US" w:eastAsia="zh-CN"/>
                    </w:rPr>
                    <w:t>纬度</w:t>
                  </w:r>
                </w:p>
              </w:tc>
              <w:tc>
                <w:tcPr>
                  <w:tcW w:w="302" w:type="pct"/>
                  <w:vMerge w:val="continue"/>
                  <w:noWrap w:val="0"/>
                  <w:vAlign w:val="center"/>
                </w:tcPr>
                <w:p w14:paraId="1F0161AE">
                  <w:pPr>
                    <w:pStyle w:val="53"/>
                    <w:keepNext w:val="0"/>
                    <w:keepLines w:val="0"/>
                    <w:suppressLineNumbers w:val="0"/>
                    <w:bidi w:val="0"/>
                    <w:spacing w:before="0" w:beforeAutospacing="0" w:after="0" w:afterAutospacing="0"/>
                    <w:jc w:val="center"/>
                    <w:rPr>
                      <w:rFonts w:hint="default"/>
                      <w:lang w:val="en-US" w:eastAsia="zh-CN"/>
                    </w:rPr>
                  </w:pPr>
                </w:p>
              </w:tc>
              <w:tc>
                <w:tcPr>
                  <w:tcW w:w="416" w:type="pct"/>
                  <w:vMerge w:val="continue"/>
                  <w:noWrap w:val="0"/>
                  <w:vAlign w:val="center"/>
                </w:tcPr>
                <w:p w14:paraId="6B8DE0E6">
                  <w:pPr>
                    <w:pStyle w:val="53"/>
                    <w:keepNext w:val="0"/>
                    <w:keepLines w:val="0"/>
                    <w:suppressLineNumbers w:val="0"/>
                    <w:bidi w:val="0"/>
                    <w:spacing w:before="0" w:beforeAutospacing="0" w:after="0" w:afterAutospacing="0"/>
                    <w:jc w:val="center"/>
                    <w:rPr>
                      <w:rFonts w:hint="default"/>
                      <w:lang w:val="en-US" w:eastAsia="zh-CN"/>
                    </w:rPr>
                  </w:pPr>
                </w:p>
              </w:tc>
              <w:tc>
                <w:tcPr>
                  <w:tcW w:w="249" w:type="pct"/>
                  <w:vMerge w:val="continue"/>
                  <w:noWrap w:val="0"/>
                  <w:vAlign w:val="center"/>
                </w:tcPr>
                <w:p w14:paraId="6A149E60">
                  <w:pPr>
                    <w:pStyle w:val="53"/>
                    <w:keepNext w:val="0"/>
                    <w:keepLines w:val="0"/>
                    <w:suppressLineNumbers w:val="0"/>
                    <w:bidi w:val="0"/>
                    <w:spacing w:before="0" w:beforeAutospacing="0" w:after="0" w:afterAutospacing="0"/>
                    <w:jc w:val="center"/>
                    <w:rPr>
                      <w:rFonts w:hint="default"/>
                      <w:lang w:val="en-US" w:eastAsia="zh-CN"/>
                    </w:rPr>
                  </w:pPr>
                </w:p>
              </w:tc>
              <w:tc>
                <w:tcPr>
                  <w:tcW w:w="341" w:type="pct"/>
                  <w:vMerge w:val="continue"/>
                  <w:noWrap w:val="0"/>
                  <w:vAlign w:val="center"/>
                </w:tcPr>
                <w:p w14:paraId="0B71834B">
                  <w:pPr>
                    <w:pStyle w:val="53"/>
                    <w:keepNext w:val="0"/>
                    <w:keepLines w:val="0"/>
                    <w:suppressLineNumbers w:val="0"/>
                    <w:bidi w:val="0"/>
                    <w:spacing w:before="0" w:beforeAutospacing="0" w:after="0" w:afterAutospacing="0"/>
                    <w:jc w:val="center"/>
                    <w:rPr>
                      <w:rFonts w:hint="default"/>
                      <w:lang w:val="en-US" w:eastAsia="zh-CN"/>
                    </w:rPr>
                  </w:pPr>
                </w:p>
              </w:tc>
              <w:tc>
                <w:tcPr>
                  <w:tcW w:w="727" w:type="pct"/>
                  <w:vMerge w:val="continue"/>
                  <w:noWrap w:val="0"/>
                  <w:vAlign w:val="center"/>
                </w:tcPr>
                <w:p w14:paraId="29B5ED93">
                  <w:pPr>
                    <w:pStyle w:val="53"/>
                    <w:keepNext w:val="0"/>
                    <w:keepLines w:val="0"/>
                    <w:suppressLineNumbers w:val="0"/>
                    <w:bidi w:val="0"/>
                    <w:spacing w:before="0" w:beforeAutospacing="0" w:after="0" w:afterAutospacing="0"/>
                    <w:jc w:val="center"/>
                    <w:rPr>
                      <w:rFonts w:hint="default"/>
                      <w:lang w:val="en-US" w:eastAsia="zh-CN"/>
                    </w:rPr>
                  </w:pPr>
                </w:p>
              </w:tc>
              <w:tc>
                <w:tcPr>
                  <w:tcW w:w="846" w:type="pct"/>
                  <w:vMerge w:val="continue"/>
                  <w:noWrap w:val="0"/>
                  <w:vAlign w:val="center"/>
                </w:tcPr>
                <w:p w14:paraId="3A287B93">
                  <w:pPr>
                    <w:pStyle w:val="53"/>
                    <w:keepNext w:val="0"/>
                    <w:keepLines w:val="0"/>
                    <w:suppressLineNumbers w:val="0"/>
                    <w:bidi w:val="0"/>
                    <w:spacing w:before="0" w:beforeAutospacing="0" w:after="0" w:afterAutospacing="0"/>
                    <w:jc w:val="center"/>
                    <w:rPr>
                      <w:rFonts w:hint="default"/>
                      <w:lang w:val="en-US" w:eastAsia="zh-CN"/>
                    </w:rPr>
                  </w:pPr>
                </w:p>
              </w:tc>
            </w:tr>
            <w:tr w14:paraId="0732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232" w:type="pct"/>
                  <w:vMerge w:val="restart"/>
                  <w:noWrap w:val="0"/>
                  <w:vAlign w:val="center"/>
                </w:tcPr>
                <w:p w14:paraId="06452B15">
                  <w:pPr>
                    <w:pStyle w:val="53"/>
                    <w:keepNext w:val="0"/>
                    <w:keepLines w:val="0"/>
                    <w:suppressLineNumbers w:val="0"/>
                    <w:bidi w:val="0"/>
                    <w:spacing w:before="0" w:beforeAutospacing="0" w:after="0" w:afterAutospacing="0"/>
                    <w:jc w:val="center"/>
                    <w:rPr>
                      <w:rFonts w:hint="default"/>
                      <w:lang w:val="en-US" w:eastAsia="zh-CN"/>
                    </w:rPr>
                  </w:pPr>
                  <w:r>
                    <w:rPr>
                      <w:rFonts w:hint="default"/>
                      <w:lang w:val="en-US" w:eastAsia="zh-CN"/>
                    </w:rPr>
                    <w:t>1</w:t>
                  </w:r>
                </w:p>
              </w:tc>
              <w:tc>
                <w:tcPr>
                  <w:tcW w:w="308" w:type="pct"/>
                  <w:vMerge w:val="restart"/>
                  <w:noWrap w:val="0"/>
                  <w:vAlign w:val="center"/>
                </w:tcPr>
                <w:p w14:paraId="1DDC59FB">
                  <w:pPr>
                    <w:pStyle w:val="53"/>
                    <w:keepNext w:val="0"/>
                    <w:keepLines w:val="0"/>
                    <w:suppressLineNumbers w:val="0"/>
                    <w:bidi w:val="0"/>
                    <w:spacing w:before="0" w:beforeAutospacing="0" w:after="0" w:afterAutospacing="0"/>
                    <w:jc w:val="center"/>
                    <w:rPr>
                      <w:rFonts w:hint="default"/>
                      <w:lang w:val="en-US" w:eastAsia="zh-CN"/>
                    </w:rPr>
                  </w:pPr>
                  <w:r>
                    <w:rPr>
                      <w:rFonts w:hint="default"/>
                      <w:lang w:val="en-US" w:eastAsia="zh-CN"/>
                    </w:rPr>
                    <w:t>DA00</w:t>
                  </w:r>
                  <w:r>
                    <w:rPr>
                      <w:rFonts w:hint="eastAsia"/>
                      <w:lang w:val="en-US" w:eastAsia="zh-CN"/>
                    </w:rPr>
                    <w:t>1</w:t>
                  </w:r>
                </w:p>
              </w:tc>
              <w:tc>
                <w:tcPr>
                  <w:tcW w:w="407" w:type="pct"/>
                  <w:vMerge w:val="restart"/>
                  <w:noWrap w:val="0"/>
                  <w:vAlign w:val="center"/>
                </w:tcPr>
                <w:p w14:paraId="0A322C03">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1#排气筒</w:t>
                  </w:r>
                </w:p>
              </w:tc>
              <w:tc>
                <w:tcPr>
                  <w:tcW w:w="337" w:type="pct"/>
                  <w:noWrap w:val="0"/>
                  <w:vAlign w:val="center"/>
                </w:tcPr>
                <w:p w14:paraId="39E3B2B3">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氨</w:t>
                  </w:r>
                </w:p>
              </w:tc>
              <w:tc>
                <w:tcPr>
                  <w:tcW w:w="422" w:type="pct"/>
                  <w:vMerge w:val="restart"/>
                  <w:noWrap w:val="0"/>
                  <w:vAlign w:val="center"/>
                </w:tcPr>
                <w:p w14:paraId="5D95FBD9">
                  <w:pPr>
                    <w:pStyle w:val="53"/>
                    <w:keepNext w:val="0"/>
                    <w:keepLines w:val="0"/>
                    <w:suppressLineNumbers w:val="0"/>
                    <w:bidi w:val="0"/>
                    <w:spacing w:before="0" w:beforeAutospacing="0" w:after="0" w:afterAutospacing="0"/>
                    <w:jc w:val="center"/>
                    <w:rPr>
                      <w:rFonts w:hint="default"/>
                      <w:highlight w:val="none"/>
                      <w:lang w:val="en-US" w:eastAsia="zh-CN"/>
                    </w:rPr>
                  </w:pPr>
                  <w:r>
                    <w:rPr>
                      <w:rFonts w:hint="eastAsia"/>
                      <w:highlight w:val="none"/>
                      <w:lang w:val="en-US" w:eastAsia="zh-CN"/>
                    </w:rPr>
                    <w:t>116.973177</w:t>
                  </w:r>
                </w:p>
              </w:tc>
              <w:tc>
                <w:tcPr>
                  <w:tcW w:w="408" w:type="pct"/>
                  <w:vMerge w:val="restart"/>
                  <w:noWrap w:val="0"/>
                  <w:vAlign w:val="center"/>
                </w:tcPr>
                <w:p w14:paraId="775D906A">
                  <w:pPr>
                    <w:pStyle w:val="53"/>
                    <w:keepNext w:val="0"/>
                    <w:keepLines w:val="0"/>
                    <w:suppressLineNumbers w:val="0"/>
                    <w:bidi w:val="0"/>
                    <w:spacing w:before="0" w:beforeAutospacing="0" w:after="0" w:afterAutospacing="0"/>
                    <w:jc w:val="center"/>
                    <w:rPr>
                      <w:rFonts w:hint="default"/>
                      <w:highlight w:val="none"/>
                      <w:lang w:val="en-US" w:eastAsia="zh-CN"/>
                    </w:rPr>
                  </w:pPr>
                  <w:r>
                    <w:rPr>
                      <w:rFonts w:hint="eastAsia"/>
                      <w:highlight w:val="none"/>
                      <w:lang w:val="en-US" w:eastAsia="zh-CN"/>
                    </w:rPr>
                    <w:t>32.593881</w:t>
                  </w:r>
                </w:p>
              </w:tc>
              <w:tc>
                <w:tcPr>
                  <w:tcW w:w="302" w:type="pct"/>
                  <w:vMerge w:val="restart"/>
                  <w:noWrap w:val="0"/>
                  <w:vAlign w:val="center"/>
                </w:tcPr>
                <w:p w14:paraId="556505A3">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18</w:t>
                  </w:r>
                </w:p>
              </w:tc>
              <w:tc>
                <w:tcPr>
                  <w:tcW w:w="416" w:type="pct"/>
                  <w:vMerge w:val="restart"/>
                  <w:noWrap w:val="0"/>
                  <w:vAlign w:val="center"/>
                </w:tcPr>
                <w:p w14:paraId="1F6CBBE7">
                  <w:pPr>
                    <w:pStyle w:val="53"/>
                    <w:keepNext w:val="0"/>
                    <w:keepLines w:val="0"/>
                    <w:suppressLineNumbers w:val="0"/>
                    <w:bidi w:val="0"/>
                    <w:spacing w:before="0" w:beforeAutospacing="0" w:after="0" w:afterAutospacing="0"/>
                    <w:jc w:val="center"/>
                    <w:rPr>
                      <w:rFonts w:hint="default"/>
                      <w:lang w:val="en-US" w:eastAsia="zh-CN"/>
                    </w:rPr>
                  </w:pPr>
                  <w:r>
                    <w:rPr>
                      <w:rFonts w:hint="default"/>
                      <w:lang w:val="en-US" w:eastAsia="zh-CN"/>
                    </w:rPr>
                    <w:t>0.</w:t>
                  </w:r>
                  <w:r>
                    <w:rPr>
                      <w:rFonts w:hint="eastAsia"/>
                      <w:lang w:val="en-US" w:eastAsia="zh-CN"/>
                    </w:rPr>
                    <w:t>3</w:t>
                  </w:r>
                </w:p>
              </w:tc>
              <w:tc>
                <w:tcPr>
                  <w:tcW w:w="249" w:type="pct"/>
                  <w:vMerge w:val="restart"/>
                  <w:noWrap w:val="0"/>
                  <w:vAlign w:val="center"/>
                </w:tcPr>
                <w:p w14:paraId="78FCD217">
                  <w:pPr>
                    <w:pStyle w:val="53"/>
                    <w:keepNext w:val="0"/>
                    <w:keepLines w:val="0"/>
                    <w:suppressLineNumbers w:val="0"/>
                    <w:bidi w:val="0"/>
                    <w:spacing w:before="0" w:beforeAutospacing="0" w:after="0" w:afterAutospacing="0"/>
                    <w:jc w:val="center"/>
                    <w:rPr>
                      <w:rFonts w:hint="default"/>
                      <w:lang w:val="en-US" w:eastAsia="zh-CN"/>
                    </w:rPr>
                  </w:pPr>
                  <w:r>
                    <w:rPr>
                      <w:rFonts w:hint="default"/>
                      <w:lang w:val="en-US" w:eastAsia="zh-CN"/>
                    </w:rPr>
                    <w:t>25</w:t>
                  </w:r>
                </w:p>
              </w:tc>
              <w:tc>
                <w:tcPr>
                  <w:tcW w:w="341" w:type="pct"/>
                  <w:vMerge w:val="restart"/>
                  <w:noWrap w:val="0"/>
                  <w:vAlign w:val="center"/>
                </w:tcPr>
                <w:p w14:paraId="7602131B">
                  <w:pPr>
                    <w:pStyle w:val="53"/>
                    <w:keepNext w:val="0"/>
                    <w:keepLines w:val="0"/>
                    <w:suppressLineNumbers w:val="0"/>
                    <w:bidi w:val="0"/>
                    <w:spacing w:before="0" w:beforeAutospacing="0" w:after="0" w:afterAutospacing="0"/>
                    <w:jc w:val="center"/>
                    <w:rPr>
                      <w:rFonts w:hint="default"/>
                      <w:lang w:val="en-US" w:eastAsia="zh-CN"/>
                    </w:rPr>
                  </w:pPr>
                  <w:r>
                    <w:rPr>
                      <w:rFonts w:hint="default"/>
                      <w:lang w:val="en-US" w:eastAsia="zh-CN"/>
                    </w:rPr>
                    <w:t>一般排口</w:t>
                  </w:r>
                </w:p>
              </w:tc>
              <w:tc>
                <w:tcPr>
                  <w:tcW w:w="727" w:type="pct"/>
                  <w:vMerge w:val="restart"/>
                  <w:noWrap w:val="0"/>
                  <w:vAlign w:val="center"/>
                </w:tcPr>
                <w:p w14:paraId="3923E0C7">
                  <w:pPr>
                    <w:pStyle w:val="54"/>
                    <w:keepNext w:val="0"/>
                    <w:keepLines w:val="0"/>
                    <w:suppressLineNumbers w:val="0"/>
                    <w:spacing w:before="0" w:beforeAutospacing="0" w:after="0" w:afterAutospacing="0"/>
                    <w:ind w:left="0" w:right="0" w:firstLine="0" w:firstLineChars="0"/>
                    <w:jc w:val="center"/>
                    <w:rPr>
                      <w:rStyle w:val="55"/>
                      <w:rFonts w:hint="eastAsia"/>
                      <w:b w:val="0"/>
                      <w:bCs/>
                      <w:lang w:val="en-US" w:eastAsia="zh-CN"/>
                    </w:rPr>
                  </w:pPr>
                  <w:r>
                    <w:rPr>
                      <w:rFonts w:hint="eastAsia"/>
                      <w:b w:val="0"/>
                      <w:bCs/>
                    </w:rPr>
                    <w:t>（GB14554-93）</w:t>
                  </w:r>
                </w:p>
              </w:tc>
              <w:tc>
                <w:tcPr>
                  <w:tcW w:w="846" w:type="pct"/>
                  <w:noWrap w:val="0"/>
                  <w:vAlign w:val="center"/>
                </w:tcPr>
                <w:p w14:paraId="011851F8">
                  <w:pPr>
                    <w:pStyle w:val="53"/>
                    <w:keepNext w:val="0"/>
                    <w:keepLines w:val="0"/>
                    <w:suppressLineNumbers w:val="0"/>
                    <w:spacing w:before="33" w:beforeAutospacing="0" w:after="33" w:afterAutospacing="0"/>
                    <w:ind w:left="24" w:leftChars="10" w:right="24" w:rightChars="10" w:firstLine="0" w:firstLineChars="0"/>
                    <w:jc w:val="center"/>
                    <w:rPr>
                      <w:rFonts w:hint="default"/>
                      <w:lang w:val="en-US" w:eastAsia="zh-CN"/>
                    </w:rPr>
                  </w:pPr>
                  <w:r>
                    <w:rPr>
                      <w:rFonts w:hint="eastAsia"/>
                      <w:lang w:val="en-US" w:eastAsia="zh-CN"/>
                    </w:rPr>
                    <w:t>4.9</w:t>
                  </w:r>
                </w:p>
              </w:tc>
            </w:tr>
            <w:tr w14:paraId="47E9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232" w:type="pct"/>
                  <w:vMerge w:val="continue"/>
                  <w:noWrap w:val="0"/>
                  <w:vAlign w:val="center"/>
                </w:tcPr>
                <w:p w14:paraId="331B37C2">
                  <w:pPr>
                    <w:pStyle w:val="53"/>
                    <w:keepNext w:val="0"/>
                    <w:keepLines w:val="0"/>
                    <w:suppressLineNumbers w:val="0"/>
                    <w:bidi w:val="0"/>
                    <w:spacing w:before="0" w:beforeAutospacing="0" w:after="0" w:afterAutospacing="0"/>
                    <w:jc w:val="center"/>
                    <w:rPr>
                      <w:rFonts w:hint="default"/>
                      <w:lang w:val="en-US" w:eastAsia="zh-CN"/>
                    </w:rPr>
                  </w:pPr>
                </w:p>
              </w:tc>
              <w:tc>
                <w:tcPr>
                  <w:tcW w:w="308" w:type="pct"/>
                  <w:vMerge w:val="continue"/>
                  <w:noWrap w:val="0"/>
                  <w:vAlign w:val="center"/>
                </w:tcPr>
                <w:p w14:paraId="59F9E10E">
                  <w:pPr>
                    <w:pStyle w:val="53"/>
                    <w:keepNext w:val="0"/>
                    <w:keepLines w:val="0"/>
                    <w:suppressLineNumbers w:val="0"/>
                    <w:bidi w:val="0"/>
                    <w:spacing w:before="0" w:beforeAutospacing="0" w:after="0" w:afterAutospacing="0"/>
                    <w:jc w:val="center"/>
                    <w:rPr>
                      <w:rFonts w:hint="default"/>
                      <w:lang w:val="en-US" w:eastAsia="zh-CN"/>
                    </w:rPr>
                  </w:pPr>
                </w:p>
              </w:tc>
              <w:tc>
                <w:tcPr>
                  <w:tcW w:w="407" w:type="pct"/>
                  <w:vMerge w:val="continue"/>
                  <w:noWrap w:val="0"/>
                  <w:vAlign w:val="center"/>
                </w:tcPr>
                <w:p w14:paraId="6F073F11">
                  <w:pPr>
                    <w:pStyle w:val="53"/>
                    <w:keepNext w:val="0"/>
                    <w:keepLines w:val="0"/>
                    <w:suppressLineNumbers w:val="0"/>
                    <w:bidi w:val="0"/>
                    <w:spacing w:before="0" w:beforeAutospacing="0" w:after="0" w:afterAutospacing="0"/>
                    <w:jc w:val="center"/>
                    <w:rPr>
                      <w:rFonts w:hint="eastAsia"/>
                      <w:lang w:val="en-US" w:eastAsia="zh-CN"/>
                    </w:rPr>
                  </w:pPr>
                </w:p>
              </w:tc>
              <w:tc>
                <w:tcPr>
                  <w:tcW w:w="337" w:type="pct"/>
                  <w:noWrap w:val="0"/>
                  <w:vAlign w:val="center"/>
                </w:tcPr>
                <w:p w14:paraId="032C2921">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硫化氢</w:t>
                  </w:r>
                </w:p>
              </w:tc>
              <w:tc>
                <w:tcPr>
                  <w:tcW w:w="422" w:type="pct"/>
                  <w:vMerge w:val="continue"/>
                  <w:noWrap w:val="0"/>
                  <w:vAlign w:val="center"/>
                </w:tcPr>
                <w:p w14:paraId="11A73BAD">
                  <w:pPr>
                    <w:pStyle w:val="53"/>
                    <w:keepNext w:val="0"/>
                    <w:keepLines w:val="0"/>
                    <w:suppressLineNumbers w:val="0"/>
                    <w:bidi w:val="0"/>
                    <w:spacing w:before="0" w:beforeAutospacing="0" w:after="0" w:afterAutospacing="0"/>
                    <w:jc w:val="center"/>
                    <w:rPr>
                      <w:rFonts w:hint="eastAsia"/>
                      <w:lang w:val="en-US" w:eastAsia="zh-CN"/>
                    </w:rPr>
                  </w:pPr>
                </w:p>
              </w:tc>
              <w:tc>
                <w:tcPr>
                  <w:tcW w:w="408" w:type="pct"/>
                  <w:vMerge w:val="continue"/>
                  <w:noWrap w:val="0"/>
                  <w:vAlign w:val="center"/>
                </w:tcPr>
                <w:p w14:paraId="321630BC">
                  <w:pPr>
                    <w:pStyle w:val="53"/>
                    <w:keepNext w:val="0"/>
                    <w:keepLines w:val="0"/>
                    <w:suppressLineNumbers w:val="0"/>
                    <w:bidi w:val="0"/>
                    <w:spacing w:before="0" w:beforeAutospacing="0" w:after="0" w:afterAutospacing="0"/>
                    <w:jc w:val="center"/>
                    <w:rPr>
                      <w:rFonts w:hint="eastAsia"/>
                      <w:lang w:val="en-US" w:eastAsia="zh-CN"/>
                    </w:rPr>
                  </w:pPr>
                </w:p>
              </w:tc>
              <w:tc>
                <w:tcPr>
                  <w:tcW w:w="302" w:type="pct"/>
                  <w:vMerge w:val="continue"/>
                  <w:noWrap w:val="0"/>
                  <w:vAlign w:val="center"/>
                </w:tcPr>
                <w:p w14:paraId="58266763">
                  <w:pPr>
                    <w:pStyle w:val="53"/>
                    <w:keepNext w:val="0"/>
                    <w:keepLines w:val="0"/>
                    <w:suppressLineNumbers w:val="0"/>
                    <w:bidi w:val="0"/>
                    <w:spacing w:before="0" w:beforeAutospacing="0" w:after="0" w:afterAutospacing="0"/>
                    <w:jc w:val="center"/>
                    <w:rPr>
                      <w:rFonts w:hint="eastAsia"/>
                      <w:lang w:val="en-US" w:eastAsia="zh-CN"/>
                    </w:rPr>
                  </w:pPr>
                </w:p>
              </w:tc>
              <w:tc>
                <w:tcPr>
                  <w:tcW w:w="416" w:type="pct"/>
                  <w:vMerge w:val="continue"/>
                  <w:noWrap w:val="0"/>
                  <w:vAlign w:val="center"/>
                </w:tcPr>
                <w:p w14:paraId="143E8739">
                  <w:pPr>
                    <w:pStyle w:val="53"/>
                    <w:keepNext w:val="0"/>
                    <w:keepLines w:val="0"/>
                    <w:suppressLineNumbers w:val="0"/>
                    <w:bidi w:val="0"/>
                    <w:spacing w:before="0" w:beforeAutospacing="0" w:after="0" w:afterAutospacing="0"/>
                    <w:jc w:val="center"/>
                    <w:rPr>
                      <w:rFonts w:hint="default"/>
                      <w:lang w:val="en-US" w:eastAsia="zh-CN"/>
                    </w:rPr>
                  </w:pPr>
                </w:p>
              </w:tc>
              <w:tc>
                <w:tcPr>
                  <w:tcW w:w="249" w:type="pct"/>
                  <w:vMerge w:val="continue"/>
                  <w:noWrap w:val="0"/>
                  <w:vAlign w:val="center"/>
                </w:tcPr>
                <w:p w14:paraId="067DDCC9">
                  <w:pPr>
                    <w:pStyle w:val="53"/>
                    <w:keepNext w:val="0"/>
                    <w:keepLines w:val="0"/>
                    <w:suppressLineNumbers w:val="0"/>
                    <w:bidi w:val="0"/>
                    <w:spacing w:before="0" w:beforeAutospacing="0" w:after="0" w:afterAutospacing="0"/>
                    <w:jc w:val="center"/>
                    <w:rPr>
                      <w:rFonts w:hint="default"/>
                      <w:lang w:val="en-US" w:eastAsia="zh-CN"/>
                    </w:rPr>
                  </w:pPr>
                </w:p>
              </w:tc>
              <w:tc>
                <w:tcPr>
                  <w:tcW w:w="341" w:type="pct"/>
                  <w:vMerge w:val="continue"/>
                  <w:noWrap w:val="0"/>
                  <w:vAlign w:val="center"/>
                </w:tcPr>
                <w:p w14:paraId="17003F10">
                  <w:pPr>
                    <w:pStyle w:val="53"/>
                    <w:keepNext w:val="0"/>
                    <w:keepLines w:val="0"/>
                    <w:suppressLineNumbers w:val="0"/>
                    <w:bidi w:val="0"/>
                    <w:spacing w:before="0" w:beforeAutospacing="0" w:after="0" w:afterAutospacing="0"/>
                    <w:jc w:val="center"/>
                    <w:rPr>
                      <w:rFonts w:hint="default"/>
                      <w:lang w:val="en-US" w:eastAsia="zh-CN"/>
                    </w:rPr>
                  </w:pPr>
                </w:p>
              </w:tc>
              <w:tc>
                <w:tcPr>
                  <w:tcW w:w="727" w:type="pct"/>
                  <w:vMerge w:val="continue"/>
                  <w:noWrap w:val="0"/>
                  <w:vAlign w:val="center"/>
                </w:tcPr>
                <w:p w14:paraId="580074E5">
                  <w:pPr>
                    <w:pStyle w:val="54"/>
                    <w:keepNext w:val="0"/>
                    <w:keepLines w:val="0"/>
                    <w:suppressLineNumbers w:val="0"/>
                    <w:spacing w:before="0" w:beforeAutospacing="0" w:after="0" w:afterAutospacing="0"/>
                    <w:ind w:left="0" w:right="0" w:firstLine="0" w:firstLineChars="0"/>
                    <w:jc w:val="center"/>
                    <w:rPr>
                      <w:rStyle w:val="55"/>
                      <w:rFonts w:hint="eastAsia"/>
                      <w:b w:val="0"/>
                      <w:bCs/>
                      <w:lang w:val="en-US" w:eastAsia="zh-CN"/>
                    </w:rPr>
                  </w:pPr>
                </w:p>
              </w:tc>
              <w:tc>
                <w:tcPr>
                  <w:tcW w:w="846" w:type="pct"/>
                  <w:noWrap w:val="0"/>
                  <w:vAlign w:val="center"/>
                </w:tcPr>
                <w:p w14:paraId="7CDA7A77">
                  <w:pPr>
                    <w:pStyle w:val="53"/>
                    <w:keepNext w:val="0"/>
                    <w:keepLines w:val="0"/>
                    <w:suppressLineNumbers w:val="0"/>
                    <w:spacing w:before="33" w:beforeAutospacing="0" w:after="33" w:afterAutospacing="0"/>
                    <w:ind w:left="24" w:leftChars="10" w:right="24" w:rightChars="10" w:firstLine="0" w:firstLineChars="0"/>
                    <w:jc w:val="center"/>
                    <w:rPr>
                      <w:rFonts w:hint="default"/>
                      <w:lang w:val="en-US" w:eastAsia="zh-CN"/>
                    </w:rPr>
                  </w:pPr>
                  <w:r>
                    <w:rPr>
                      <w:rFonts w:hint="eastAsia"/>
                      <w:lang w:val="en-US" w:eastAsia="zh-CN"/>
                    </w:rPr>
                    <w:t>0.03</w:t>
                  </w:r>
                </w:p>
              </w:tc>
            </w:tr>
            <w:tr w14:paraId="6390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232" w:type="pct"/>
                  <w:vMerge w:val="continue"/>
                  <w:noWrap w:val="0"/>
                  <w:vAlign w:val="center"/>
                </w:tcPr>
                <w:p w14:paraId="7C5D0D83">
                  <w:pPr>
                    <w:pStyle w:val="53"/>
                    <w:keepNext w:val="0"/>
                    <w:keepLines w:val="0"/>
                    <w:suppressLineNumbers w:val="0"/>
                    <w:bidi w:val="0"/>
                    <w:spacing w:before="0" w:beforeAutospacing="0" w:after="0" w:afterAutospacing="0"/>
                    <w:jc w:val="center"/>
                    <w:rPr>
                      <w:rFonts w:hint="default"/>
                      <w:lang w:val="en-US" w:eastAsia="zh-CN"/>
                    </w:rPr>
                  </w:pPr>
                </w:p>
              </w:tc>
              <w:tc>
                <w:tcPr>
                  <w:tcW w:w="308" w:type="pct"/>
                  <w:vMerge w:val="continue"/>
                  <w:noWrap w:val="0"/>
                  <w:vAlign w:val="center"/>
                </w:tcPr>
                <w:p w14:paraId="3E67863E">
                  <w:pPr>
                    <w:pStyle w:val="53"/>
                    <w:keepNext w:val="0"/>
                    <w:keepLines w:val="0"/>
                    <w:suppressLineNumbers w:val="0"/>
                    <w:bidi w:val="0"/>
                    <w:spacing w:before="0" w:beforeAutospacing="0" w:after="0" w:afterAutospacing="0"/>
                    <w:jc w:val="center"/>
                    <w:rPr>
                      <w:rFonts w:hint="default"/>
                      <w:lang w:val="en-US" w:eastAsia="zh-CN"/>
                    </w:rPr>
                  </w:pPr>
                </w:p>
              </w:tc>
              <w:tc>
                <w:tcPr>
                  <w:tcW w:w="407" w:type="pct"/>
                  <w:vMerge w:val="continue"/>
                  <w:noWrap w:val="0"/>
                  <w:vAlign w:val="center"/>
                </w:tcPr>
                <w:p w14:paraId="621A3FBE">
                  <w:pPr>
                    <w:pStyle w:val="53"/>
                    <w:keepNext w:val="0"/>
                    <w:keepLines w:val="0"/>
                    <w:suppressLineNumbers w:val="0"/>
                    <w:bidi w:val="0"/>
                    <w:spacing w:before="0" w:beforeAutospacing="0" w:after="0" w:afterAutospacing="0"/>
                    <w:jc w:val="center"/>
                    <w:rPr>
                      <w:rFonts w:hint="eastAsia"/>
                      <w:lang w:val="en-US" w:eastAsia="zh-CN"/>
                    </w:rPr>
                  </w:pPr>
                </w:p>
              </w:tc>
              <w:tc>
                <w:tcPr>
                  <w:tcW w:w="337" w:type="pct"/>
                  <w:noWrap w:val="0"/>
                  <w:vAlign w:val="center"/>
                </w:tcPr>
                <w:p w14:paraId="2DEF5ACC">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臭气浓度</w:t>
                  </w:r>
                </w:p>
              </w:tc>
              <w:tc>
                <w:tcPr>
                  <w:tcW w:w="422" w:type="pct"/>
                  <w:vMerge w:val="continue"/>
                  <w:noWrap w:val="0"/>
                  <w:vAlign w:val="center"/>
                </w:tcPr>
                <w:p w14:paraId="10E900C5">
                  <w:pPr>
                    <w:pStyle w:val="53"/>
                    <w:keepNext w:val="0"/>
                    <w:keepLines w:val="0"/>
                    <w:suppressLineNumbers w:val="0"/>
                    <w:bidi w:val="0"/>
                    <w:spacing w:before="0" w:beforeAutospacing="0" w:after="0" w:afterAutospacing="0"/>
                    <w:jc w:val="center"/>
                    <w:rPr>
                      <w:rFonts w:hint="eastAsia"/>
                      <w:lang w:val="en-US" w:eastAsia="zh-CN"/>
                    </w:rPr>
                  </w:pPr>
                </w:p>
              </w:tc>
              <w:tc>
                <w:tcPr>
                  <w:tcW w:w="408" w:type="pct"/>
                  <w:vMerge w:val="continue"/>
                  <w:noWrap w:val="0"/>
                  <w:vAlign w:val="center"/>
                </w:tcPr>
                <w:p w14:paraId="2B47CAD6">
                  <w:pPr>
                    <w:pStyle w:val="53"/>
                    <w:keepNext w:val="0"/>
                    <w:keepLines w:val="0"/>
                    <w:suppressLineNumbers w:val="0"/>
                    <w:bidi w:val="0"/>
                    <w:spacing w:before="0" w:beforeAutospacing="0" w:after="0" w:afterAutospacing="0"/>
                    <w:jc w:val="center"/>
                    <w:rPr>
                      <w:rFonts w:hint="eastAsia"/>
                      <w:lang w:val="en-US" w:eastAsia="zh-CN"/>
                    </w:rPr>
                  </w:pPr>
                </w:p>
              </w:tc>
              <w:tc>
                <w:tcPr>
                  <w:tcW w:w="302" w:type="pct"/>
                  <w:vMerge w:val="continue"/>
                  <w:noWrap w:val="0"/>
                  <w:vAlign w:val="center"/>
                </w:tcPr>
                <w:p w14:paraId="2EFC7CF5">
                  <w:pPr>
                    <w:pStyle w:val="53"/>
                    <w:keepNext w:val="0"/>
                    <w:keepLines w:val="0"/>
                    <w:suppressLineNumbers w:val="0"/>
                    <w:bidi w:val="0"/>
                    <w:spacing w:before="0" w:beforeAutospacing="0" w:after="0" w:afterAutospacing="0"/>
                    <w:jc w:val="center"/>
                    <w:rPr>
                      <w:rFonts w:hint="eastAsia"/>
                      <w:lang w:val="en-US" w:eastAsia="zh-CN"/>
                    </w:rPr>
                  </w:pPr>
                </w:p>
              </w:tc>
              <w:tc>
                <w:tcPr>
                  <w:tcW w:w="416" w:type="pct"/>
                  <w:vMerge w:val="continue"/>
                  <w:noWrap w:val="0"/>
                  <w:vAlign w:val="center"/>
                </w:tcPr>
                <w:p w14:paraId="406305D3">
                  <w:pPr>
                    <w:pStyle w:val="53"/>
                    <w:keepNext w:val="0"/>
                    <w:keepLines w:val="0"/>
                    <w:suppressLineNumbers w:val="0"/>
                    <w:bidi w:val="0"/>
                    <w:spacing w:before="0" w:beforeAutospacing="0" w:after="0" w:afterAutospacing="0"/>
                    <w:jc w:val="center"/>
                    <w:rPr>
                      <w:rFonts w:hint="default"/>
                      <w:lang w:val="en-US" w:eastAsia="zh-CN"/>
                    </w:rPr>
                  </w:pPr>
                </w:p>
              </w:tc>
              <w:tc>
                <w:tcPr>
                  <w:tcW w:w="249" w:type="pct"/>
                  <w:vMerge w:val="continue"/>
                  <w:noWrap w:val="0"/>
                  <w:vAlign w:val="center"/>
                </w:tcPr>
                <w:p w14:paraId="1A187716">
                  <w:pPr>
                    <w:pStyle w:val="53"/>
                    <w:keepNext w:val="0"/>
                    <w:keepLines w:val="0"/>
                    <w:suppressLineNumbers w:val="0"/>
                    <w:bidi w:val="0"/>
                    <w:spacing w:before="0" w:beforeAutospacing="0" w:after="0" w:afterAutospacing="0"/>
                    <w:jc w:val="center"/>
                    <w:rPr>
                      <w:rFonts w:hint="default"/>
                      <w:lang w:val="en-US" w:eastAsia="zh-CN"/>
                    </w:rPr>
                  </w:pPr>
                </w:p>
              </w:tc>
              <w:tc>
                <w:tcPr>
                  <w:tcW w:w="341" w:type="pct"/>
                  <w:vMerge w:val="continue"/>
                  <w:noWrap w:val="0"/>
                  <w:vAlign w:val="center"/>
                </w:tcPr>
                <w:p w14:paraId="45CFF126">
                  <w:pPr>
                    <w:pStyle w:val="53"/>
                    <w:keepNext w:val="0"/>
                    <w:keepLines w:val="0"/>
                    <w:suppressLineNumbers w:val="0"/>
                    <w:bidi w:val="0"/>
                    <w:spacing w:before="0" w:beforeAutospacing="0" w:after="0" w:afterAutospacing="0"/>
                    <w:jc w:val="center"/>
                    <w:rPr>
                      <w:rFonts w:hint="default"/>
                      <w:lang w:val="en-US" w:eastAsia="zh-CN"/>
                    </w:rPr>
                  </w:pPr>
                </w:p>
              </w:tc>
              <w:tc>
                <w:tcPr>
                  <w:tcW w:w="727" w:type="pct"/>
                  <w:vMerge w:val="continue"/>
                  <w:noWrap w:val="0"/>
                  <w:vAlign w:val="center"/>
                </w:tcPr>
                <w:p w14:paraId="04736799">
                  <w:pPr>
                    <w:pStyle w:val="54"/>
                    <w:keepNext w:val="0"/>
                    <w:keepLines w:val="0"/>
                    <w:suppressLineNumbers w:val="0"/>
                    <w:spacing w:before="0" w:beforeAutospacing="0" w:after="0" w:afterAutospacing="0"/>
                    <w:ind w:left="0" w:right="0" w:firstLine="0" w:firstLineChars="0"/>
                    <w:jc w:val="center"/>
                    <w:rPr>
                      <w:rStyle w:val="55"/>
                      <w:rFonts w:hint="eastAsia"/>
                      <w:b w:val="0"/>
                      <w:bCs/>
                      <w:lang w:val="en-US" w:eastAsia="zh-CN"/>
                    </w:rPr>
                  </w:pPr>
                </w:p>
              </w:tc>
              <w:tc>
                <w:tcPr>
                  <w:tcW w:w="846" w:type="pct"/>
                  <w:noWrap w:val="0"/>
                  <w:vAlign w:val="center"/>
                </w:tcPr>
                <w:p w14:paraId="3128A512">
                  <w:pPr>
                    <w:pStyle w:val="53"/>
                    <w:keepNext w:val="0"/>
                    <w:keepLines w:val="0"/>
                    <w:suppressLineNumbers w:val="0"/>
                    <w:spacing w:before="33" w:beforeAutospacing="0" w:after="33" w:afterAutospacing="0"/>
                    <w:ind w:left="24" w:leftChars="10" w:right="24" w:rightChars="10" w:firstLine="0" w:firstLineChars="0"/>
                    <w:jc w:val="center"/>
                    <w:rPr>
                      <w:rFonts w:hint="default"/>
                      <w:lang w:val="en-US" w:eastAsia="zh-CN"/>
                    </w:rPr>
                  </w:pPr>
                  <w:r>
                    <w:rPr>
                      <w:rFonts w:hint="eastAsia"/>
                      <w:lang w:val="en-US" w:eastAsia="zh-CN"/>
                    </w:rPr>
                    <w:t>2000</w:t>
                  </w:r>
                  <w:r>
                    <w:rPr>
                      <w:rFonts w:hint="eastAsia"/>
                      <w:color w:val="auto"/>
                      <w:lang w:val="en-US" w:eastAsia="zh-CN"/>
                    </w:rPr>
                    <w:t>（无量纲）</w:t>
                  </w:r>
                </w:p>
              </w:tc>
            </w:tr>
            <w:tr w14:paraId="3161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232" w:type="pct"/>
                  <w:noWrap w:val="0"/>
                  <w:vAlign w:val="center"/>
                </w:tcPr>
                <w:p w14:paraId="4619FFB8">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2</w:t>
                  </w:r>
                </w:p>
              </w:tc>
              <w:tc>
                <w:tcPr>
                  <w:tcW w:w="308" w:type="pct"/>
                  <w:noWrap w:val="0"/>
                  <w:vAlign w:val="center"/>
                </w:tcPr>
                <w:p w14:paraId="5FCDF563">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DA002</w:t>
                  </w:r>
                </w:p>
              </w:tc>
              <w:tc>
                <w:tcPr>
                  <w:tcW w:w="407" w:type="pct"/>
                  <w:noWrap w:val="0"/>
                  <w:vAlign w:val="center"/>
                </w:tcPr>
                <w:p w14:paraId="6C0DFF62">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2#排气筒</w:t>
                  </w:r>
                </w:p>
              </w:tc>
              <w:tc>
                <w:tcPr>
                  <w:tcW w:w="337" w:type="pct"/>
                  <w:noWrap w:val="0"/>
                  <w:vAlign w:val="center"/>
                </w:tcPr>
                <w:p w14:paraId="043EE769">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油烟</w:t>
                  </w:r>
                </w:p>
              </w:tc>
              <w:tc>
                <w:tcPr>
                  <w:tcW w:w="422" w:type="pct"/>
                  <w:shd w:val="clear" w:color="auto" w:fill="auto"/>
                  <w:noWrap w:val="0"/>
                  <w:vAlign w:val="center"/>
                </w:tcPr>
                <w:p w14:paraId="6CD84FCD">
                  <w:pPr>
                    <w:pStyle w:val="53"/>
                    <w:keepNext w:val="0"/>
                    <w:keepLines w:val="0"/>
                    <w:suppressLineNumbers w:val="0"/>
                    <w:bidi w:val="0"/>
                    <w:spacing w:before="0" w:beforeAutospacing="0" w:after="0" w:afterAutospacing="0"/>
                    <w:ind w:left="24" w:leftChars="10" w:right="24" w:rightChars="10" w:firstLine="0" w:firstLineChars="0"/>
                    <w:jc w:val="center"/>
                    <w:rPr>
                      <w:rFonts w:hint="eastAsia" w:ascii="Calibri" w:hAnsi="Calibri" w:eastAsia="宋体" w:cs="Times New Roman"/>
                      <w:spacing w:val="-2"/>
                      <w:kern w:val="2"/>
                      <w:sz w:val="21"/>
                      <w:szCs w:val="18"/>
                      <w:highlight w:val="none"/>
                      <w:lang w:val="en-US" w:eastAsia="zh-CN" w:bidi="ar-SA"/>
                    </w:rPr>
                  </w:pPr>
                  <w:r>
                    <w:rPr>
                      <w:rFonts w:hint="eastAsia"/>
                      <w:highlight w:val="none"/>
                      <w:lang w:val="en-US" w:eastAsia="zh-CN"/>
                    </w:rPr>
                    <w:t>116.972879</w:t>
                  </w:r>
                </w:p>
              </w:tc>
              <w:tc>
                <w:tcPr>
                  <w:tcW w:w="408" w:type="pct"/>
                  <w:shd w:val="clear" w:color="auto" w:fill="auto"/>
                  <w:noWrap w:val="0"/>
                  <w:vAlign w:val="center"/>
                </w:tcPr>
                <w:p w14:paraId="4CF5CF68">
                  <w:pPr>
                    <w:pStyle w:val="53"/>
                    <w:keepNext w:val="0"/>
                    <w:keepLines w:val="0"/>
                    <w:suppressLineNumbers w:val="0"/>
                    <w:bidi w:val="0"/>
                    <w:spacing w:before="0" w:beforeAutospacing="0" w:after="0" w:afterAutospacing="0"/>
                    <w:ind w:left="24" w:leftChars="10" w:right="24" w:rightChars="10" w:firstLine="0" w:firstLineChars="0"/>
                    <w:jc w:val="center"/>
                    <w:rPr>
                      <w:rFonts w:hint="eastAsia" w:ascii="Calibri" w:hAnsi="Calibri" w:eastAsia="宋体" w:cs="Times New Roman"/>
                      <w:spacing w:val="-2"/>
                      <w:kern w:val="2"/>
                      <w:sz w:val="21"/>
                      <w:szCs w:val="18"/>
                      <w:highlight w:val="none"/>
                      <w:lang w:val="en-US" w:eastAsia="zh-CN" w:bidi="ar-SA"/>
                    </w:rPr>
                  </w:pPr>
                  <w:r>
                    <w:rPr>
                      <w:rFonts w:hint="eastAsia"/>
                      <w:highlight w:val="none"/>
                      <w:lang w:val="en-US" w:eastAsia="zh-CN"/>
                    </w:rPr>
                    <w:t>32.594420</w:t>
                  </w:r>
                </w:p>
              </w:tc>
              <w:tc>
                <w:tcPr>
                  <w:tcW w:w="302" w:type="pct"/>
                  <w:noWrap w:val="0"/>
                  <w:vAlign w:val="center"/>
                </w:tcPr>
                <w:p w14:paraId="0C0B820C">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w:t>
                  </w:r>
                </w:p>
              </w:tc>
              <w:tc>
                <w:tcPr>
                  <w:tcW w:w="416" w:type="pct"/>
                  <w:noWrap w:val="0"/>
                  <w:vAlign w:val="center"/>
                </w:tcPr>
                <w:p w14:paraId="1110C8E8">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0.3</w:t>
                  </w:r>
                </w:p>
              </w:tc>
              <w:tc>
                <w:tcPr>
                  <w:tcW w:w="249" w:type="pct"/>
                  <w:noWrap w:val="0"/>
                  <w:vAlign w:val="center"/>
                </w:tcPr>
                <w:p w14:paraId="537AACAF">
                  <w:pPr>
                    <w:pStyle w:val="5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100</w:t>
                  </w:r>
                </w:p>
              </w:tc>
              <w:tc>
                <w:tcPr>
                  <w:tcW w:w="341" w:type="pct"/>
                  <w:noWrap w:val="0"/>
                  <w:vAlign w:val="center"/>
                </w:tcPr>
                <w:p w14:paraId="4E09D5D8">
                  <w:pPr>
                    <w:pStyle w:val="53"/>
                    <w:keepNext w:val="0"/>
                    <w:keepLines w:val="0"/>
                    <w:suppressLineNumbers w:val="0"/>
                    <w:bidi w:val="0"/>
                    <w:spacing w:before="0" w:beforeAutospacing="0" w:after="0" w:afterAutospacing="0"/>
                    <w:jc w:val="center"/>
                    <w:rPr>
                      <w:rFonts w:hint="default"/>
                      <w:lang w:val="en-US" w:eastAsia="zh-CN"/>
                    </w:rPr>
                  </w:pPr>
                  <w:r>
                    <w:rPr>
                      <w:rFonts w:hint="default"/>
                      <w:lang w:val="en-US" w:eastAsia="zh-CN"/>
                    </w:rPr>
                    <w:t>一般排口</w:t>
                  </w:r>
                </w:p>
              </w:tc>
              <w:tc>
                <w:tcPr>
                  <w:tcW w:w="727" w:type="pct"/>
                  <w:noWrap w:val="0"/>
                  <w:vAlign w:val="center"/>
                </w:tcPr>
                <w:p w14:paraId="210A7AF2">
                  <w:pPr>
                    <w:pStyle w:val="32"/>
                    <w:bidi w:val="0"/>
                    <w:rPr>
                      <w:rStyle w:val="55"/>
                      <w:rFonts w:hint="eastAsia"/>
                      <w:b w:val="0"/>
                      <w:bCs/>
                      <w:lang w:val="en-US" w:eastAsia="zh-CN"/>
                    </w:rPr>
                  </w:pPr>
                  <w:r>
                    <w:rPr>
                      <w:rFonts w:hint="eastAsia"/>
                      <w:lang w:eastAsia="zh-CN"/>
                    </w:rPr>
                    <w:t>（</w:t>
                  </w:r>
                  <w:r>
                    <w:rPr>
                      <w:rFonts w:hint="eastAsia"/>
                      <w:lang w:val="en-US" w:eastAsia="zh-CN"/>
                    </w:rPr>
                    <w:t>GB</w:t>
                  </w:r>
                  <w:r>
                    <w:rPr>
                      <w:rFonts w:hint="eastAsia"/>
                    </w:rPr>
                    <w:t>18483-2001</w:t>
                  </w:r>
                  <w:r>
                    <w:rPr>
                      <w:rFonts w:hint="eastAsia"/>
                      <w:lang w:eastAsia="zh-CN"/>
                    </w:rPr>
                    <w:t>）</w:t>
                  </w:r>
                </w:p>
              </w:tc>
              <w:tc>
                <w:tcPr>
                  <w:tcW w:w="846" w:type="pct"/>
                  <w:noWrap w:val="0"/>
                  <w:vAlign w:val="center"/>
                </w:tcPr>
                <w:p w14:paraId="226D9CF9">
                  <w:pPr>
                    <w:pStyle w:val="53"/>
                    <w:keepNext w:val="0"/>
                    <w:keepLines w:val="0"/>
                    <w:suppressLineNumbers w:val="0"/>
                    <w:spacing w:before="33" w:beforeAutospacing="0" w:after="33" w:afterAutospacing="0"/>
                    <w:ind w:left="24" w:leftChars="10" w:right="24" w:rightChars="10" w:firstLine="0" w:firstLineChars="0"/>
                    <w:jc w:val="center"/>
                    <w:rPr>
                      <w:rFonts w:hint="default"/>
                      <w:lang w:val="en-US" w:eastAsia="zh-CN"/>
                    </w:rPr>
                  </w:pPr>
                  <w:r>
                    <w:rPr>
                      <w:rFonts w:hint="eastAsia"/>
                      <w:lang w:val="en-US" w:eastAsia="zh-CN"/>
                    </w:rPr>
                    <w:t xml:space="preserve">2.0 </w:t>
                  </w:r>
                  <w:r>
                    <w:rPr>
                      <w:rFonts w:hint="default"/>
                      <w:b w:val="0"/>
                      <w:bCs w:val="0"/>
                      <w:lang w:val="en-US" w:eastAsia="zh-CN"/>
                    </w:rPr>
                    <w:t>mg/m³</w:t>
                  </w:r>
                </w:p>
              </w:tc>
            </w:tr>
            <w:tr w14:paraId="0072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000" w:type="pct"/>
                  <w:gridSpan w:val="12"/>
                  <w:noWrap w:val="0"/>
                  <w:vAlign w:val="center"/>
                </w:tcPr>
                <w:p w14:paraId="27E7ADC8">
                  <w:pPr>
                    <w:pStyle w:val="45"/>
                    <w:bidi w:val="0"/>
                    <w:jc w:val="left"/>
                    <w:rPr>
                      <w:rFonts w:hint="eastAsia"/>
                      <w:lang w:val="en-US" w:eastAsia="zh-CN"/>
                    </w:rPr>
                  </w:pPr>
                  <w:r>
                    <w:rPr>
                      <w:rFonts w:hint="eastAsia"/>
                      <w:b/>
                      <w:bCs/>
                      <w:sz w:val="18"/>
                      <w:szCs w:val="18"/>
                      <w:lang w:val="en-US" w:eastAsia="zh-CN"/>
                    </w:rPr>
                    <w:t>注：</w:t>
                  </w:r>
                  <w:r>
                    <w:rPr>
                      <w:rFonts w:hint="default"/>
                      <w:b/>
                      <w:bCs/>
                      <w:sz w:val="18"/>
                      <w:szCs w:val="18"/>
                      <w:lang w:val="en-US" w:eastAsia="zh-CN"/>
                    </w:rPr>
                    <w:t>《排污许可证与核发技术规范</w:t>
                  </w:r>
                  <w:r>
                    <w:rPr>
                      <w:rFonts w:hint="eastAsia"/>
                      <w:b/>
                      <w:bCs/>
                      <w:sz w:val="18"/>
                      <w:szCs w:val="18"/>
                      <w:lang w:val="en-US" w:eastAsia="zh-CN"/>
                    </w:rPr>
                    <w:t xml:space="preserve"> </w:t>
                  </w:r>
                  <w:r>
                    <w:rPr>
                      <w:rFonts w:hint="default"/>
                      <w:b/>
                      <w:bCs/>
                      <w:sz w:val="18"/>
                      <w:szCs w:val="18"/>
                      <w:lang w:val="en-US" w:eastAsia="zh-CN"/>
                    </w:rPr>
                    <w:t>医疗机构》</w:t>
                  </w:r>
                  <w:r>
                    <w:rPr>
                      <w:rFonts w:hint="eastAsia"/>
                      <w:b/>
                      <w:bCs/>
                      <w:sz w:val="18"/>
                      <w:szCs w:val="18"/>
                      <w:lang w:val="en-US" w:eastAsia="zh-CN"/>
                    </w:rPr>
                    <w:t>（HJ1105-2020），项目无主要排放口</w:t>
                  </w:r>
                </w:p>
              </w:tc>
            </w:tr>
          </w:tbl>
          <w:p w14:paraId="120A730C">
            <w:pPr>
              <w:pStyle w:val="41"/>
              <w:bidi w:val="0"/>
              <w:jc w:val="center"/>
            </w:pPr>
            <w:r>
              <w:t>表</w:t>
            </w:r>
            <w:r>
              <w:rPr>
                <w:rFonts w:hint="eastAsia"/>
              </w:rPr>
              <w:t>4-</w:t>
            </w:r>
            <w:r>
              <w:rPr>
                <w:rFonts w:hint="eastAsia"/>
                <w:lang w:val="en-US" w:eastAsia="zh-CN"/>
              </w:rPr>
              <w:t xml:space="preserve">4  </w:t>
            </w:r>
            <w:r>
              <w:rPr>
                <w:rFonts w:hint="eastAsia"/>
              </w:rPr>
              <w:t>本项目无</w:t>
            </w:r>
            <w:r>
              <w:t>组织废气排放基本信息一览表</w:t>
            </w:r>
          </w:p>
          <w:tbl>
            <w:tblPr>
              <w:tblStyle w:val="18"/>
              <w:tblW w:w="13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5"/>
              <w:gridCol w:w="1368"/>
              <w:gridCol w:w="1260"/>
              <w:gridCol w:w="1896"/>
              <w:gridCol w:w="4028"/>
              <w:gridCol w:w="2047"/>
              <w:gridCol w:w="1912"/>
            </w:tblGrid>
            <w:tr w14:paraId="78E3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95" w:type="dxa"/>
                  <w:vMerge w:val="restart"/>
                  <w:noWrap w:val="0"/>
                  <w:vAlign w:val="center"/>
                </w:tcPr>
                <w:p w14:paraId="5DB79BE6">
                  <w:pPr>
                    <w:pStyle w:val="45"/>
                    <w:keepNext w:val="0"/>
                    <w:keepLines w:val="0"/>
                    <w:suppressLineNumbers w:val="0"/>
                    <w:bidi w:val="0"/>
                    <w:spacing w:before="0" w:beforeAutospacing="0" w:after="0" w:afterAutospacing="0"/>
                    <w:rPr>
                      <w:b/>
                      <w:bCs/>
                      <w:lang w:val="en-US" w:eastAsia="zh-CN"/>
                    </w:rPr>
                  </w:pPr>
                  <w:r>
                    <w:rPr>
                      <w:b/>
                      <w:bCs/>
                      <w:lang w:val="en-US" w:eastAsia="zh-CN"/>
                    </w:rPr>
                    <w:t>序号</w:t>
                  </w:r>
                </w:p>
              </w:tc>
              <w:tc>
                <w:tcPr>
                  <w:tcW w:w="1368" w:type="dxa"/>
                  <w:vMerge w:val="restart"/>
                  <w:noWrap w:val="0"/>
                  <w:vAlign w:val="center"/>
                </w:tcPr>
                <w:p w14:paraId="36C80B3A">
                  <w:pPr>
                    <w:pStyle w:val="45"/>
                    <w:keepNext w:val="0"/>
                    <w:keepLines w:val="0"/>
                    <w:suppressLineNumbers w:val="0"/>
                    <w:bidi w:val="0"/>
                    <w:spacing w:before="0" w:beforeAutospacing="0" w:after="0" w:afterAutospacing="0"/>
                    <w:rPr>
                      <w:b/>
                      <w:bCs/>
                      <w:lang w:val="en-US" w:eastAsia="zh-CN"/>
                    </w:rPr>
                  </w:pPr>
                  <w:r>
                    <w:rPr>
                      <w:b/>
                      <w:bCs/>
                      <w:lang w:val="en-US" w:eastAsia="zh-CN"/>
                    </w:rPr>
                    <w:t>生产设施编号/无组织排放编号</w:t>
                  </w:r>
                </w:p>
              </w:tc>
              <w:tc>
                <w:tcPr>
                  <w:tcW w:w="1260" w:type="dxa"/>
                  <w:vMerge w:val="restart"/>
                  <w:noWrap w:val="0"/>
                  <w:vAlign w:val="center"/>
                </w:tcPr>
                <w:p w14:paraId="04C3022F">
                  <w:pPr>
                    <w:pStyle w:val="45"/>
                    <w:keepNext w:val="0"/>
                    <w:keepLines w:val="0"/>
                    <w:suppressLineNumbers w:val="0"/>
                    <w:bidi w:val="0"/>
                    <w:spacing w:before="0" w:beforeAutospacing="0" w:after="0" w:afterAutospacing="0"/>
                    <w:rPr>
                      <w:b/>
                      <w:bCs/>
                      <w:lang w:val="en-US" w:eastAsia="zh-CN"/>
                    </w:rPr>
                  </w:pPr>
                  <w:r>
                    <w:rPr>
                      <w:b/>
                      <w:bCs/>
                      <w:lang w:val="en-US" w:eastAsia="zh-CN"/>
                    </w:rPr>
                    <w:t>产污环节</w:t>
                  </w:r>
                </w:p>
              </w:tc>
              <w:tc>
                <w:tcPr>
                  <w:tcW w:w="1896" w:type="dxa"/>
                  <w:vMerge w:val="restart"/>
                  <w:noWrap w:val="0"/>
                  <w:vAlign w:val="center"/>
                </w:tcPr>
                <w:p w14:paraId="050A0EF3">
                  <w:pPr>
                    <w:pStyle w:val="45"/>
                    <w:keepNext w:val="0"/>
                    <w:keepLines w:val="0"/>
                    <w:suppressLineNumbers w:val="0"/>
                    <w:bidi w:val="0"/>
                    <w:spacing w:before="0" w:beforeAutospacing="0" w:after="0" w:afterAutospacing="0"/>
                    <w:rPr>
                      <w:b/>
                      <w:bCs/>
                      <w:lang w:val="en-US" w:eastAsia="zh-CN"/>
                    </w:rPr>
                  </w:pPr>
                  <w:r>
                    <w:rPr>
                      <w:b/>
                      <w:bCs/>
                      <w:lang w:val="en-US" w:eastAsia="zh-CN"/>
                    </w:rPr>
                    <w:t>污染物种类</w:t>
                  </w:r>
                </w:p>
              </w:tc>
              <w:tc>
                <w:tcPr>
                  <w:tcW w:w="4028" w:type="dxa"/>
                  <w:vMerge w:val="restart"/>
                  <w:noWrap w:val="0"/>
                  <w:vAlign w:val="center"/>
                </w:tcPr>
                <w:p w14:paraId="623332ED">
                  <w:pPr>
                    <w:pStyle w:val="45"/>
                    <w:keepNext w:val="0"/>
                    <w:keepLines w:val="0"/>
                    <w:suppressLineNumbers w:val="0"/>
                    <w:bidi w:val="0"/>
                    <w:spacing w:before="0" w:beforeAutospacing="0" w:after="0" w:afterAutospacing="0"/>
                    <w:rPr>
                      <w:b/>
                      <w:bCs/>
                      <w:lang w:val="en-US" w:eastAsia="zh-CN"/>
                    </w:rPr>
                  </w:pPr>
                  <w:r>
                    <w:rPr>
                      <w:b/>
                      <w:bCs/>
                      <w:lang w:val="en-US" w:eastAsia="zh-CN"/>
                    </w:rPr>
                    <w:t>主要污染防治措施</w:t>
                  </w:r>
                </w:p>
              </w:tc>
              <w:tc>
                <w:tcPr>
                  <w:tcW w:w="3959" w:type="dxa"/>
                  <w:gridSpan w:val="2"/>
                  <w:noWrap w:val="0"/>
                  <w:vAlign w:val="center"/>
                </w:tcPr>
                <w:p w14:paraId="0E874BE9">
                  <w:pPr>
                    <w:pStyle w:val="45"/>
                    <w:keepNext w:val="0"/>
                    <w:keepLines w:val="0"/>
                    <w:suppressLineNumbers w:val="0"/>
                    <w:bidi w:val="0"/>
                    <w:spacing w:before="0" w:beforeAutospacing="0" w:after="0" w:afterAutospacing="0"/>
                    <w:rPr>
                      <w:b/>
                      <w:bCs/>
                      <w:lang w:val="en-US" w:eastAsia="zh-CN"/>
                    </w:rPr>
                  </w:pPr>
                  <w:r>
                    <w:rPr>
                      <w:b/>
                      <w:bCs/>
                      <w:lang w:val="en-US" w:eastAsia="zh-CN"/>
                    </w:rPr>
                    <w:t>国家或地方污染物排放标准</w:t>
                  </w:r>
                </w:p>
              </w:tc>
            </w:tr>
            <w:tr w14:paraId="5264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95" w:type="dxa"/>
                  <w:vMerge w:val="continue"/>
                  <w:noWrap w:val="0"/>
                  <w:vAlign w:val="center"/>
                </w:tcPr>
                <w:p w14:paraId="5011E455">
                  <w:pPr>
                    <w:pStyle w:val="45"/>
                    <w:keepNext w:val="0"/>
                    <w:keepLines w:val="0"/>
                    <w:suppressLineNumbers w:val="0"/>
                    <w:bidi w:val="0"/>
                    <w:spacing w:before="0" w:beforeAutospacing="0" w:after="0" w:afterAutospacing="0"/>
                    <w:rPr>
                      <w:b/>
                      <w:bCs/>
                      <w:lang w:val="en-US" w:eastAsia="zh-CN"/>
                    </w:rPr>
                  </w:pPr>
                </w:p>
              </w:tc>
              <w:tc>
                <w:tcPr>
                  <w:tcW w:w="1368" w:type="dxa"/>
                  <w:vMerge w:val="continue"/>
                  <w:noWrap w:val="0"/>
                  <w:vAlign w:val="center"/>
                </w:tcPr>
                <w:p w14:paraId="5FDDDAD0">
                  <w:pPr>
                    <w:pStyle w:val="45"/>
                    <w:keepNext w:val="0"/>
                    <w:keepLines w:val="0"/>
                    <w:suppressLineNumbers w:val="0"/>
                    <w:bidi w:val="0"/>
                    <w:spacing w:before="0" w:beforeAutospacing="0" w:after="0" w:afterAutospacing="0"/>
                    <w:rPr>
                      <w:b/>
                      <w:bCs/>
                      <w:lang w:val="en-US" w:eastAsia="zh-CN"/>
                    </w:rPr>
                  </w:pPr>
                </w:p>
              </w:tc>
              <w:tc>
                <w:tcPr>
                  <w:tcW w:w="1260" w:type="dxa"/>
                  <w:vMerge w:val="continue"/>
                  <w:noWrap w:val="0"/>
                  <w:vAlign w:val="center"/>
                </w:tcPr>
                <w:p w14:paraId="28B674E5">
                  <w:pPr>
                    <w:pStyle w:val="45"/>
                    <w:keepNext w:val="0"/>
                    <w:keepLines w:val="0"/>
                    <w:suppressLineNumbers w:val="0"/>
                    <w:bidi w:val="0"/>
                    <w:spacing w:before="0" w:beforeAutospacing="0" w:after="0" w:afterAutospacing="0"/>
                    <w:rPr>
                      <w:b/>
                      <w:bCs/>
                      <w:lang w:val="en-US" w:eastAsia="zh-CN"/>
                    </w:rPr>
                  </w:pPr>
                </w:p>
              </w:tc>
              <w:tc>
                <w:tcPr>
                  <w:tcW w:w="1896" w:type="dxa"/>
                  <w:vMerge w:val="continue"/>
                  <w:noWrap w:val="0"/>
                  <w:vAlign w:val="center"/>
                </w:tcPr>
                <w:p w14:paraId="1775CA77">
                  <w:pPr>
                    <w:pStyle w:val="45"/>
                    <w:keepNext w:val="0"/>
                    <w:keepLines w:val="0"/>
                    <w:suppressLineNumbers w:val="0"/>
                    <w:bidi w:val="0"/>
                    <w:spacing w:before="0" w:beforeAutospacing="0" w:after="0" w:afterAutospacing="0"/>
                    <w:rPr>
                      <w:b/>
                      <w:bCs/>
                      <w:lang w:val="en-US" w:eastAsia="zh-CN"/>
                    </w:rPr>
                  </w:pPr>
                </w:p>
              </w:tc>
              <w:tc>
                <w:tcPr>
                  <w:tcW w:w="4028" w:type="dxa"/>
                  <w:vMerge w:val="continue"/>
                  <w:noWrap w:val="0"/>
                  <w:vAlign w:val="center"/>
                </w:tcPr>
                <w:p w14:paraId="122F38F3">
                  <w:pPr>
                    <w:pStyle w:val="45"/>
                    <w:keepNext w:val="0"/>
                    <w:keepLines w:val="0"/>
                    <w:suppressLineNumbers w:val="0"/>
                    <w:bidi w:val="0"/>
                    <w:spacing w:before="0" w:beforeAutospacing="0" w:after="0" w:afterAutospacing="0"/>
                    <w:rPr>
                      <w:b/>
                      <w:bCs/>
                      <w:lang w:val="en-US" w:eastAsia="zh-CN"/>
                    </w:rPr>
                  </w:pPr>
                </w:p>
              </w:tc>
              <w:tc>
                <w:tcPr>
                  <w:tcW w:w="2047" w:type="dxa"/>
                  <w:noWrap w:val="0"/>
                  <w:vAlign w:val="center"/>
                </w:tcPr>
                <w:p w14:paraId="0F467249">
                  <w:pPr>
                    <w:pStyle w:val="45"/>
                    <w:keepNext w:val="0"/>
                    <w:keepLines w:val="0"/>
                    <w:suppressLineNumbers w:val="0"/>
                    <w:bidi w:val="0"/>
                    <w:spacing w:before="0" w:beforeAutospacing="0" w:after="0" w:afterAutospacing="0"/>
                    <w:rPr>
                      <w:b/>
                      <w:bCs/>
                      <w:lang w:val="en-US" w:eastAsia="zh-CN"/>
                    </w:rPr>
                  </w:pPr>
                  <w:r>
                    <w:rPr>
                      <w:b/>
                      <w:bCs/>
                      <w:lang w:val="en-US" w:eastAsia="zh-CN"/>
                    </w:rPr>
                    <w:t>名称</w:t>
                  </w:r>
                </w:p>
              </w:tc>
              <w:tc>
                <w:tcPr>
                  <w:tcW w:w="1912" w:type="dxa"/>
                  <w:noWrap w:val="0"/>
                  <w:vAlign w:val="center"/>
                </w:tcPr>
                <w:p w14:paraId="7FEF6E89">
                  <w:pPr>
                    <w:pStyle w:val="45"/>
                    <w:keepNext w:val="0"/>
                    <w:keepLines w:val="0"/>
                    <w:suppressLineNumbers w:val="0"/>
                    <w:bidi w:val="0"/>
                    <w:spacing w:before="0" w:beforeAutospacing="0" w:after="0" w:afterAutospacing="0"/>
                    <w:rPr>
                      <w:b/>
                      <w:bCs/>
                      <w:lang w:val="en-US" w:eastAsia="zh-CN"/>
                    </w:rPr>
                  </w:pPr>
                  <w:r>
                    <w:rPr>
                      <w:b/>
                      <w:bCs/>
                      <w:lang w:val="en-US" w:eastAsia="zh-CN"/>
                    </w:rPr>
                    <w:t>浓度限值</w:t>
                  </w:r>
                </w:p>
                <w:p w14:paraId="13E36369">
                  <w:pPr>
                    <w:pStyle w:val="45"/>
                    <w:keepNext w:val="0"/>
                    <w:keepLines w:val="0"/>
                    <w:suppressLineNumbers w:val="0"/>
                    <w:bidi w:val="0"/>
                    <w:spacing w:before="0" w:beforeAutospacing="0" w:after="0" w:afterAutospacing="0"/>
                    <w:rPr>
                      <w:b/>
                      <w:bCs/>
                      <w:lang w:val="en-US" w:eastAsia="zh-CN"/>
                    </w:rPr>
                  </w:pPr>
                  <w:r>
                    <w:rPr>
                      <w:b/>
                      <w:bCs/>
                      <w:lang w:val="en-US" w:eastAsia="zh-CN"/>
                    </w:rPr>
                    <w:t>（mg/N</w:t>
                  </w:r>
                  <w:r>
                    <w:rPr>
                      <w:rFonts w:hint="eastAsia"/>
                      <w:b/>
                      <w:bCs/>
                      <w:lang w:val="en-US" w:eastAsia="zh-CN"/>
                    </w:rPr>
                    <w:t>m³</w:t>
                  </w:r>
                  <w:r>
                    <w:rPr>
                      <w:b/>
                      <w:bCs/>
                      <w:lang w:val="en-US" w:eastAsia="zh-CN"/>
                    </w:rPr>
                    <w:t>）</w:t>
                  </w:r>
                </w:p>
              </w:tc>
            </w:tr>
            <w:tr w14:paraId="6D01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95" w:type="dxa"/>
                  <w:noWrap w:val="0"/>
                  <w:vAlign w:val="center"/>
                </w:tcPr>
                <w:p w14:paraId="4A121730">
                  <w:pPr>
                    <w:pStyle w:val="45"/>
                    <w:keepNext w:val="0"/>
                    <w:keepLines w:val="0"/>
                    <w:suppressLineNumbers w:val="0"/>
                    <w:bidi w:val="0"/>
                    <w:spacing w:before="0" w:beforeAutospacing="0" w:after="0" w:afterAutospacing="0"/>
                    <w:rPr>
                      <w:lang w:val="en-US" w:eastAsia="zh-CN"/>
                    </w:rPr>
                  </w:pPr>
                  <w:r>
                    <w:rPr>
                      <w:lang w:val="en-US" w:eastAsia="zh-CN"/>
                    </w:rPr>
                    <w:t>1</w:t>
                  </w:r>
                </w:p>
              </w:tc>
              <w:tc>
                <w:tcPr>
                  <w:tcW w:w="1368" w:type="dxa"/>
                  <w:vMerge w:val="restart"/>
                  <w:noWrap w:val="0"/>
                  <w:vAlign w:val="center"/>
                </w:tcPr>
                <w:p w14:paraId="5279784D">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污水处理站</w:t>
                  </w:r>
                </w:p>
              </w:tc>
              <w:tc>
                <w:tcPr>
                  <w:tcW w:w="1260" w:type="dxa"/>
                  <w:vMerge w:val="restart"/>
                  <w:noWrap w:val="0"/>
                  <w:vAlign w:val="center"/>
                </w:tcPr>
                <w:p w14:paraId="7329A156">
                  <w:pPr>
                    <w:pStyle w:val="45"/>
                    <w:keepNext w:val="0"/>
                    <w:keepLines w:val="0"/>
                    <w:suppressLineNumbers w:val="0"/>
                    <w:bidi w:val="0"/>
                    <w:spacing w:before="0" w:beforeAutospacing="0" w:after="0" w:afterAutospacing="0"/>
                    <w:rPr>
                      <w:lang w:val="en-US" w:eastAsia="zh-CN"/>
                    </w:rPr>
                  </w:pPr>
                  <w:r>
                    <w:rPr>
                      <w:lang w:val="en-US" w:eastAsia="zh-CN"/>
                    </w:rPr>
                    <w:t>废气未被收集</w:t>
                  </w:r>
                </w:p>
              </w:tc>
              <w:tc>
                <w:tcPr>
                  <w:tcW w:w="1896" w:type="dxa"/>
                  <w:shd w:val="clear" w:color="auto" w:fill="auto"/>
                  <w:noWrap w:val="0"/>
                  <w:vAlign w:val="center"/>
                </w:tcPr>
                <w:p w14:paraId="39E1614D">
                  <w:pPr>
                    <w:pStyle w:val="45"/>
                    <w:keepNext w:val="0"/>
                    <w:keepLines w:val="0"/>
                    <w:suppressLineNumbers w:val="0"/>
                    <w:bidi w:val="0"/>
                    <w:spacing w:before="0" w:beforeAutospacing="0" w:after="0" w:afterAutospacing="0"/>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氨</w:t>
                  </w:r>
                </w:p>
              </w:tc>
              <w:tc>
                <w:tcPr>
                  <w:tcW w:w="4028" w:type="dxa"/>
                  <w:vMerge w:val="restart"/>
                  <w:noWrap w:val="0"/>
                  <w:vAlign w:val="center"/>
                </w:tcPr>
                <w:p w14:paraId="305DB7FF">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加盖密闭</w:t>
                  </w:r>
                  <w:r>
                    <w:rPr>
                      <w:lang w:val="en-US" w:eastAsia="zh-CN"/>
                    </w:rPr>
                    <w:t>，减少无组织排放</w:t>
                  </w:r>
                  <w:r>
                    <w:rPr>
                      <w:rFonts w:hint="eastAsia"/>
                      <w:lang w:val="en-US" w:eastAsia="zh-CN"/>
                    </w:rPr>
                    <w:t>、定期喷洒除臭剂</w:t>
                  </w:r>
                </w:p>
              </w:tc>
              <w:tc>
                <w:tcPr>
                  <w:tcW w:w="2047" w:type="dxa"/>
                  <w:vMerge w:val="restart"/>
                  <w:shd w:val="clear" w:color="auto" w:fill="auto"/>
                  <w:noWrap w:val="0"/>
                  <w:vAlign w:val="center"/>
                </w:tcPr>
                <w:p w14:paraId="16069C39">
                  <w:pPr>
                    <w:pStyle w:val="45"/>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eastAsia="宋体" w:cs="Times New Roman"/>
                      <w:b w:val="0"/>
                      <w:spacing w:val="-2"/>
                      <w:kern w:val="2"/>
                      <w:sz w:val="21"/>
                      <w:szCs w:val="21"/>
                      <w:lang w:val="en-US" w:eastAsia="zh-CN" w:bidi="ar-SA"/>
                    </w:rPr>
                  </w:pPr>
                  <w:r>
                    <w:rPr>
                      <w:rFonts w:hint="eastAsia" w:ascii="宋体" w:eastAsia="宋体" w:cs="宋体"/>
                      <w:lang w:val="en-US" w:eastAsia="zh-CN"/>
                    </w:rPr>
                    <w:t>（GB18466-2005）</w:t>
                  </w:r>
                </w:p>
              </w:tc>
              <w:tc>
                <w:tcPr>
                  <w:tcW w:w="1912" w:type="dxa"/>
                  <w:shd w:val="clear" w:color="auto" w:fill="auto"/>
                  <w:noWrap w:val="0"/>
                  <w:vAlign w:val="center"/>
                </w:tcPr>
                <w:p w14:paraId="06A950C8">
                  <w:pPr>
                    <w:pStyle w:val="45"/>
                    <w:keepNext w:val="0"/>
                    <w:keepLines w:val="0"/>
                    <w:suppressLineNumbers w:val="0"/>
                    <w:bidi w:val="0"/>
                    <w:spacing w:before="0" w:beforeAutospacing="0" w:after="0" w:afterAutospacing="0"/>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1.0</w:t>
                  </w:r>
                </w:p>
              </w:tc>
            </w:tr>
            <w:tr w14:paraId="06F2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blHeader/>
                <w:jc w:val="center"/>
              </w:trPr>
              <w:tc>
                <w:tcPr>
                  <w:tcW w:w="795" w:type="dxa"/>
                  <w:noWrap w:val="0"/>
                  <w:vAlign w:val="center"/>
                </w:tcPr>
                <w:p w14:paraId="37FDCF98">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2</w:t>
                  </w:r>
                </w:p>
              </w:tc>
              <w:tc>
                <w:tcPr>
                  <w:tcW w:w="1368" w:type="dxa"/>
                  <w:vMerge w:val="continue"/>
                  <w:noWrap w:val="0"/>
                  <w:vAlign w:val="center"/>
                </w:tcPr>
                <w:p w14:paraId="15E8B004">
                  <w:pPr>
                    <w:pStyle w:val="45"/>
                    <w:keepNext w:val="0"/>
                    <w:keepLines w:val="0"/>
                    <w:suppressLineNumbers w:val="0"/>
                    <w:bidi w:val="0"/>
                    <w:spacing w:before="0" w:beforeAutospacing="0" w:after="0" w:afterAutospacing="0"/>
                    <w:rPr>
                      <w:rFonts w:hint="eastAsia"/>
                      <w:lang w:val="en-US" w:eastAsia="zh-CN"/>
                    </w:rPr>
                  </w:pPr>
                </w:p>
              </w:tc>
              <w:tc>
                <w:tcPr>
                  <w:tcW w:w="1260" w:type="dxa"/>
                  <w:vMerge w:val="continue"/>
                  <w:noWrap w:val="0"/>
                  <w:vAlign w:val="center"/>
                </w:tcPr>
                <w:p w14:paraId="087F3C8A">
                  <w:pPr>
                    <w:pStyle w:val="45"/>
                    <w:keepNext w:val="0"/>
                    <w:keepLines w:val="0"/>
                    <w:suppressLineNumbers w:val="0"/>
                    <w:bidi w:val="0"/>
                    <w:spacing w:before="0" w:beforeAutospacing="0" w:after="0" w:afterAutospacing="0"/>
                    <w:rPr>
                      <w:lang w:val="en-US" w:eastAsia="zh-CN"/>
                    </w:rPr>
                  </w:pPr>
                </w:p>
              </w:tc>
              <w:tc>
                <w:tcPr>
                  <w:tcW w:w="1896" w:type="dxa"/>
                  <w:shd w:val="clear" w:color="auto" w:fill="auto"/>
                  <w:noWrap w:val="0"/>
                  <w:vAlign w:val="center"/>
                </w:tcPr>
                <w:p w14:paraId="06C29D61">
                  <w:pPr>
                    <w:pStyle w:val="45"/>
                    <w:keepNext w:val="0"/>
                    <w:keepLines w:val="0"/>
                    <w:suppressLineNumbers w:val="0"/>
                    <w:bidi w:val="0"/>
                    <w:spacing w:before="0" w:beforeAutospacing="0" w:after="0" w:afterAutospacing="0"/>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硫化氢</w:t>
                  </w:r>
                </w:p>
              </w:tc>
              <w:tc>
                <w:tcPr>
                  <w:tcW w:w="4028" w:type="dxa"/>
                  <w:vMerge w:val="continue"/>
                  <w:noWrap w:val="0"/>
                  <w:vAlign w:val="center"/>
                </w:tcPr>
                <w:p w14:paraId="2C42AA45">
                  <w:pPr>
                    <w:pStyle w:val="45"/>
                    <w:keepNext w:val="0"/>
                    <w:keepLines w:val="0"/>
                    <w:suppressLineNumbers w:val="0"/>
                    <w:bidi w:val="0"/>
                    <w:spacing w:before="0" w:beforeAutospacing="0" w:after="0" w:afterAutospacing="0"/>
                    <w:rPr>
                      <w:lang w:val="en-US" w:eastAsia="zh-CN"/>
                    </w:rPr>
                  </w:pPr>
                </w:p>
              </w:tc>
              <w:tc>
                <w:tcPr>
                  <w:tcW w:w="2047" w:type="dxa"/>
                  <w:vMerge w:val="continue"/>
                  <w:shd w:val="clear" w:color="auto" w:fill="auto"/>
                  <w:noWrap w:val="0"/>
                  <w:vAlign w:val="center"/>
                </w:tcPr>
                <w:p w14:paraId="79609521">
                  <w:pPr>
                    <w:pStyle w:val="45"/>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p>
              </w:tc>
              <w:tc>
                <w:tcPr>
                  <w:tcW w:w="1912" w:type="dxa"/>
                  <w:shd w:val="clear" w:color="auto" w:fill="auto"/>
                  <w:noWrap w:val="0"/>
                  <w:vAlign w:val="center"/>
                </w:tcPr>
                <w:p w14:paraId="0F63C97D">
                  <w:pPr>
                    <w:pStyle w:val="45"/>
                    <w:keepNext w:val="0"/>
                    <w:keepLines w:val="0"/>
                    <w:suppressLineNumbers w:val="0"/>
                    <w:bidi w:val="0"/>
                    <w:spacing w:before="0" w:beforeAutospacing="0" w:after="0" w:afterAutospacing="0"/>
                    <w:ind w:left="24" w:leftChars="10" w:right="24" w:rightChars="10" w:firstLine="0" w:firstLineChars="0"/>
                    <w:rPr>
                      <w:rFonts w:hint="default"/>
                      <w:lang w:val="en-US" w:eastAsia="zh-CN"/>
                    </w:rPr>
                  </w:pPr>
                  <w:r>
                    <w:rPr>
                      <w:rFonts w:hint="eastAsia"/>
                      <w:lang w:val="en-US" w:eastAsia="zh-CN"/>
                    </w:rPr>
                    <w:t>0.03</w:t>
                  </w:r>
                </w:p>
              </w:tc>
            </w:tr>
            <w:tr w14:paraId="0E1D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blHeader/>
                <w:jc w:val="center"/>
              </w:trPr>
              <w:tc>
                <w:tcPr>
                  <w:tcW w:w="795" w:type="dxa"/>
                  <w:noWrap w:val="0"/>
                  <w:vAlign w:val="center"/>
                </w:tcPr>
                <w:p w14:paraId="6B1E364E">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3</w:t>
                  </w:r>
                </w:p>
              </w:tc>
              <w:tc>
                <w:tcPr>
                  <w:tcW w:w="1368" w:type="dxa"/>
                  <w:vMerge w:val="continue"/>
                  <w:noWrap w:val="0"/>
                  <w:vAlign w:val="center"/>
                </w:tcPr>
                <w:p w14:paraId="5F844440">
                  <w:pPr>
                    <w:pStyle w:val="45"/>
                    <w:keepNext w:val="0"/>
                    <w:keepLines w:val="0"/>
                    <w:suppressLineNumbers w:val="0"/>
                    <w:bidi w:val="0"/>
                    <w:spacing w:before="0" w:beforeAutospacing="0" w:after="0" w:afterAutospacing="0"/>
                    <w:rPr>
                      <w:rFonts w:hint="eastAsia"/>
                      <w:lang w:val="en-US" w:eastAsia="zh-CN"/>
                    </w:rPr>
                  </w:pPr>
                </w:p>
              </w:tc>
              <w:tc>
                <w:tcPr>
                  <w:tcW w:w="1260" w:type="dxa"/>
                  <w:vMerge w:val="continue"/>
                  <w:noWrap w:val="0"/>
                  <w:vAlign w:val="center"/>
                </w:tcPr>
                <w:p w14:paraId="7963F9C3">
                  <w:pPr>
                    <w:pStyle w:val="45"/>
                    <w:keepNext w:val="0"/>
                    <w:keepLines w:val="0"/>
                    <w:suppressLineNumbers w:val="0"/>
                    <w:bidi w:val="0"/>
                    <w:spacing w:before="0" w:beforeAutospacing="0" w:after="0" w:afterAutospacing="0"/>
                    <w:rPr>
                      <w:lang w:val="en-US" w:eastAsia="zh-CN"/>
                    </w:rPr>
                  </w:pPr>
                </w:p>
              </w:tc>
              <w:tc>
                <w:tcPr>
                  <w:tcW w:w="1896" w:type="dxa"/>
                  <w:shd w:val="clear" w:color="auto" w:fill="auto"/>
                  <w:noWrap w:val="0"/>
                  <w:vAlign w:val="center"/>
                </w:tcPr>
                <w:p w14:paraId="0E257000">
                  <w:pPr>
                    <w:pStyle w:val="32"/>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氯气</w:t>
                  </w:r>
                </w:p>
              </w:tc>
              <w:tc>
                <w:tcPr>
                  <w:tcW w:w="4028" w:type="dxa"/>
                  <w:vMerge w:val="continue"/>
                  <w:noWrap w:val="0"/>
                  <w:vAlign w:val="center"/>
                </w:tcPr>
                <w:p w14:paraId="50F8FAC8">
                  <w:pPr>
                    <w:pStyle w:val="45"/>
                    <w:keepNext w:val="0"/>
                    <w:keepLines w:val="0"/>
                    <w:suppressLineNumbers w:val="0"/>
                    <w:bidi w:val="0"/>
                    <w:spacing w:before="0" w:beforeAutospacing="0" w:after="0" w:afterAutospacing="0"/>
                    <w:rPr>
                      <w:lang w:val="en-US" w:eastAsia="zh-CN"/>
                    </w:rPr>
                  </w:pPr>
                </w:p>
              </w:tc>
              <w:tc>
                <w:tcPr>
                  <w:tcW w:w="2047" w:type="dxa"/>
                  <w:vMerge w:val="continue"/>
                  <w:shd w:val="clear" w:color="auto" w:fill="auto"/>
                  <w:noWrap w:val="0"/>
                  <w:vAlign w:val="center"/>
                </w:tcPr>
                <w:p w14:paraId="0E9F7E2F">
                  <w:pPr>
                    <w:pStyle w:val="45"/>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p>
              </w:tc>
              <w:tc>
                <w:tcPr>
                  <w:tcW w:w="1912" w:type="dxa"/>
                  <w:shd w:val="clear" w:color="auto" w:fill="auto"/>
                  <w:noWrap w:val="0"/>
                  <w:vAlign w:val="center"/>
                </w:tcPr>
                <w:p w14:paraId="5329E5C4">
                  <w:pPr>
                    <w:pStyle w:val="32"/>
                    <w:bidi w:val="0"/>
                    <w:ind w:firstLine="0" w:firstLineChars="0"/>
                    <w:rPr>
                      <w:rFonts w:hint="eastAsia" w:ascii="宋体" w:hAnsi="Courier New" w:eastAsia="宋体" w:cs="宋体"/>
                      <w:b w:val="0"/>
                      <w:spacing w:val="-2"/>
                      <w:kern w:val="0"/>
                      <w:sz w:val="21"/>
                      <w:szCs w:val="21"/>
                      <w:lang w:val="en-US" w:eastAsia="zh-CN" w:bidi="ar-SA"/>
                    </w:rPr>
                  </w:pPr>
                  <w:r>
                    <w:rPr>
                      <w:rFonts w:hint="eastAsia" w:ascii="宋体" w:hAnsi="Courier New" w:eastAsia="宋体" w:cs="宋体"/>
                      <w:b w:val="0"/>
                      <w:spacing w:val="-2"/>
                      <w:kern w:val="0"/>
                      <w:sz w:val="21"/>
                      <w:szCs w:val="21"/>
                      <w:lang w:val="en-US" w:eastAsia="zh-CN" w:bidi="ar-SA"/>
                    </w:rPr>
                    <w:t>0.1</w:t>
                  </w:r>
                </w:p>
              </w:tc>
            </w:tr>
            <w:tr w14:paraId="32B4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blHeader/>
                <w:jc w:val="center"/>
              </w:trPr>
              <w:tc>
                <w:tcPr>
                  <w:tcW w:w="795" w:type="dxa"/>
                  <w:noWrap w:val="0"/>
                  <w:vAlign w:val="center"/>
                </w:tcPr>
                <w:p w14:paraId="36CB069E">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4</w:t>
                  </w:r>
                </w:p>
              </w:tc>
              <w:tc>
                <w:tcPr>
                  <w:tcW w:w="1368" w:type="dxa"/>
                  <w:vMerge w:val="continue"/>
                  <w:noWrap w:val="0"/>
                  <w:vAlign w:val="center"/>
                </w:tcPr>
                <w:p w14:paraId="5FAF7844">
                  <w:pPr>
                    <w:pStyle w:val="45"/>
                    <w:keepNext w:val="0"/>
                    <w:keepLines w:val="0"/>
                    <w:suppressLineNumbers w:val="0"/>
                    <w:bidi w:val="0"/>
                    <w:spacing w:before="0" w:beforeAutospacing="0" w:after="0" w:afterAutospacing="0"/>
                    <w:rPr>
                      <w:rFonts w:hint="eastAsia"/>
                      <w:lang w:val="en-US" w:eastAsia="zh-CN"/>
                    </w:rPr>
                  </w:pPr>
                </w:p>
              </w:tc>
              <w:tc>
                <w:tcPr>
                  <w:tcW w:w="1260" w:type="dxa"/>
                  <w:vMerge w:val="continue"/>
                  <w:noWrap w:val="0"/>
                  <w:vAlign w:val="center"/>
                </w:tcPr>
                <w:p w14:paraId="5160FE7E">
                  <w:pPr>
                    <w:pStyle w:val="45"/>
                    <w:keepNext w:val="0"/>
                    <w:keepLines w:val="0"/>
                    <w:suppressLineNumbers w:val="0"/>
                    <w:bidi w:val="0"/>
                    <w:spacing w:before="0" w:beforeAutospacing="0" w:after="0" w:afterAutospacing="0"/>
                    <w:rPr>
                      <w:lang w:val="en-US" w:eastAsia="zh-CN"/>
                    </w:rPr>
                  </w:pPr>
                </w:p>
              </w:tc>
              <w:tc>
                <w:tcPr>
                  <w:tcW w:w="1896" w:type="dxa"/>
                  <w:shd w:val="clear" w:color="auto" w:fill="auto"/>
                  <w:noWrap w:val="0"/>
                  <w:vAlign w:val="center"/>
                </w:tcPr>
                <w:p w14:paraId="30D75679">
                  <w:pPr>
                    <w:pStyle w:val="32"/>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甲烷</w:t>
                  </w:r>
                </w:p>
              </w:tc>
              <w:tc>
                <w:tcPr>
                  <w:tcW w:w="4028" w:type="dxa"/>
                  <w:vMerge w:val="continue"/>
                  <w:noWrap w:val="0"/>
                  <w:vAlign w:val="center"/>
                </w:tcPr>
                <w:p w14:paraId="17D6C323">
                  <w:pPr>
                    <w:pStyle w:val="45"/>
                    <w:keepNext w:val="0"/>
                    <w:keepLines w:val="0"/>
                    <w:suppressLineNumbers w:val="0"/>
                    <w:bidi w:val="0"/>
                    <w:spacing w:before="0" w:beforeAutospacing="0" w:after="0" w:afterAutospacing="0"/>
                    <w:rPr>
                      <w:lang w:val="en-US" w:eastAsia="zh-CN"/>
                    </w:rPr>
                  </w:pPr>
                </w:p>
              </w:tc>
              <w:tc>
                <w:tcPr>
                  <w:tcW w:w="2047" w:type="dxa"/>
                  <w:vMerge w:val="continue"/>
                  <w:shd w:val="clear" w:color="auto" w:fill="auto"/>
                  <w:noWrap w:val="0"/>
                  <w:vAlign w:val="center"/>
                </w:tcPr>
                <w:p w14:paraId="60153829">
                  <w:pPr>
                    <w:pStyle w:val="45"/>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p>
              </w:tc>
              <w:tc>
                <w:tcPr>
                  <w:tcW w:w="1912" w:type="dxa"/>
                  <w:shd w:val="clear" w:color="auto" w:fill="auto"/>
                  <w:noWrap w:val="0"/>
                  <w:vAlign w:val="center"/>
                </w:tcPr>
                <w:p w14:paraId="58F35022">
                  <w:pPr>
                    <w:pStyle w:val="32"/>
                    <w:bidi w:val="0"/>
                    <w:ind w:firstLine="0" w:firstLineChars="0"/>
                    <w:rPr>
                      <w:rFonts w:hint="eastAsia" w:ascii="宋体" w:hAnsi="Courier New" w:eastAsia="宋体" w:cs="宋体"/>
                      <w:b w:val="0"/>
                      <w:spacing w:val="-2"/>
                      <w:kern w:val="0"/>
                      <w:sz w:val="21"/>
                      <w:szCs w:val="21"/>
                      <w:lang w:val="en-US" w:eastAsia="zh-CN" w:bidi="ar-SA"/>
                    </w:rPr>
                  </w:pPr>
                  <w:r>
                    <w:rPr>
                      <w:rFonts w:hint="eastAsia" w:ascii="宋体" w:hAnsi="Courier New" w:eastAsia="宋体" w:cs="宋体"/>
                      <w:b w:val="0"/>
                      <w:spacing w:val="-2"/>
                      <w:kern w:val="0"/>
                      <w:sz w:val="21"/>
                      <w:szCs w:val="21"/>
                      <w:lang w:val="en-US" w:eastAsia="zh-CN" w:bidi="ar-SA"/>
                    </w:rPr>
                    <w:t>1%</w:t>
                  </w:r>
                </w:p>
              </w:tc>
            </w:tr>
            <w:tr w14:paraId="1F82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95" w:type="dxa"/>
                  <w:noWrap w:val="0"/>
                  <w:vAlign w:val="center"/>
                </w:tcPr>
                <w:p w14:paraId="0D710D94">
                  <w:pPr>
                    <w:pStyle w:val="45"/>
                    <w:keepNext w:val="0"/>
                    <w:keepLines w:val="0"/>
                    <w:suppressLineNumbers w:val="0"/>
                    <w:bidi w:val="0"/>
                    <w:spacing w:before="0" w:beforeAutospacing="0" w:after="0" w:afterAutospacing="0"/>
                    <w:rPr>
                      <w:rFonts w:hint="default"/>
                      <w:lang w:val="en-US" w:eastAsia="zh-CN"/>
                    </w:rPr>
                  </w:pPr>
                  <w:r>
                    <w:rPr>
                      <w:rFonts w:hint="eastAsia"/>
                      <w:lang w:val="en-US" w:eastAsia="zh-CN"/>
                    </w:rPr>
                    <w:t>5</w:t>
                  </w:r>
                </w:p>
              </w:tc>
              <w:tc>
                <w:tcPr>
                  <w:tcW w:w="1368" w:type="dxa"/>
                  <w:vMerge w:val="continue"/>
                  <w:noWrap w:val="0"/>
                  <w:vAlign w:val="center"/>
                </w:tcPr>
                <w:p w14:paraId="384A2AC5">
                  <w:pPr>
                    <w:pStyle w:val="45"/>
                    <w:keepNext w:val="0"/>
                    <w:keepLines w:val="0"/>
                    <w:suppressLineNumbers w:val="0"/>
                    <w:bidi w:val="0"/>
                    <w:spacing w:before="0" w:beforeAutospacing="0" w:after="0" w:afterAutospacing="0"/>
                    <w:rPr>
                      <w:rFonts w:hint="eastAsia"/>
                      <w:lang w:val="en-US" w:eastAsia="zh-CN"/>
                    </w:rPr>
                  </w:pPr>
                </w:p>
              </w:tc>
              <w:tc>
                <w:tcPr>
                  <w:tcW w:w="1260" w:type="dxa"/>
                  <w:vMerge w:val="continue"/>
                  <w:noWrap w:val="0"/>
                  <w:vAlign w:val="center"/>
                </w:tcPr>
                <w:p w14:paraId="33D97FE7">
                  <w:pPr>
                    <w:pStyle w:val="45"/>
                    <w:keepNext w:val="0"/>
                    <w:keepLines w:val="0"/>
                    <w:suppressLineNumbers w:val="0"/>
                    <w:bidi w:val="0"/>
                    <w:spacing w:before="0" w:beforeAutospacing="0" w:after="0" w:afterAutospacing="0"/>
                    <w:rPr>
                      <w:lang w:val="en-US" w:eastAsia="zh-CN"/>
                    </w:rPr>
                  </w:pPr>
                </w:p>
              </w:tc>
              <w:tc>
                <w:tcPr>
                  <w:tcW w:w="1896" w:type="dxa"/>
                  <w:shd w:val="clear" w:color="auto" w:fill="auto"/>
                  <w:noWrap w:val="0"/>
                  <w:vAlign w:val="center"/>
                </w:tcPr>
                <w:p w14:paraId="2BC65817">
                  <w:pPr>
                    <w:pStyle w:val="45"/>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臭气浓度</w:t>
                  </w:r>
                </w:p>
              </w:tc>
              <w:tc>
                <w:tcPr>
                  <w:tcW w:w="4028" w:type="dxa"/>
                  <w:vMerge w:val="continue"/>
                  <w:noWrap w:val="0"/>
                  <w:vAlign w:val="center"/>
                </w:tcPr>
                <w:p w14:paraId="099FFE24">
                  <w:pPr>
                    <w:pStyle w:val="45"/>
                    <w:keepNext w:val="0"/>
                    <w:keepLines w:val="0"/>
                    <w:suppressLineNumbers w:val="0"/>
                    <w:bidi w:val="0"/>
                    <w:spacing w:before="0" w:beforeAutospacing="0" w:after="0" w:afterAutospacing="0"/>
                    <w:rPr>
                      <w:lang w:val="en-US" w:eastAsia="zh-CN"/>
                    </w:rPr>
                  </w:pPr>
                </w:p>
              </w:tc>
              <w:tc>
                <w:tcPr>
                  <w:tcW w:w="2047" w:type="dxa"/>
                  <w:vMerge w:val="continue"/>
                  <w:shd w:val="clear" w:color="auto" w:fill="auto"/>
                  <w:noWrap w:val="0"/>
                  <w:vAlign w:val="center"/>
                </w:tcPr>
                <w:p w14:paraId="2299CB1A">
                  <w:pPr>
                    <w:pStyle w:val="45"/>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p>
              </w:tc>
              <w:tc>
                <w:tcPr>
                  <w:tcW w:w="1912" w:type="dxa"/>
                  <w:shd w:val="clear" w:color="auto" w:fill="auto"/>
                  <w:noWrap w:val="0"/>
                  <w:vAlign w:val="center"/>
                </w:tcPr>
                <w:p w14:paraId="3FE4F990">
                  <w:pPr>
                    <w:pStyle w:val="45"/>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r>
                    <w:rPr>
                      <w:rFonts w:hint="eastAsia"/>
                    </w:rPr>
                    <w:t>20（无量纲）</w:t>
                  </w:r>
                </w:p>
              </w:tc>
            </w:tr>
          </w:tbl>
          <w:p w14:paraId="514E3767">
            <w:pPr>
              <w:pStyle w:val="41"/>
              <w:bidi w:val="0"/>
              <w:jc w:val="center"/>
              <w:rPr>
                <w:rFonts w:hint="default" w:eastAsia="宋体"/>
                <w:color w:val="auto"/>
                <w:lang w:val="en-US" w:eastAsia="zh-CN"/>
              </w:rPr>
            </w:pPr>
            <w:r>
              <w:rPr>
                <w:rFonts w:hint="eastAsia"/>
              </w:rPr>
              <w:t>表</w:t>
            </w:r>
            <w:r>
              <w:t>4-</w:t>
            </w:r>
            <w:r>
              <w:rPr>
                <w:rFonts w:hint="eastAsia"/>
                <w:lang w:val="en-US" w:eastAsia="zh-CN"/>
              </w:rPr>
              <w:t xml:space="preserve">5  </w:t>
            </w:r>
            <w:r>
              <w:rPr>
                <w:rFonts w:hint="eastAsia"/>
              </w:rPr>
              <w:t>大气污染源监测计划</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150"/>
              <w:gridCol w:w="800"/>
              <w:gridCol w:w="1733"/>
              <w:gridCol w:w="1600"/>
              <w:gridCol w:w="2367"/>
              <w:gridCol w:w="4637"/>
            </w:tblGrid>
            <w:tr w14:paraId="4CE7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71" w:type="pct"/>
                  <w:noWrap/>
                  <w:vAlign w:val="center"/>
                </w:tcPr>
                <w:p w14:paraId="2D3130CB">
                  <w:pPr>
                    <w:pStyle w:val="45"/>
                    <w:keepNext w:val="0"/>
                    <w:keepLines w:val="0"/>
                    <w:suppressLineNumbers w:val="0"/>
                    <w:bidi w:val="0"/>
                    <w:spacing w:before="0" w:beforeAutospacing="0" w:after="0" w:afterAutospacing="0"/>
                    <w:rPr>
                      <w:b/>
                      <w:bCs/>
                    </w:rPr>
                  </w:pPr>
                  <w:r>
                    <w:rPr>
                      <w:b/>
                      <w:bCs/>
                    </w:rPr>
                    <w:t>监测类别</w:t>
                  </w:r>
                </w:p>
              </w:tc>
              <w:tc>
                <w:tcPr>
                  <w:tcW w:w="734" w:type="pct"/>
                  <w:gridSpan w:val="2"/>
                  <w:noWrap/>
                  <w:vAlign w:val="center"/>
                </w:tcPr>
                <w:p w14:paraId="7404B988">
                  <w:pPr>
                    <w:pStyle w:val="45"/>
                    <w:keepNext w:val="0"/>
                    <w:keepLines w:val="0"/>
                    <w:suppressLineNumbers w:val="0"/>
                    <w:bidi w:val="0"/>
                    <w:spacing w:before="0" w:beforeAutospacing="0" w:after="0" w:afterAutospacing="0"/>
                    <w:rPr>
                      <w:b/>
                      <w:bCs/>
                    </w:rPr>
                  </w:pPr>
                  <w:r>
                    <w:rPr>
                      <w:b/>
                      <w:bCs/>
                    </w:rPr>
                    <w:t>监测位置</w:t>
                  </w:r>
                </w:p>
                <w:p w14:paraId="5E5E3AFA">
                  <w:pPr>
                    <w:pStyle w:val="45"/>
                    <w:keepNext w:val="0"/>
                    <w:keepLines w:val="0"/>
                    <w:suppressLineNumbers w:val="0"/>
                    <w:bidi w:val="0"/>
                    <w:spacing w:before="0" w:beforeAutospacing="0" w:after="0" w:afterAutospacing="0"/>
                    <w:rPr>
                      <w:b/>
                      <w:bCs/>
                    </w:rPr>
                  </w:pPr>
                  <w:r>
                    <w:rPr>
                      <w:rFonts w:hint="eastAsia"/>
                      <w:b/>
                      <w:bCs/>
                    </w:rPr>
                    <w:t>（</w:t>
                  </w:r>
                  <w:r>
                    <w:rPr>
                      <w:b/>
                      <w:bCs/>
                    </w:rPr>
                    <w:t>或监测布点</w:t>
                  </w:r>
                  <w:r>
                    <w:rPr>
                      <w:rFonts w:hint="eastAsia"/>
                      <w:b/>
                      <w:bCs/>
                    </w:rPr>
                    <w:t>）</w:t>
                  </w:r>
                </w:p>
              </w:tc>
              <w:tc>
                <w:tcPr>
                  <w:tcW w:w="652" w:type="pct"/>
                  <w:noWrap/>
                  <w:vAlign w:val="center"/>
                </w:tcPr>
                <w:p w14:paraId="44D1D786">
                  <w:pPr>
                    <w:pStyle w:val="45"/>
                    <w:keepNext w:val="0"/>
                    <w:keepLines w:val="0"/>
                    <w:suppressLineNumbers w:val="0"/>
                    <w:bidi w:val="0"/>
                    <w:spacing w:before="0" w:beforeAutospacing="0" w:after="0" w:afterAutospacing="0"/>
                    <w:rPr>
                      <w:b/>
                      <w:bCs/>
                    </w:rPr>
                  </w:pPr>
                  <w:r>
                    <w:rPr>
                      <w:b/>
                      <w:bCs/>
                    </w:rPr>
                    <w:t>监测</w:t>
                  </w:r>
                </w:p>
                <w:p w14:paraId="3DAA14C7">
                  <w:pPr>
                    <w:pStyle w:val="45"/>
                    <w:keepNext w:val="0"/>
                    <w:keepLines w:val="0"/>
                    <w:suppressLineNumbers w:val="0"/>
                    <w:bidi w:val="0"/>
                    <w:spacing w:before="0" w:beforeAutospacing="0" w:after="0" w:afterAutospacing="0"/>
                    <w:rPr>
                      <w:b/>
                      <w:bCs/>
                    </w:rPr>
                  </w:pPr>
                  <w:r>
                    <w:rPr>
                      <w:b/>
                      <w:bCs/>
                    </w:rPr>
                    <w:t>项目</w:t>
                  </w:r>
                </w:p>
              </w:tc>
              <w:tc>
                <w:tcPr>
                  <w:tcW w:w="602" w:type="pct"/>
                  <w:noWrap/>
                  <w:vAlign w:val="center"/>
                </w:tcPr>
                <w:p w14:paraId="69FB84E3">
                  <w:pPr>
                    <w:pStyle w:val="45"/>
                    <w:keepNext w:val="0"/>
                    <w:keepLines w:val="0"/>
                    <w:suppressLineNumbers w:val="0"/>
                    <w:bidi w:val="0"/>
                    <w:spacing w:before="0" w:beforeAutospacing="0" w:after="0" w:afterAutospacing="0"/>
                    <w:rPr>
                      <w:b/>
                      <w:bCs/>
                    </w:rPr>
                  </w:pPr>
                  <w:r>
                    <w:rPr>
                      <w:b/>
                      <w:bCs/>
                    </w:rPr>
                    <w:t>监测</w:t>
                  </w:r>
                </w:p>
                <w:p w14:paraId="3076C12A">
                  <w:pPr>
                    <w:pStyle w:val="45"/>
                    <w:keepNext w:val="0"/>
                    <w:keepLines w:val="0"/>
                    <w:suppressLineNumbers w:val="0"/>
                    <w:bidi w:val="0"/>
                    <w:spacing w:before="0" w:beforeAutospacing="0" w:after="0" w:afterAutospacing="0"/>
                    <w:rPr>
                      <w:b/>
                      <w:bCs/>
                    </w:rPr>
                  </w:pPr>
                  <w:r>
                    <w:rPr>
                      <w:b/>
                      <w:bCs/>
                    </w:rPr>
                    <w:t>频率</w:t>
                  </w:r>
                </w:p>
              </w:tc>
              <w:tc>
                <w:tcPr>
                  <w:tcW w:w="891" w:type="pct"/>
                  <w:noWrap/>
                  <w:vAlign w:val="center"/>
                </w:tcPr>
                <w:p w14:paraId="1FD61A2B">
                  <w:pPr>
                    <w:pStyle w:val="45"/>
                    <w:keepNext w:val="0"/>
                    <w:keepLines w:val="0"/>
                    <w:suppressLineNumbers w:val="0"/>
                    <w:bidi w:val="0"/>
                    <w:spacing w:before="0" w:beforeAutospacing="0" w:after="0" w:afterAutospacing="0"/>
                    <w:rPr>
                      <w:b/>
                      <w:bCs/>
                    </w:rPr>
                  </w:pPr>
                  <w:r>
                    <w:rPr>
                      <w:rFonts w:hint="eastAsia"/>
                      <w:b/>
                      <w:bCs/>
                    </w:rPr>
                    <w:t>监测依据</w:t>
                  </w:r>
                </w:p>
              </w:tc>
              <w:tc>
                <w:tcPr>
                  <w:tcW w:w="1746" w:type="pct"/>
                  <w:noWrap/>
                  <w:vAlign w:val="center"/>
                </w:tcPr>
                <w:p w14:paraId="53F6FC95">
                  <w:pPr>
                    <w:pStyle w:val="45"/>
                    <w:keepNext w:val="0"/>
                    <w:keepLines w:val="0"/>
                    <w:suppressLineNumbers w:val="0"/>
                    <w:bidi w:val="0"/>
                    <w:spacing w:before="0" w:beforeAutospacing="0" w:after="0" w:afterAutospacing="0"/>
                    <w:rPr>
                      <w:b/>
                      <w:bCs/>
                    </w:rPr>
                  </w:pPr>
                  <w:r>
                    <w:rPr>
                      <w:b/>
                      <w:bCs/>
                    </w:rPr>
                    <w:t>执行排放标准</w:t>
                  </w:r>
                </w:p>
              </w:tc>
            </w:tr>
            <w:tr w14:paraId="7B61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371" w:type="pct"/>
                  <w:vMerge w:val="restart"/>
                  <w:noWrap/>
                  <w:vAlign w:val="center"/>
                </w:tcPr>
                <w:p w14:paraId="366737B9">
                  <w:pPr>
                    <w:pStyle w:val="45"/>
                    <w:keepNext w:val="0"/>
                    <w:keepLines w:val="0"/>
                    <w:suppressLineNumbers w:val="0"/>
                    <w:bidi w:val="0"/>
                    <w:spacing w:before="0" w:beforeAutospacing="0" w:after="0" w:afterAutospacing="0"/>
                  </w:pPr>
                  <w:r>
                    <w:rPr>
                      <w:rFonts w:hint="eastAsia"/>
                    </w:rPr>
                    <w:t>废气</w:t>
                  </w:r>
                </w:p>
              </w:tc>
              <w:tc>
                <w:tcPr>
                  <w:tcW w:w="433" w:type="pct"/>
                  <w:vMerge w:val="restart"/>
                  <w:noWrap/>
                  <w:vAlign w:val="center"/>
                </w:tcPr>
                <w:p w14:paraId="27FE053B">
                  <w:pPr>
                    <w:pStyle w:val="45"/>
                    <w:keepNext w:val="0"/>
                    <w:keepLines w:val="0"/>
                    <w:suppressLineNumbers w:val="0"/>
                    <w:bidi w:val="0"/>
                    <w:spacing w:before="0" w:beforeAutospacing="0" w:after="0" w:afterAutospacing="0"/>
                  </w:pPr>
                  <w:r>
                    <w:t>有组织废气</w:t>
                  </w:r>
                </w:p>
              </w:tc>
              <w:tc>
                <w:tcPr>
                  <w:tcW w:w="301" w:type="pct"/>
                  <w:noWrap/>
                  <w:vAlign w:val="center"/>
                </w:tcPr>
                <w:p w14:paraId="135A2EAF">
                  <w:pPr>
                    <w:pStyle w:val="45"/>
                    <w:keepNext w:val="0"/>
                    <w:keepLines w:val="0"/>
                    <w:suppressLineNumbers w:val="0"/>
                    <w:bidi w:val="0"/>
                    <w:spacing w:before="0" w:beforeAutospacing="0" w:after="0" w:afterAutospacing="0"/>
                  </w:pPr>
                  <w:r>
                    <w:rPr>
                      <w:rFonts w:hint="eastAsia"/>
                    </w:rPr>
                    <w:t>DA001</w:t>
                  </w:r>
                </w:p>
              </w:tc>
              <w:tc>
                <w:tcPr>
                  <w:tcW w:w="652" w:type="pct"/>
                  <w:noWrap/>
                  <w:vAlign w:val="center"/>
                </w:tcPr>
                <w:p w14:paraId="09083900">
                  <w:pPr>
                    <w:pStyle w:val="45"/>
                    <w:keepNext w:val="0"/>
                    <w:keepLines w:val="0"/>
                    <w:suppressLineNumbers w:val="0"/>
                    <w:bidi w:val="0"/>
                    <w:spacing w:before="0" w:beforeAutospacing="0" w:after="0" w:afterAutospacing="0"/>
                  </w:pPr>
                  <w:r>
                    <w:rPr>
                      <w:rFonts w:hint="eastAsia"/>
                      <w:lang w:val="en-US" w:eastAsia="zh-CN"/>
                    </w:rPr>
                    <w:t>氨、硫化氢、</w:t>
                  </w:r>
                  <w:r>
                    <w:rPr>
                      <w:rFonts w:hint="eastAsia"/>
                    </w:rPr>
                    <w:t>臭气浓度</w:t>
                  </w:r>
                </w:p>
              </w:tc>
              <w:tc>
                <w:tcPr>
                  <w:tcW w:w="602" w:type="pct"/>
                  <w:noWrap/>
                  <w:vAlign w:val="center"/>
                </w:tcPr>
                <w:p w14:paraId="38FA1E14">
                  <w:pPr>
                    <w:pStyle w:val="45"/>
                    <w:keepNext w:val="0"/>
                    <w:keepLines w:val="0"/>
                    <w:suppressLineNumbers w:val="0"/>
                    <w:bidi w:val="0"/>
                    <w:spacing w:before="0" w:beforeAutospacing="0" w:after="0" w:afterAutospacing="0"/>
                  </w:pPr>
                  <w:r>
                    <w:rPr>
                      <w:rFonts w:hint="eastAsia"/>
                    </w:rPr>
                    <w:t>1</w:t>
                  </w:r>
                  <w:r>
                    <w:t>次</w:t>
                  </w:r>
                  <w:r>
                    <w:rPr>
                      <w:rFonts w:hint="eastAsia"/>
                    </w:rPr>
                    <w:t>/</w:t>
                  </w:r>
                  <w:r>
                    <w:rPr>
                      <w:rFonts w:hint="eastAsia"/>
                      <w:lang w:val="en-US" w:eastAsia="zh-CN"/>
                    </w:rPr>
                    <w:t>季度</w:t>
                  </w:r>
                </w:p>
              </w:tc>
              <w:tc>
                <w:tcPr>
                  <w:tcW w:w="891" w:type="pct"/>
                  <w:vMerge w:val="restart"/>
                  <w:noWrap/>
                  <w:vAlign w:val="center"/>
                </w:tcPr>
                <w:p w14:paraId="6BA46805">
                  <w:pPr>
                    <w:pStyle w:val="45"/>
                    <w:keepNext w:val="0"/>
                    <w:keepLines w:val="0"/>
                    <w:suppressLineNumbers w:val="0"/>
                    <w:bidi w:val="0"/>
                    <w:spacing w:before="0" w:beforeAutospacing="0" w:after="0" w:afterAutospacing="0"/>
                    <w:rPr>
                      <w:lang w:val="en-GB"/>
                    </w:rPr>
                  </w:pPr>
                  <w:r>
                    <w:rPr>
                      <w:rFonts w:hint="default"/>
                      <w:lang w:val="en-US" w:eastAsia="zh-CN"/>
                    </w:rPr>
                    <w:t>《排污许可证与核发技术规范</w:t>
                  </w:r>
                  <w:r>
                    <w:rPr>
                      <w:rFonts w:hint="eastAsia"/>
                      <w:lang w:val="en-US" w:eastAsia="zh-CN"/>
                    </w:rPr>
                    <w:t xml:space="preserve"> </w:t>
                  </w:r>
                  <w:r>
                    <w:rPr>
                      <w:rFonts w:hint="default"/>
                      <w:lang w:val="en-US" w:eastAsia="zh-CN"/>
                    </w:rPr>
                    <w:t>医疗机构》</w:t>
                  </w:r>
                  <w:r>
                    <w:rPr>
                      <w:rFonts w:hint="eastAsia"/>
                      <w:lang w:val="en-US" w:eastAsia="zh-CN"/>
                    </w:rPr>
                    <w:t>（HJ1105-2020）</w:t>
                  </w:r>
                </w:p>
              </w:tc>
              <w:tc>
                <w:tcPr>
                  <w:tcW w:w="1746" w:type="pct"/>
                  <w:noWrap/>
                  <w:vAlign w:val="center"/>
                </w:tcPr>
                <w:p w14:paraId="72A4107D">
                  <w:pPr>
                    <w:pStyle w:val="45"/>
                    <w:keepNext w:val="0"/>
                    <w:keepLines w:val="0"/>
                    <w:suppressLineNumbers w:val="0"/>
                    <w:bidi w:val="0"/>
                    <w:spacing w:before="0" w:beforeAutospacing="0" w:after="0" w:afterAutospacing="0"/>
                  </w:pPr>
                  <w:r>
                    <w:rPr>
                      <w:rFonts w:hint="eastAsia"/>
                    </w:rPr>
                    <w:t>《恶臭污染物排放标准》（GB14554-93）表2恶臭污染物排放标准值</w:t>
                  </w:r>
                </w:p>
              </w:tc>
            </w:tr>
            <w:tr w14:paraId="60BF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71" w:type="pct"/>
                  <w:vMerge w:val="continue"/>
                  <w:noWrap/>
                  <w:vAlign w:val="center"/>
                </w:tcPr>
                <w:p w14:paraId="587CE152">
                  <w:pPr>
                    <w:pStyle w:val="45"/>
                    <w:keepNext w:val="0"/>
                    <w:keepLines w:val="0"/>
                    <w:suppressLineNumbers w:val="0"/>
                    <w:bidi w:val="0"/>
                    <w:spacing w:before="0" w:beforeAutospacing="0" w:after="0" w:afterAutospacing="0"/>
                  </w:pPr>
                </w:p>
              </w:tc>
              <w:tc>
                <w:tcPr>
                  <w:tcW w:w="433" w:type="pct"/>
                  <w:vMerge w:val="continue"/>
                  <w:noWrap/>
                  <w:vAlign w:val="center"/>
                </w:tcPr>
                <w:p w14:paraId="7154C4AD">
                  <w:pPr>
                    <w:pStyle w:val="45"/>
                    <w:keepNext w:val="0"/>
                    <w:keepLines w:val="0"/>
                    <w:suppressLineNumbers w:val="0"/>
                    <w:bidi w:val="0"/>
                    <w:spacing w:before="0" w:beforeAutospacing="0" w:after="0" w:afterAutospacing="0"/>
                  </w:pPr>
                </w:p>
              </w:tc>
              <w:tc>
                <w:tcPr>
                  <w:tcW w:w="301" w:type="pct"/>
                  <w:noWrap/>
                  <w:vAlign w:val="center"/>
                </w:tcPr>
                <w:p w14:paraId="78C976A3">
                  <w:pPr>
                    <w:pStyle w:val="45"/>
                    <w:keepNext w:val="0"/>
                    <w:keepLines w:val="0"/>
                    <w:suppressLineNumbers w:val="0"/>
                    <w:bidi w:val="0"/>
                    <w:spacing w:before="0" w:beforeAutospacing="0" w:after="0" w:afterAutospacing="0"/>
                    <w:rPr>
                      <w:rFonts w:hint="eastAsia" w:eastAsia="宋体"/>
                      <w:lang w:val="en-US" w:eastAsia="zh-CN"/>
                    </w:rPr>
                  </w:pPr>
                  <w:r>
                    <w:rPr>
                      <w:rFonts w:hint="eastAsia"/>
                    </w:rPr>
                    <w:t>DA00</w:t>
                  </w:r>
                  <w:r>
                    <w:rPr>
                      <w:rFonts w:hint="eastAsia"/>
                      <w:lang w:val="en-US" w:eastAsia="zh-CN"/>
                    </w:rPr>
                    <w:t>2</w:t>
                  </w:r>
                </w:p>
              </w:tc>
              <w:tc>
                <w:tcPr>
                  <w:tcW w:w="652" w:type="pct"/>
                  <w:noWrap/>
                  <w:vAlign w:val="center"/>
                </w:tcPr>
                <w:p w14:paraId="23C9F347">
                  <w:pPr>
                    <w:pStyle w:val="45"/>
                    <w:keepNext w:val="0"/>
                    <w:keepLines w:val="0"/>
                    <w:suppressLineNumbers w:val="0"/>
                    <w:bidi w:val="0"/>
                    <w:spacing w:before="0" w:beforeAutospacing="0" w:after="0" w:afterAutospacing="0"/>
                    <w:rPr>
                      <w:rFonts w:hint="eastAsia" w:eastAsia="宋体"/>
                      <w:lang w:val="en-US" w:eastAsia="zh-CN"/>
                    </w:rPr>
                  </w:pPr>
                  <w:r>
                    <w:rPr>
                      <w:rFonts w:hint="eastAsia"/>
                      <w:lang w:val="en-US" w:eastAsia="zh-CN"/>
                    </w:rPr>
                    <w:t>油烟</w:t>
                  </w:r>
                </w:p>
              </w:tc>
              <w:tc>
                <w:tcPr>
                  <w:tcW w:w="602" w:type="pct"/>
                  <w:noWrap/>
                  <w:vAlign w:val="center"/>
                </w:tcPr>
                <w:p w14:paraId="05FBBE4A">
                  <w:pPr>
                    <w:pStyle w:val="45"/>
                    <w:keepNext w:val="0"/>
                    <w:keepLines w:val="0"/>
                    <w:suppressLineNumbers w:val="0"/>
                    <w:bidi w:val="0"/>
                    <w:spacing w:before="0" w:beforeAutospacing="0" w:after="0" w:afterAutospacing="0"/>
                    <w:rPr>
                      <w:rFonts w:hint="eastAsia"/>
                    </w:rPr>
                  </w:pPr>
                  <w:r>
                    <w:rPr>
                      <w:rFonts w:hint="eastAsia"/>
                    </w:rPr>
                    <w:t>1</w:t>
                  </w:r>
                  <w:r>
                    <w:t>次</w:t>
                  </w:r>
                  <w:r>
                    <w:rPr>
                      <w:rFonts w:hint="eastAsia"/>
                    </w:rPr>
                    <w:t>/</w:t>
                  </w:r>
                  <w:r>
                    <w:rPr>
                      <w:rFonts w:hint="eastAsia"/>
                      <w:lang w:val="en-US" w:eastAsia="zh-CN"/>
                    </w:rPr>
                    <w:t>季度</w:t>
                  </w:r>
                </w:p>
              </w:tc>
              <w:tc>
                <w:tcPr>
                  <w:tcW w:w="891" w:type="pct"/>
                  <w:vMerge w:val="continue"/>
                  <w:noWrap/>
                  <w:vAlign w:val="center"/>
                </w:tcPr>
                <w:p w14:paraId="49A1C8F9">
                  <w:pPr>
                    <w:pStyle w:val="45"/>
                    <w:keepNext w:val="0"/>
                    <w:keepLines w:val="0"/>
                    <w:suppressLineNumbers w:val="0"/>
                    <w:bidi w:val="0"/>
                    <w:spacing w:before="0" w:beforeAutospacing="0" w:after="0" w:afterAutospacing="0"/>
                  </w:pPr>
                </w:p>
              </w:tc>
              <w:tc>
                <w:tcPr>
                  <w:tcW w:w="1746" w:type="pct"/>
                  <w:noWrap/>
                  <w:vAlign w:val="center"/>
                </w:tcPr>
                <w:p w14:paraId="3F0F2FB5">
                  <w:pPr>
                    <w:pStyle w:val="45"/>
                    <w:keepNext w:val="0"/>
                    <w:keepLines w:val="0"/>
                    <w:suppressLineNumbers w:val="0"/>
                    <w:bidi w:val="0"/>
                    <w:spacing w:before="0" w:beforeAutospacing="0" w:after="0" w:afterAutospacing="0"/>
                    <w:rPr>
                      <w:rFonts w:hint="eastAsia" w:ascii="宋体" w:eastAsia="宋体" w:cs="宋体"/>
                      <w:lang w:val="en-US" w:eastAsia="zh-CN"/>
                    </w:rPr>
                  </w:pPr>
                  <w:r>
                    <w:rPr>
                      <w:rFonts w:cs="Times New Roman"/>
                      <w:color w:val="auto"/>
                    </w:rPr>
                    <w:t>《</w:t>
                  </w:r>
                  <w:r>
                    <w:rPr>
                      <w:rFonts w:hint="eastAsia" w:cs="Times New Roman"/>
                      <w:color w:val="auto"/>
                    </w:rPr>
                    <w:t>饮食业油烟排放标准</w:t>
                  </w:r>
                  <w:r>
                    <w:rPr>
                      <w:rFonts w:cs="Times New Roman"/>
                      <w:color w:val="auto"/>
                    </w:rPr>
                    <w:t>》（GB18483-2001）</w:t>
                  </w:r>
                </w:p>
              </w:tc>
            </w:tr>
            <w:tr w14:paraId="135B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71" w:type="pct"/>
                  <w:vMerge w:val="continue"/>
                  <w:noWrap/>
                  <w:vAlign w:val="center"/>
                </w:tcPr>
                <w:p w14:paraId="50E6E017">
                  <w:pPr>
                    <w:pStyle w:val="45"/>
                    <w:keepNext w:val="0"/>
                    <w:keepLines w:val="0"/>
                    <w:suppressLineNumbers w:val="0"/>
                    <w:bidi w:val="0"/>
                    <w:spacing w:before="0" w:beforeAutospacing="0" w:after="0" w:afterAutospacing="0"/>
                  </w:pPr>
                </w:p>
              </w:tc>
              <w:tc>
                <w:tcPr>
                  <w:tcW w:w="433" w:type="pct"/>
                  <w:noWrap/>
                  <w:vAlign w:val="center"/>
                </w:tcPr>
                <w:p w14:paraId="68787DF8">
                  <w:pPr>
                    <w:pStyle w:val="45"/>
                    <w:keepNext w:val="0"/>
                    <w:keepLines w:val="0"/>
                    <w:suppressLineNumbers w:val="0"/>
                    <w:bidi w:val="0"/>
                    <w:spacing w:before="0" w:beforeAutospacing="0" w:after="0" w:afterAutospacing="0"/>
                  </w:pPr>
                  <w:r>
                    <w:t>无组织废气</w:t>
                  </w:r>
                </w:p>
              </w:tc>
              <w:tc>
                <w:tcPr>
                  <w:tcW w:w="301" w:type="pct"/>
                  <w:noWrap/>
                  <w:vAlign w:val="center"/>
                </w:tcPr>
                <w:p w14:paraId="15BDA17A">
                  <w:pPr>
                    <w:pStyle w:val="45"/>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污水处理站周界</w:t>
                  </w:r>
                </w:p>
              </w:tc>
              <w:tc>
                <w:tcPr>
                  <w:tcW w:w="652" w:type="pct"/>
                  <w:noWrap/>
                  <w:vAlign w:val="center"/>
                </w:tcPr>
                <w:p w14:paraId="76D0AE5A">
                  <w:pPr>
                    <w:pStyle w:val="45"/>
                    <w:keepNext w:val="0"/>
                    <w:keepLines w:val="0"/>
                    <w:suppressLineNumbers w:val="0"/>
                    <w:bidi w:val="0"/>
                    <w:spacing w:before="0" w:beforeAutospacing="0" w:after="0" w:afterAutospacing="0"/>
                    <w:rPr>
                      <w:rFonts w:hint="default"/>
                      <w:lang w:val="en-US" w:eastAsia="zh-CN"/>
                    </w:rPr>
                  </w:pPr>
                  <w:r>
                    <w:rPr>
                      <w:rFonts w:hint="eastAsia"/>
                    </w:rPr>
                    <w:t>氨、硫化氢、臭气浓度、氯气、甲烷</w:t>
                  </w:r>
                </w:p>
              </w:tc>
              <w:tc>
                <w:tcPr>
                  <w:tcW w:w="602" w:type="pct"/>
                  <w:noWrap/>
                  <w:vAlign w:val="center"/>
                </w:tcPr>
                <w:p w14:paraId="15BBA5D1">
                  <w:pPr>
                    <w:pStyle w:val="45"/>
                    <w:keepNext w:val="0"/>
                    <w:keepLines w:val="0"/>
                    <w:suppressLineNumbers w:val="0"/>
                    <w:bidi w:val="0"/>
                    <w:spacing w:before="0" w:beforeAutospacing="0" w:after="0" w:afterAutospacing="0"/>
                  </w:pPr>
                  <w:r>
                    <w:rPr>
                      <w:rFonts w:hint="eastAsia"/>
                    </w:rPr>
                    <w:t>1</w:t>
                  </w:r>
                  <w:r>
                    <w:t>次</w:t>
                  </w:r>
                  <w:r>
                    <w:rPr>
                      <w:rFonts w:hint="eastAsia"/>
                    </w:rPr>
                    <w:t>/</w:t>
                  </w:r>
                  <w:r>
                    <w:rPr>
                      <w:rFonts w:hint="eastAsia"/>
                      <w:lang w:val="en-US" w:eastAsia="zh-CN"/>
                    </w:rPr>
                    <w:t>季度</w:t>
                  </w:r>
                </w:p>
              </w:tc>
              <w:tc>
                <w:tcPr>
                  <w:tcW w:w="891" w:type="pct"/>
                  <w:vMerge w:val="continue"/>
                  <w:noWrap/>
                  <w:vAlign w:val="center"/>
                </w:tcPr>
                <w:p w14:paraId="09C09A8C">
                  <w:pPr>
                    <w:pStyle w:val="45"/>
                    <w:keepNext w:val="0"/>
                    <w:keepLines w:val="0"/>
                    <w:suppressLineNumbers w:val="0"/>
                    <w:bidi w:val="0"/>
                    <w:spacing w:before="0" w:beforeAutospacing="0" w:after="0" w:afterAutospacing="0"/>
                  </w:pPr>
                </w:p>
              </w:tc>
              <w:tc>
                <w:tcPr>
                  <w:tcW w:w="1746" w:type="pct"/>
                  <w:noWrap/>
                  <w:vAlign w:val="center"/>
                </w:tcPr>
                <w:p w14:paraId="5D760F3E">
                  <w:pPr>
                    <w:pStyle w:val="45"/>
                    <w:keepNext w:val="0"/>
                    <w:keepLines w:val="0"/>
                    <w:suppressLineNumbers w:val="0"/>
                    <w:bidi w:val="0"/>
                    <w:spacing w:before="0" w:beforeAutospacing="0" w:after="0" w:afterAutospacing="0"/>
                    <w:rPr>
                      <w:rFonts w:hint="eastAsia" w:eastAsia="宋体"/>
                      <w:lang w:eastAsia="zh-CN"/>
                    </w:rPr>
                  </w:pPr>
                  <w:r>
                    <w:rPr>
                      <w:rFonts w:hint="eastAsia" w:ascii="宋体" w:eastAsia="宋体" w:cs="宋体"/>
                      <w:lang w:val="en-US" w:eastAsia="zh-CN"/>
                    </w:rPr>
                    <w:t>《医疗机构水污染物排放标准》（GB18466-2005）中“污水处理站周边大气污染物最高允许浓度”</w:t>
                  </w:r>
                </w:p>
              </w:tc>
            </w:tr>
          </w:tbl>
          <w:p w14:paraId="39A3FF1E">
            <w:pPr>
              <w:ind w:left="0" w:leftChars="0" w:firstLine="0" w:firstLineChars="0"/>
              <w:jc w:val="both"/>
              <w:rPr>
                <w:vertAlign w:val="baseline"/>
              </w:rPr>
            </w:pPr>
          </w:p>
        </w:tc>
      </w:tr>
    </w:tbl>
    <w:p w14:paraId="6995D7F0">
      <w:pPr>
        <w:ind w:firstLine="0" w:firstLineChars="0"/>
        <w:sectPr>
          <w:pgSz w:w="16838" w:h="11906" w:orient="landscape"/>
          <w:pgMar w:top="1417" w:right="1417" w:bottom="1417" w:left="1417" w:header="737" w:footer="850" w:gutter="0"/>
          <w:pgNumType w:fmt="decimal"/>
          <w:cols w:space="0" w:num="1"/>
          <w:docGrid w:type="lines" w:linePitch="336"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810"/>
      </w:tblGrid>
      <w:tr w14:paraId="6134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 w:type="dxa"/>
          </w:tcPr>
          <w:p w14:paraId="7EE66E55">
            <w:pPr>
              <w:jc w:val="both"/>
              <w:rPr>
                <w:vertAlign w:val="baseline"/>
              </w:rPr>
            </w:pPr>
          </w:p>
        </w:tc>
        <w:tc>
          <w:tcPr>
            <w:tcW w:w="8810" w:type="dxa"/>
          </w:tcPr>
          <w:p w14:paraId="203E4D6C">
            <w:pPr>
              <w:bidi w:val="0"/>
              <w:jc w:val="both"/>
              <w:rPr>
                <w:rFonts w:hint="default"/>
                <w:b/>
                <w:bCs/>
                <w:lang w:val="en-US" w:eastAsia="zh-CN"/>
              </w:rPr>
            </w:pPr>
            <w:r>
              <w:rPr>
                <w:rFonts w:hint="eastAsia"/>
                <w:b/>
                <w:bCs/>
                <w:lang w:val="en-US" w:eastAsia="zh-CN"/>
              </w:rPr>
              <w:t>2、废气污染源源强核算及达标分析</w:t>
            </w:r>
          </w:p>
          <w:p w14:paraId="18E8E34C">
            <w:pPr>
              <w:jc w:val="both"/>
              <w:rPr>
                <w:rFonts w:hint="eastAsia"/>
                <w:b/>
                <w:bCs/>
                <w:vertAlign w:val="baseline"/>
                <w:lang w:val="en-US" w:eastAsia="zh-CN"/>
              </w:rPr>
            </w:pPr>
            <w:r>
              <w:rPr>
                <w:rFonts w:hint="eastAsia"/>
                <w:b/>
                <w:bCs/>
                <w:vertAlign w:val="baseline"/>
                <w:lang w:eastAsia="zh-CN"/>
              </w:rPr>
              <w:t>（</w:t>
            </w:r>
            <w:r>
              <w:rPr>
                <w:rFonts w:hint="eastAsia"/>
                <w:b/>
                <w:bCs/>
                <w:vertAlign w:val="baseline"/>
                <w:lang w:val="en-US" w:eastAsia="zh-CN"/>
              </w:rPr>
              <w:t>1</w:t>
            </w:r>
            <w:r>
              <w:rPr>
                <w:rFonts w:hint="eastAsia"/>
                <w:b/>
                <w:bCs/>
                <w:vertAlign w:val="baseline"/>
                <w:lang w:eastAsia="zh-CN"/>
              </w:rPr>
              <w:t>）</w:t>
            </w:r>
            <w:r>
              <w:rPr>
                <w:rFonts w:hint="eastAsia"/>
                <w:b/>
                <w:bCs/>
                <w:vertAlign w:val="baseline"/>
                <w:lang w:val="en-US" w:eastAsia="zh-CN"/>
              </w:rPr>
              <w:t>污水处理站恶臭气体</w:t>
            </w:r>
          </w:p>
          <w:p w14:paraId="7321147A">
            <w:pPr>
              <w:bidi w:val="0"/>
              <w:jc w:val="both"/>
              <w:rPr>
                <w:rFonts w:hint="default"/>
                <w:b/>
                <w:bCs/>
                <w:lang w:val="en-US" w:eastAsia="zh-CN"/>
              </w:rPr>
            </w:pPr>
            <w:r>
              <w:rPr>
                <w:rFonts w:hint="eastAsia"/>
                <w:b/>
                <w:bCs/>
                <w:lang w:val="en-US" w:eastAsia="zh-CN"/>
              </w:rPr>
              <w:t>①恶臭气体源强</w:t>
            </w:r>
          </w:p>
          <w:p w14:paraId="4230ADE7">
            <w:pPr>
              <w:bidi w:val="0"/>
              <w:jc w:val="both"/>
              <w:rPr>
                <w:rFonts w:hint="eastAsia"/>
                <w:lang w:val="en-US" w:eastAsia="zh-CN"/>
              </w:rPr>
            </w:pPr>
            <w:r>
              <w:rPr>
                <w:rFonts w:hint="default"/>
                <w:lang w:val="en-US" w:eastAsia="zh-CN"/>
              </w:rPr>
              <w:t>污水处理臭气主要来源于污水、污泥中有机物分解发酵过程中散发的化学物，主要成分为硫化氢、氨等物质。项目设1座处理规模</w:t>
            </w:r>
            <w:r>
              <w:rPr>
                <w:rFonts w:hint="eastAsia"/>
                <w:lang w:val="en-US" w:eastAsia="zh-CN"/>
              </w:rPr>
              <w:t>100m³/d</w:t>
            </w:r>
            <w:r>
              <w:rPr>
                <w:rFonts w:hint="default"/>
                <w:lang w:val="en-US" w:eastAsia="zh-CN"/>
              </w:rPr>
              <w:t>的污水处理站(</w:t>
            </w:r>
            <w:r>
              <w:rPr>
                <w:rFonts w:hint="eastAsia"/>
                <w:highlight w:val="none"/>
                <w:lang w:val="en-US" w:eastAsia="zh-CN"/>
              </w:rPr>
              <w:t>“</w:t>
            </w:r>
            <w:r>
              <w:rPr>
                <w:rFonts w:hint="eastAsia"/>
                <w:lang w:val="en-US" w:eastAsia="zh-CN"/>
              </w:rPr>
              <w:t>格栅十调节+水解酸化+缺氧+生物接触氧化十沉淀十消毒”</w:t>
            </w:r>
            <w:r>
              <w:rPr>
                <w:rFonts w:hint="default"/>
                <w:lang w:val="en-US" w:eastAsia="zh-CN"/>
              </w:rPr>
              <w:t>)，根据美国EPA对城市污水处理厂</w:t>
            </w:r>
            <w:r>
              <w:rPr>
                <w:rFonts w:hint="eastAsia"/>
                <w:lang w:val="en-US" w:eastAsia="zh-CN"/>
              </w:rPr>
              <w:t>恶臭</w:t>
            </w:r>
            <w:r>
              <w:rPr>
                <w:rFonts w:hint="default"/>
                <w:lang w:val="en-US" w:eastAsia="zh-CN"/>
              </w:rPr>
              <w:t>污染物产生情况的研究，每去除1g的BOD</w:t>
            </w:r>
            <w:r>
              <w:rPr>
                <w:rFonts w:hint="eastAsia"/>
                <w:vertAlign w:val="subscript"/>
                <w:lang w:val="en-US" w:eastAsia="zh-CN"/>
              </w:rPr>
              <w:t>5</w:t>
            </w:r>
            <w:r>
              <w:rPr>
                <w:rFonts w:hint="default"/>
                <w:lang w:val="en-US" w:eastAsia="zh-CN"/>
              </w:rPr>
              <w:t>，可产生 0.0031g的NH</w:t>
            </w:r>
            <w:r>
              <w:rPr>
                <w:rFonts w:hint="eastAsia"/>
                <w:vertAlign w:val="subscript"/>
                <w:lang w:val="en-US" w:eastAsia="zh-CN"/>
              </w:rPr>
              <w:t>3</w:t>
            </w:r>
            <w:r>
              <w:rPr>
                <w:rFonts w:hint="default"/>
                <w:lang w:val="en-US" w:eastAsia="zh-CN"/>
              </w:rPr>
              <w:t>、0.00012g的H</w:t>
            </w:r>
            <w:r>
              <w:rPr>
                <w:rFonts w:hint="eastAsia"/>
                <w:vertAlign w:val="subscript"/>
                <w:lang w:val="en-US" w:eastAsia="zh-CN"/>
              </w:rPr>
              <w:t>2</w:t>
            </w:r>
            <w:r>
              <w:rPr>
                <w:rFonts w:hint="default"/>
                <w:lang w:val="en-US" w:eastAsia="zh-CN"/>
              </w:rPr>
              <w:t>S。根据废水源强核算，项目污水处理站处理废水量约</w:t>
            </w:r>
            <w:r>
              <w:rPr>
                <w:rFonts w:hint="eastAsia"/>
                <w:lang w:val="en-US" w:eastAsia="zh-CN"/>
              </w:rPr>
              <w:t>32111.313m³/a</w:t>
            </w:r>
            <w:r>
              <w:rPr>
                <w:rFonts w:hint="default"/>
                <w:lang w:val="en-US" w:eastAsia="zh-CN"/>
              </w:rPr>
              <w:t>，BOD</w:t>
            </w:r>
            <w:r>
              <w:rPr>
                <w:rFonts w:hint="eastAsia"/>
                <w:vertAlign w:val="subscript"/>
                <w:lang w:val="en-US" w:eastAsia="zh-CN"/>
              </w:rPr>
              <w:t>5</w:t>
            </w:r>
            <w:r>
              <w:rPr>
                <w:rFonts w:hint="default"/>
                <w:lang w:val="en-US" w:eastAsia="zh-CN"/>
              </w:rPr>
              <w:t>去除量约</w:t>
            </w:r>
            <w:r>
              <w:rPr>
                <w:rFonts w:hint="eastAsia"/>
                <w:lang w:val="en-US" w:eastAsia="zh-CN"/>
              </w:rPr>
              <w:t>4.2531t/a</w:t>
            </w:r>
            <w:r>
              <w:rPr>
                <w:rFonts w:hint="default"/>
                <w:lang w:val="en-US" w:eastAsia="zh-CN"/>
              </w:rPr>
              <w:t>，则污水处理臭气中NH</w:t>
            </w:r>
            <w:r>
              <w:rPr>
                <w:rFonts w:hint="eastAsia"/>
                <w:vertAlign w:val="subscript"/>
                <w:lang w:val="en-US" w:eastAsia="zh-CN"/>
              </w:rPr>
              <w:t>3</w:t>
            </w:r>
            <w:r>
              <w:rPr>
                <w:rFonts w:hint="eastAsia"/>
                <w:lang w:val="en-US" w:eastAsia="zh-CN"/>
              </w:rPr>
              <w:t>、</w:t>
            </w:r>
            <w:r>
              <w:rPr>
                <w:rFonts w:hint="default"/>
                <w:lang w:val="en-US" w:eastAsia="zh-CN"/>
              </w:rPr>
              <w:t>H</w:t>
            </w:r>
            <w:r>
              <w:rPr>
                <w:rFonts w:hint="eastAsia"/>
                <w:vertAlign w:val="subscript"/>
                <w:lang w:val="en-US" w:eastAsia="zh-CN"/>
              </w:rPr>
              <w:t>2</w:t>
            </w:r>
            <w:r>
              <w:rPr>
                <w:rFonts w:hint="default"/>
                <w:lang w:val="en-US" w:eastAsia="zh-CN"/>
              </w:rPr>
              <w:t>S产生量约</w:t>
            </w:r>
            <w:r>
              <w:rPr>
                <w:rFonts w:hint="eastAsia"/>
                <w:lang w:val="en-US" w:eastAsia="zh-CN"/>
              </w:rPr>
              <w:t>0.0132t</w:t>
            </w:r>
            <w:r>
              <w:rPr>
                <w:rFonts w:hint="default"/>
                <w:lang w:val="en-US" w:eastAsia="zh-CN"/>
              </w:rPr>
              <w:t>/a、</w:t>
            </w:r>
            <w:r>
              <w:rPr>
                <w:rFonts w:hint="eastAsia"/>
                <w:lang w:val="en-US" w:eastAsia="zh-CN"/>
              </w:rPr>
              <w:t>0.0005t/a。</w:t>
            </w:r>
          </w:p>
          <w:p w14:paraId="7C355BAE">
            <w:pPr>
              <w:bidi w:val="0"/>
              <w:jc w:val="both"/>
              <w:rPr>
                <w:rFonts w:hint="eastAsia"/>
                <w:b/>
                <w:bCs/>
                <w:lang w:val="en-US" w:eastAsia="zh-CN"/>
              </w:rPr>
            </w:pPr>
            <w:r>
              <w:rPr>
                <w:rFonts w:hint="eastAsia"/>
                <w:b/>
                <w:bCs/>
                <w:lang w:val="en-US" w:eastAsia="zh-CN"/>
              </w:rPr>
              <w:t>②收集</w:t>
            </w:r>
          </w:p>
          <w:p w14:paraId="29A1357A">
            <w:pPr>
              <w:bidi w:val="0"/>
              <w:jc w:val="both"/>
              <w:rPr>
                <w:rFonts w:hint="eastAsia"/>
                <w:lang w:val="en-US" w:eastAsia="zh-CN"/>
              </w:rPr>
            </w:pPr>
            <w:r>
              <w:rPr>
                <w:rFonts w:hint="eastAsia"/>
                <w:lang w:val="en-US" w:eastAsia="zh-CN"/>
              </w:rPr>
              <w:t>根据《医院污水处理工程技术规范》(HJ2029-2013)第6.3.6.1条：“医院污水处理工程废气应进行适当的处理(如臭氧活性炭吸附等方法)后排放，不宜直接排放”。本项目设置地埋式污水处理站，处理站各处理单元采取密闭措施并定期喷洒除臭剂，并留有排气孔，臭气经各自小孔径管道汇至一根大孔径管道进行收集，收集后经引风机引至活性炭吸附装置TA001进行处理，尾气由1根不低于18m高排气筒DA001高空排放，设计总风机风量为5000m³/h。</w:t>
            </w:r>
            <w:r>
              <w:t>根据《浙江省重点行业VOCs污染排放源排放量计算方法》，</w:t>
            </w:r>
            <w:r>
              <w:rPr>
                <w:rFonts w:hint="eastAsia"/>
                <w:lang w:eastAsia="zh-CN"/>
              </w:rPr>
              <w:t>设备有固定排放管（或口）直接与风管连接，设备整体密闭只留产品进出口，且进出口处有废气收集措施，收集系统运行时周边基本无VOCs散发，</w:t>
            </w:r>
            <w:r>
              <w:t>收集效率为</w:t>
            </w:r>
            <w:r>
              <w:rPr>
                <w:rFonts w:hint="eastAsia"/>
                <w:lang w:val="en-US" w:eastAsia="zh-CN"/>
              </w:rPr>
              <w:t>80</w:t>
            </w:r>
            <w:r>
              <w:t>--</w:t>
            </w:r>
            <w:r>
              <w:rPr>
                <w:rFonts w:hint="eastAsia"/>
                <w:lang w:val="en-US" w:eastAsia="zh-CN"/>
              </w:rPr>
              <w:t>98</w:t>
            </w:r>
            <w:r>
              <w:t>%</w:t>
            </w:r>
            <w:r>
              <w:rPr>
                <w:rFonts w:hint="eastAsia"/>
                <w:lang w:eastAsia="zh-CN"/>
              </w:rPr>
              <w:t>。</w:t>
            </w:r>
            <w:r>
              <w:rPr>
                <w:rFonts w:hint="eastAsia"/>
                <w:lang w:val="en-US" w:eastAsia="zh-CN"/>
              </w:rPr>
              <w:t>本项目管道集气效率取95%。</w:t>
            </w:r>
          </w:p>
          <w:p w14:paraId="4716D9F1">
            <w:pPr>
              <w:bidi w:val="0"/>
              <w:jc w:val="both"/>
              <w:rPr>
                <w:rFonts w:hint="eastAsia"/>
                <w:b/>
                <w:bCs/>
                <w:lang w:val="en-US" w:eastAsia="zh-CN"/>
              </w:rPr>
            </w:pPr>
            <w:r>
              <w:rPr>
                <w:rFonts w:hint="eastAsia"/>
                <w:b/>
                <w:bCs/>
                <w:lang w:val="en-US" w:eastAsia="zh-CN"/>
              </w:rPr>
              <w:t>③治理</w:t>
            </w:r>
          </w:p>
          <w:p w14:paraId="23F70842">
            <w:pPr>
              <w:bidi w:val="0"/>
              <w:jc w:val="both"/>
              <w:rPr>
                <w:rFonts w:hint="eastAsia"/>
                <w:color w:val="000000" w:themeColor="text1"/>
                <w:lang w:val="en-US" w:eastAsia="zh-CN"/>
                <w14:textFill>
                  <w14:solidFill>
                    <w14:schemeClr w14:val="tx1"/>
                  </w14:solidFill>
                </w14:textFill>
              </w:rPr>
            </w:pPr>
            <w:r>
              <w:rPr>
                <w:rFonts w:hint="eastAsia"/>
                <w:lang w:val="en-US" w:eastAsia="zh-CN"/>
              </w:rPr>
              <w:t>项目污水处理站恶臭气体经管道负压收集后，采用二级活性炭吸附装置处理。根据</w:t>
            </w:r>
            <w:r>
              <w:rPr>
                <w:rFonts w:hint="default"/>
                <w:lang w:val="en-US" w:eastAsia="zh-CN"/>
              </w:rPr>
              <w:t>《排污许可证与核发技术规范</w:t>
            </w:r>
            <w:r>
              <w:rPr>
                <w:rFonts w:hint="eastAsia"/>
                <w:lang w:val="en-US" w:eastAsia="zh-CN"/>
              </w:rPr>
              <w:t xml:space="preserve"> </w:t>
            </w:r>
            <w:r>
              <w:rPr>
                <w:rFonts w:hint="default"/>
                <w:lang w:val="en-US" w:eastAsia="zh-CN"/>
              </w:rPr>
              <w:t>医疗机构》</w:t>
            </w:r>
            <w:r>
              <w:rPr>
                <w:rFonts w:hint="eastAsia"/>
                <w:lang w:val="en-US" w:eastAsia="zh-CN"/>
              </w:rPr>
              <w:t>（HJ1105-2020）表A.1医疗机构排污单位废气治理可行技术参照表，</w:t>
            </w:r>
            <w:r>
              <w:rPr>
                <w:rFonts w:hint="eastAsia"/>
                <w:color w:val="000000" w:themeColor="text1"/>
                <w:lang w:val="en-US" w:eastAsia="zh-CN"/>
                <w14:textFill>
                  <w14:solidFill>
                    <w14:schemeClr w14:val="tx1"/>
                  </w14:solidFill>
                </w14:textFill>
              </w:rPr>
              <w:t>确定本项目废气防治设施可行性如下所示：</w:t>
            </w:r>
          </w:p>
          <w:p w14:paraId="50D89CBB">
            <w:pPr>
              <w:pStyle w:val="41"/>
              <w:bidi w:val="0"/>
              <w:rPr>
                <w:rFonts w:hint="eastAsia"/>
                <w:lang w:val="en-US" w:eastAsia="zh-CN"/>
              </w:rPr>
            </w:pPr>
            <w:r>
              <w:rPr>
                <w:rFonts w:hint="eastAsia"/>
                <w:lang w:val="en-US" w:eastAsia="zh-CN"/>
              </w:rPr>
              <w:t>表4-6  医疗机构排污单位废气治理可行技术参照表</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摘录</w:t>
            </w:r>
            <w:r>
              <w:rPr>
                <w:rFonts w:hint="eastAsia"/>
                <w:color w:val="000000" w:themeColor="text1"/>
                <w:lang w:eastAsia="zh-CN"/>
                <w14:textFill>
                  <w14:solidFill>
                    <w14:schemeClr w14:val="tx1"/>
                  </w14:solidFill>
                </w14:textFill>
              </w:rPr>
              <w:t>）</w:t>
            </w:r>
          </w:p>
          <w:tbl>
            <w:tblPr>
              <w:tblStyle w:val="19"/>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439"/>
              <w:gridCol w:w="1439"/>
              <w:gridCol w:w="1439"/>
              <w:gridCol w:w="1440"/>
              <w:gridCol w:w="1440"/>
            </w:tblGrid>
            <w:tr w14:paraId="2D30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39" w:type="dxa"/>
                  <w:vAlign w:val="center"/>
                </w:tcPr>
                <w:p w14:paraId="468DB664">
                  <w:pPr>
                    <w:pStyle w:val="32"/>
                    <w:bidi w:val="0"/>
                    <w:jc w:val="center"/>
                    <w:rPr>
                      <w:rFonts w:hint="default"/>
                      <w:b/>
                      <w:bCs/>
                      <w:lang w:val="en-US" w:eastAsia="zh-CN"/>
                    </w:rPr>
                  </w:pPr>
                  <w:r>
                    <w:rPr>
                      <w:rFonts w:hint="eastAsia"/>
                      <w:b/>
                      <w:bCs/>
                      <w:lang w:val="en-US" w:eastAsia="zh-CN"/>
                    </w:rPr>
                    <w:t>污染物产生设施</w:t>
                  </w:r>
                </w:p>
              </w:tc>
              <w:tc>
                <w:tcPr>
                  <w:tcW w:w="1439" w:type="dxa"/>
                  <w:vAlign w:val="center"/>
                </w:tcPr>
                <w:p w14:paraId="6E0FF6C9">
                  <w:pPr>
                    <w:pStyle w:val="32"/>
                    <w:bidi w:val="0"/>
                    <w:jc w:val="center"/>
                    <w:rPr>
                      <w:rFonts w:hint="default"/>
                      <w:b/>
                      <w:bCs/>
                      <w:lang w:val="en-US" w:eastAsia="zh-CN"/>
                    </w:rPr>
                  </w:pPr>
                  <w:r>
                    <w:rPr>
                      <w:rFonts w:hint="eastAsia"/>
                      <w:b/>
                      <w:bCs/>
                      <w:lang w:val="en-US" w:eastAsia="zh-CN"/>
                    </w:rPr>
                    <w:t>污染物种类</w:t>
                  </w:r>
                </w:p>
              </w:tc>
              <w:tc>
                <w:tcPr>
                  <w:tcW w:w="1439" w:type="dxa"/>
                  <w:vAlign w:val="center"/>
                </w:tcPr>
                <w:p w14:paraId="49415133">
                  <w:pPr>
                    <w:pStyle w:val="32"/>
                    <w:bidi w:val="0"/>
                    <w:jc w:val="center"/>
                    <w:rPr>
                      <w:rFonts w:hint="default"/>
                      <w:b/>
                      <w:bCs/>
                      <w:lang w:val="en-US" w:eastAsia="zh-CN"/>
                    </w:rPr>
                  </w:pPr>
                  <w:r>
                    <w:rPr>
                      <w:rFonts w:hint="eastAsia"/>
                      <w:b/>
                      <w:bCs/>
                      <w:lang w:val="en-US" w:eastAsia="zh-CN"/>
                    </w:rPr>
                    <w:t>排放形式</w:t>
                  </w:r>
                </w:p>
              </w:tc>
              <w:tc>
                <w:tcPr>
                  <w:tcW w:w="1439" w:type="dxa"/>
                  <w:vAlign w:val="center"/>
                </w:tcPr>
                <w:p w14:paraId="2DD544F4">
                  <w:pPr>
                    <w:pStyle w:val="32"/>
                    <w:bidi w:val="0"/>
                    <w:jc w:val="center"/>
                    <w:rPr>
                      <w:rFonts w:hint="default"/>
                      <w:b/>
                      <w:bCs/>
                      <w:lang w:val="en-US" w:eastAsia="zh-CN"/>
                    </w:rPr>
                  </w:pPr>
                  <w:r>
                    <w:rPr>
                      <w:rFonts w:hint="eastAsia"/>
                      <w:b/>
                      <w:bCs/>
                      <w:lang w:val="en-US" w:eastAsia="zh-CN"/>
                    </w:rPr>
                    <w:t>可行技术</w:t>
                  </w:r>
                </w:p>
              </w:tc>
              <w:tc>
                <w:tcPr>
                  <w:tcW w:w="1440" w:type="dxa"/>
                  <w:vAlign w:val="center"/>
                </w:tcPr>
                <w:p w14:paraId="6FD00385">
                  <w:pPr>
                    <w:pStyle w:val="32"/>
                    <w:bidi w:val="0"/>
                    <w:jc w:val="center"/>
                    <w:rPr>
                      <w:rFonts w:hint="default"/>
                      <w:b/>
                      <w:bCs/>
                      <w:lang w:val="en-US" w:eastAsia="zh-CN"/>
                    </w:rPr>
                  </w:pPr>
                  <w:r>
                    <w:rPr>
                      <w:rFonts w:hint="eastAsia"/>
                      <w:b/>
                      <w:bCs/>
                      <w:lang w:val="en-US" w:eastAsia="zh-CN"/>
                    </w:rPr>
                    <w:t>本项目采取措施</w:t>
                  </w:r>
                </w:p>
              </w:tc>
              <w:tc>
                <w:tcPr>
                  <w:tcW w:w="1440" w:type="dxa"/>
                  <w:vAlign w:val="center"/>
                </w:tcPr>
                <w:p w14:paraId="16A6546D">
                  <w:pPr>
                    <w:pStyle w:val="32"/>
                    <w:bidi w:val="0"/>
                    <w:jc w:val="center"/>
                    <w:rPr>
                      <w:rFonts w:hint="default"/>
                      <w:b/>
                      <w:bCs/>
                      <w:lang w:val="en-US" w:eastAsia="zh-CN"/>
                    </w:rPr>
                  </w:pPr>
                  <w:r>
                    <w:rPr>
                      <w:rFonts w:hint="eastAsia"/>
                      <w:b/>
                      <w:bCs/>
                      <w:lang w:val="en-US" w:eastAsia="zh-CN"/>
                    </w:rPr>
                    <w:t>是否可行</w:t>
                  </w:r>
                </w:p>
              </w:tc>
            </w:tr>
            <w:tr w14:paraId="1FC5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restart"/>
                  <w:vAlign w:val="center"/>
                </w:tcPr>
                <w:p w14:paraId="792AB928">
                  <w:pPr>
                    <w:pStyle w:val="32"/>
                    <w:bidi w:val="0"/>
                    <w:jc w:val="center"/>
                    <w:rPr>
                      <w:rFonts w:hint="default"/>
                      <w:lang w:val="en-US" w:eastAsia="zh-CN"/>
                    </w:rPr>
                  </w:pPr>
                  <w:r>
                    <w:rPr>
                      <w:rFonts w:hint="eastAsia"/>
                      <w:lang w:val="en-US" w:eastAsia="zh-CN"/>
                    </w:rPr>
                    <w:t>污水处理站</w:t>
                  </w:r>
                </w:p>
              </w:tc>
              <w:tc>
                <w:tcPr>
                  <w:tcW w:w="1439" w:type="dxa"/>
                  <w:vAlign w:val="center"/>
                </w:tcPr>
                <w:p w14:paraId="34A08D14">
                  <w:pPr>
                    <w:pStyle w:val="32"/>
                    <w:bidi w:val="0"/>
                    <w:jc w:val="center"/>
                    <w:rPr>
                      <w:rFonts w:hint="default"/>
                      <w:lang w:val="en-US" w:eastAsia="zh-CN"/>
                    </w:rPr>
                  </w:pPr>
                  <w:r>
                    <w:rPr>
                      <w:rFonts w:hint="eastAsia"/>
                      <w:lang w:val="en-US" w:eastAsia="zh-CN"/>
                    </w:rPr>
                    <w:t>氨、硫化氢、臭气浓度、氯气、甲烷</w:t>
                  </w:r>
                </w:p>
              </w:tc>
              <w:tc>
                <w:tcPr>
                  <w:tcW w:w="1439" w:type="dxa"/>
                  <w:vAlign w:val="center"/>
                </w:tcPr>
                <w:p w14:paraId="5CD9FC2C">
                  <w:pPr>
                    <w:pStyle w:val="32"/>
                    <w:bidi w:val="0"/>
                    <w:jc w:val="center"/>
                    <w:rPr>
                      <w:rFonts w:hint="default"/>
                      <w:lang w:val="en-US" w:eastAsia="zh-CN"/>
                    </w:rPr>
                  </w:pPr>
                  <w:r>
                    <w:rPr>
                      <w:rFonts w:hint="eastAsia"/>
                      <w:lang w:val="en-US" w:eastAsia="zh-CN"/>
                    </w:rPr>
                    <w:t>无组织</w:t>
                  </w:r>
                </w:p>
              </w:tc>
              <w:tc>
                <w:tcPr>
                  <w:tcW w:w="1439" w:type="dxa"/>
                  <w:vAlign w:val="center"/>
                </w:tcPr>
                <w:p w14:paraId="1D09DEEE">
                  <w:pPr>
                    <w:pStyle w:val="32"/>
                    <w:bidi w:val="0"/>
                    <w:jc w:val="center"/>
                    <w:rPr>
                      <w:rFonts w:hint="default"/>
                      <w:lang w:val="en-US" w:eastAsia="zh-CN"/>
                    </w:rPr>
                  </w:pPr>
                  <w:r>
                    <w:rPr>
                      <w:rFonts w:hint="default"/>
                      <w:lang w:val="en-US" w:eastAsia="zh-CN"/>
                    </w:rPr>
                    <w:t>产生恶臭区域加罩或加盖，投放除臭剂:</w:t>
                  </w:r>
                </w:p>
              </w:tc>
              <w:tc>
                <w:tcPr>
                  <w:tcW w:w="1440" w:type="dxa"/>
                  <w:vAlign w:val="center"/>
                </w:tcPr>
                <w:p w14:paraId="1E98B8D3">
                  <w:pPr>
                    <w:pStyle w:val="32"/>
                    <w:bidi w:val="0"/>
                    <w:jc w:val="center"/>
                    <w:rPr>
                      <w:rFonts w:hint="default"/>
                      <w:lang w:val="en-US" w:eastAsia="zh-CN"/>
                    </w:rPr>
                  </w:pPr>
                  <w:r>
                    <w:rPr>
                      <w:rFonts w:hint="eastAsia"/>
                      <w:lang w:val="en-US" w:eastAsia="zh-CN"/>
                    </w:rPr>
                    <w:t>污水处理站密闭+定期喷洒除臭剂</w:t>
                  </w:r>
                </w:p>
              </w:tc>
              <w:tc>
                <w:tcPr>
                  <w:tcW w:w="1440" w:type="dxa"/>
                  <w:vAlign w:val="center"/>
                </w:tcPr>
                <w:p w14:paraId="112E8E8D">
                  <w:pPr>
                    <w:pStyle w:val="32"/>
                    <w:bidi w:val="0"/>
                    <w:jc w:val="center"/>
                    <w:rPr>
                      <w:rFonts w:hint="default"/>
                      <w:lang w:val="en-US" w:eastAsia="zh-CN"/>
                    </w:rPr>
                  </w:pPr>
                  <w:r>
                    <w:rPr>
                      <w:rFonts w:hint="eastAsia"/>
                      <w:lang w:val="en-US" w:eastAsia="zh-CN"/>
                    </w:rPr>
                    <w:t>可行</w:t>
                  </w:r>
                </w:p>
              </w:tc>
            </w:tr>
            <w:tr w14:paraId="38D7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7F7956AD">
                  <w:pPr>
                    <w:pStyle w:val="32"/>
                    <w:bidi w:val="0"/>
                    <w:jc w:val="center"/>
                    <w:rPr>
                      <w:rFonts w:hint="default"/>
                      <w:lang w:val="en-US" w:eastAsia="zh-CN"/>
                    </w:rPr>
                  </w:pPr>
                </w:p>
              </w:tc>
              <w:tc>
                <w:tcPr>
                  <w:tcW w:w="1439" w:type="dxa"/>
                  <w:vAlign w:val="center"/>
                </w:tcPr>
                <w:p w14:paraId="08C3D5ED">
                  <w:pPr>
                    <w:pStyle w:val="32"/>
                    <w:bidi w:val="0"/>
                    <w:jc w:val="center"/>
                    <w:rPr>
                      <w:rFonts w:hint="default"/>
                      <w:lang w:val="en-US" w:eastAsia="zh-CN"/>
                    </w:rPr>
                  </w:pPr>
                  <w:r>
                    <w:rPr>
                      <w:rFonts w:hint="eastAsia"/>
                      <w:lang w:val="en-US" w:eastAsia="zh-CN"/>
                    </w:rPr>
                    <w:t>氨、硫化氢、臭气浓度</w:t>
                  </w:r>
                </w:p>
              </w:tc>
              <w:tc>
                <w:tcPr>
                  <w:tcW w:w="1439" w:type="dxa"/>
                  <w:vAlign w:val="center"/>
                </w:tcPr>
                <w:p w14:paraId="234BAFCB">
                  <w:pPr>
                    <w:pStyle w:val="32"/>
                    <w:bidi w:val="0"/>
                    <w:jc w:val="center"/>
                    <w:rPr>
                      <w:rFonts w:hint="default"/>
                      <w:lang w:val="en-US" w:eastAsia="zh-CN"/>
                    </w:rPr>
                  </w:pPr>
                  <w:r>
                    <w:rPr>
                      <w:rFonts w:hint="eastAsia"/>
                      <w:lang w:val="en-US" w:eastAsia="zh-CN"/>
                    </w:rPr>
                    <w:t>有组织</w:t>
                  </w:r>
                </w:p>
              </w:tc>
              <w:tc>
                <w:tcPr>
                  <w:tcW w:w="1439" w:type="dxa"/>
                  <w:vAlign w:val="center"/>
                </w:tcPr>
                <w:p w14:paraId="7953C4AD">
                  <w:pPr>
                    <w:pStyle w:val="32"/>
                    <w:bidi w:val="0"/>
                    <w:jc w:val="center"/>
                    <w:rPr>
                      <w:rFonts w:hint="default"/>
                      <w:lang w:val="en-US" w:eastAsia="zh-CN"/>
                    </w:rPr>
                  </w:pPr>
                  <w:r>
                    <w:rPr>
                      <w:rFonts w:hint="default"/>
                      <w:lang w:val="en-US" w:eastAsia="zh-CN"/>
                    </w:rPr>
                    <w:t>集中收集恶臭气体经处理(喷淋塔除臭、活性炭吸附、生物除臭等)后经排气筒排放</w:t>
                  </w:r>
                </w:p>
              </w:tc>
              <w:tc>
                <w:tcPr>
                  <w:tcW w:w="1440" w:type="dxa"/>
                  <w:vAlign w:val="center"/>
                </w:tcPr>
                <w:p w14:paraId="27816722">
                  <w:pPr>
                    <w:pStyle w:val="32"/>
                    <w:bidi w:val="0"/>
                    <w:jc w:val="center"/>
                    <w:rPr>
                      <w:rFonts w:hint="default"/>
                      <w:lang w:val="en-US" w:eastAsia="zh-CN"/>
                    </w:rPr>
                  </w:pPr>
                  <w:r>
                    <w:rPr>
                      <w:rFonts w:hint="eastAsia"/>
                      <w:lang w:val="en-US" w:eastAsia="zh-CN"/>
                    </w:rPr>
                    <w:t>管道收集+二级活性炭吸附+18m排气筒</w:t>
                  </w:r>
                </w:p>
              </w:tc>
              <w:tc>
                <w:tcPr>
                  <w:tcW w:w="1440" w:type="dxa"/>
                  <w:vAlign w:val="center"/>
                </w:tcPr>
                <w:p w14:paraId="29773F26">
                  <w:pPr>
                    <w:pStyle w:val="32"/>
                    <w:bidi w:val="0"/>
                    <w:jc w:val="center"/>
                    <w:rPr>
                      <w:rFonts w:hint="default"/>
                      <w:lang w:val="en-US" w:eastAsia="zh-CN"/>
                    </w:rPr>
                  </w:pPr>
                  <w:r>
                    <w:rPr>
                      <w:rFonts w:hint="eastAsia"/>
                      <w:lang w:val="en-US" w:eastAsia="zh-CN"/>
                    </w:rPr>
                    <w:t>可行</w:t>
                  </w:r>
                </w:p>
              </w:tc>
            </w:tr>
          </w:tbl>
          <w:p w14:paraId="69D7CC9D">
            <w:pPr>
              <w:bidi w:val="0"/>
              <w:jc w:val="both"/>
              <w:rPr>
                <w:rFonts w:hint="default"/>
                <w:lang w:val="en-US" w:eastAsia="zh-CN"/>
              </w:rPr>
            </w:pPr>
            <w:r>
              <w:rPr>
                <w:rFonts w:hint="eastAsia"/>
                <w:color w:val="000000" w:themeColor="text1"/>
                <w:lang w:val="en-US" w:eastAsia="zh-CN"/>
                <w14:textFill>
                  <w14:solidFill>
                    <w14:schemeClr w14:val="tx1"/>
                  </w14:solidFill>
                </w14:textFill>
              </w:rPr>
              <w:t>由上表控制，本项目</w:t>
            </w:r>
            <w:r>
              <w:rPr>
                <w:rFonts w:hint="eastAsia"/>
                <w:lang w:val="en-US" w:eastAsia="zh-CN"/>
              </w:rPr>
              <w:t>设置地埋式污水处理站，处理站各处理单元采取密闭措施并定期喷洒除臭剂，恶臭气体经收集后进入二级活性炭吸附装置处理后排放为可行技术。本项目活性炭吸附装置除臭效率约80%。</w:t>
            </w:r>
          </w:p>
          <w:p w14:paraId="364DB564">
            <w:pPr>
              <w:ind w:firstLine="480"/>
              <w:jc w:val="both"/>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活性炭吸附</w:t>
            </w:r>
          </w:p>
          <w:p w14:paraId="6FD55D8A">
            <w:pPr>
              <w:ind w:firstLine="480"/>
              <w:jc w:val="both"/>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活性炭吸附法就是利用活性炭作为物理吸附剂，把生产过程中产生的有害物质成分，在固相表面进行浓缩，从而使废气得到净化治理。吸附过程是在固相一气相间界面发生的物理过程。活性炭主要是以含炭量较高的物质制成，具有较大的比表面积。</w:t>
            </w:r>
          </w:p>
          <w:p w14:paraId="2353205D">
            <w:pPr>
              <w:bidi w:val="0"/>
              <w:jc w:val="both"/>
              <w:rPr>
                <w:rFonts w:hint="default"/>
                <w:b/>
                <w:bCs/>
                <w:lang w:val="en-US" w:eastAsia="zh-CN"/>
              </w:rPr>
            </w:pPr>
            <w:r>
              <w:rPr>
                <w:rFonts w:hint="eastAsia"/>
                <w:b/>
                <w:bCs/>
                <w:lang w:val="en-US" w:eastAsia="zh-CN"/>
              </w:rPr>
              <w:t>④排放</w:t>
            </w:r>
          </w:p>
          <w:p w14:paraId="1117EF21">
            <w:pPr>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由上可知，本项目恶臭气体经二级活性炭吸附装置处理后产排情况如下所示。</w:t>
            </w:r>
          </w:p>
          <w:p w14:paraId="1E968477">
            <w:pPr>
              <w:pStyle w:val="41"/>
              <w:bidi w:val="0"/>
              <w:rPr>
                <w:rFonts w:hint="eastAsia"/>
                <w:lang w:val="en-US" w:eastAsia="zh-CN"/>
              </w:rPr>
            </w:pPr>
            <w:r>
              <w:rPr>
                <w:rFonts w:hint="eastAsia"/>
              </w:rPr>
              <w:t>表4-</w:t>
            </w:r>
            <w:r>
              <w:rPr>
                <w:rFonts w:hint="eastAsia"/>
                <w:lang w:val="en-US" w:eastAsia="zh-CN"/>
              </w:rPr>
              <w:t>7  污水处理站污染物产排情况一览表</w:t>
            </w: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71"/>
              <w:gridCol w:w="2935"/>
              <w:gridCol w:w="1793"/>
              <w:gridCol w:w="1795"/>
            </w:tblGrid>
            <w:tr w14:paraId="70C15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912"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37A2C4A">
                  <w:pPr>
                    <w:pStyle w:val="32"/>
                    <w:bidi w:val="0"/>
                    <w:jc w:val="center"/>
                    <w:rPr>
                      <w:rFonts w:hint="eastAsia"/>
                      <w:b/>
                      <w:bCs/>
                    </w:rPr>
                  </w:pPr>
                  <w:r>
                    <w:rPr>
                      <w:rFonts w:hint="eastAsia"/>
                      <w:b/>
                      <w:bCs/>
                      <w:lang w:val="en-US" w:eastAsia="zh-CN"/>
                    </w:rPr>
                    <w:t>污染源</w:t>
                  </w:r>
                </w:p>
              </w:tc>
              <w:tc>
                <w:tcPr>
                  <w:tcW w:w="2087"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0F7485CC">
                  <w:pPr>
                    <w:pStyle w:val="32"/>
                    <w:bidi w:val="0"/>
                    <w:jc w:val="center"/>
                    <w:rPr>
                      <w:rFonts w:hint="default"/>
                      <w:b/>
                      <w:bCs/>
                    </w:rPr>
                  </w:pPr>
                  <w:r>
                    <w:rPr>
                      <w:rFonts w:hint="default"/>
                      <w:b/>
                      <w:bCs/>
                      <w:lang w:val="en-US" w:eastAsia="zh-CN"/>
                    </w:rPr>
                    <w:t>DA001</w:t>
                  </w:r>
                </w:p>
              </w:tc>
            </w:tr>
            <w:tr w14:paraId="627DC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912" w:type="pct"/>
                  <w:gridSpan w:val="2"/>
                  <w:tcBorders>
                    <w:top w:val="nil"/>
                    <w:left w:val="single" w:color="000000" w:sz="8" w:space="0"/>
                    <w:bottom w:val="single" w:color="000000" w:sz="8" w:space="0"/>
                    <w:right w:val="single" w:color="000000" w:sz="8" w:space="0"/>
                  </w:tcBorders>
                  <w:shd w:val="clear" w:color="auto" w:fill="auto"/>
                  <w:vAlign w:val="center"/>
                </w:tcPr>
                <w:p w14:paraId="5A96F31F">
                  <w:pPr>
                    <w:pStyle w:val="32"/>
                    <w:bidi w:val="0"/>
                    <w:jc w:val="center"/>
                    <w:rPr>
                      <w:rFonts w:hint="eastAsia"/>
                    </w:rPr>
                  </w:pPr>
                  <w:r>
                    <w:rPr>
                      <w:rFonts w:hint="eastAsia"/>
                      <w:lang w:val="en-US" w:eastAsia="zh-CN"/>
                    </w:rPr>
                    <w:t>污染物</w:t>
                  </w:r>
                </w:p>
              </w:tc>
              <w:tc>
                <w:tcPr>
                  <w:tcW w:w="1043" w:type="pct"/>
                  <w:tcBorders>
                    <w:top w:val="nil"/>
                    <w:left w:val="single" w:color="000000" w:sz="8" w:space="0"/>
                    <w:bottom w:val="single" w:color="000000" w:sz="8" w:space="0"/>
                    <w:right w:val="single" w:color="000000" w:sz="8" w:space="0"/>
                  </w:tcBorders>
                  <w:shd w:val="clear" w:color="auto" w:fill="auto"/>
                  <w:vAlign w:val="center"/>
                </w:tcPr>
                <w:p w14:paraId="3D18BB94">
                  <w:pPr>
                    <w:pStyle w:val="32"/>
                    <w:bidi w:val="0"/>
                    <w:jc w:val="center"/>
                    <w:rPr>
                      <w:rFonts w:hint="eastAsia"/>
                    </w:rPr>
                  </w:pPr>
                  <w:r>
                    <w:rPr>
                      <w:rFonts w:hint="eastAsia"/>
                      <w:lang w:val="en-US" w:eastAsia="zh-CN"/>
                    </w:rPr>
                    <w:t>氨</w:t>
                  </w:r>
                </w:p>
              </w:tc>
              <w:tc>
                <w:tcPr>
                  <w:tcW w:w="10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877FA8">
                  <w:pPr>
                    <w:pStyle w:val="32"/>
                    <w:bidi w:val="0"/>
                    <w:jc w:val="center"/>
                    <w:rPr>
                      <w:rFonts w:hint="eastAsia"/>
                    </w:rPr>
                  </w:pPr>
                  <w:r>
                    <w:rPr>
                      <w:rFonts w:hint="eastAsia"/>
                      <w:lang w:val="en-US" w:eastAsia="zh-CN"/>
                    </w:rPr>
                    <w:t>硫化氢</w:t>
                  </w:r>
                </w:p>
              </w:tc>
            </w:tr>
            <w:tr w14:paraId="0C1B8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912" w:type="pct"/>
                  <w:gridSpan w:val="2"/>
                  <w:tcBorders>
                    <w:top w:val="nil"/>
                    <w:left w:val="single" w:color="000000" w:sz="8" w:space="0"/>
                    <w:bottom w:val="single" w:color="000000" w:sz="8" w:space="0"/>
                    <w:right w:val="single" w:color="000000" w:sz="8" w:space="0"/>
                  </w:tcBorders>
                  <w:shd w:val="clear" w:color="auto" w:fill="auto"/>
                  <w:vAlign w:val="center"/>
                </w:tcPr>
                <w:p w14:paraId="00330B3B">
                  <w:pPr>
                    <w:pStyle w:val="32"/>
                    <w:bidi w:val="0"/>
                    <w:jc w:val="center"/>
                    <w:rPr>
                      <w:rFonts w:hint="eastAsia"/>
                    </w:rPr>
                  </w:pPr>
                  <w:r>
                    <w:rPr>
                      <w:rFonts w:hint="eastAsia"/>
                      <w:lang w:val="en-US" w:eastAsia="zh-CN"/>
                    </w:rPr>
                    <w:t>治理设施</w:t>
                  </w:r>
                </w:p>
              </w:tc>
              <w:tc>
                <w:tcPr>
                  <w:tcW w:w="2087" w:type="pct"/>
                  <w:gridSpan w:val="2"/>
                  <w:tcBorders>
                    <w:top w:val="nil"/>
                    <w:left w:val="single" w:color="000000" w:sz="8" w:space="0"/>
                    <w:bottom w:val="single" w:color="000000" w:sz="8" w:space="0"/>
                    <w:right w:val="single" w:color="000000" w:sz="8" w:space="0"/>
                  </w:tcBorders>
                  <w:shd w:val="clear" w:color="auto" w:fill="auto"/>
                  <w:vAlign w:val="center"/>
                </w:tcPr>
                <w:p w14:paraId="0F90F1A6">
                  <w:pPr>
                    <w:pStyle w:val="32"/>
                    <w:bidi w:val="0"/>
                    <w:jc w:val="center"/>
                    <w:rPr>
                      <w:rFonts w:hint="eastAsia"/>
                    </w:rPr>
                  </w:pPr>
                  <w:r>
                    <w:rPr>
                      <w:rFonts w:hint="eastAsia"/>
                      <w:lang w:val="en-US" w:eastAsia="zh-CN"/>
                    </w:rPr>
                    <w:t>二级活性炭</w:t>
                  </w:r>
                </w:p>
              </w:tc>
            </w:tr>
            <w:tr w14:paraId="6418C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912" w:type="pct"/>
                  <w:gridSpan w:val="2"/>
                  <w:tcBorders>
                    <w:top w:val="nil"/>
                    <w:left w:val="single" w:color="000000" w:sz="8" w:space="0"/>
                    <w:bottom w:val="single" w:color="000000" w:sz="8" w:space="0"/>
                    <w:right w:val="single" w:color="000000" w:sz="8" w:space="0"/>
                  </w:tcBorders>
                  <w:shd w:val="clear" w:color="auto" w:fill="auto"/>
                  <w:vAlign w:val="center"/>
                </w:tcPr>
                <w:p w14:paraId="1608AB9B">
                  <w:pPr>
                    <w:pStyle w:val="32"/>
                    <w:bidi w:val="0"/>
                    <w:jc w:val="center"/>
                    <w:rPr>
                      <w:rFonts w:hint="eastAsia"/>
                    </w:rPr>
                  </w:pPr>
                  <w:r>
                    <w:rPr>
                      <w:rFonts w:hint="eastAsia"/>
                      <w:lang w:val="en-US" w:eastAsia="zh-CN"/>
                    </w:rPr>
                    <w:t>处理风量</w:t>
                  </w:r>
                  <w:r>
                    <w:rPr>
                      <w:lang w:val="en-US" w:eastAsia="zh-CN"/>
                    </w:rPr>
                    <w:t>m</w:t>
                  </w:r>
                  <w:r>
                    <w:rPr>
                      <w:rFonts w:hint="eastAsia"/>
                      <w:lang w:val="en-US" w:eastAsia="zh-CN"/>
                    </w:rPr>
                    <w:t>³</w:t>
                  </w:r>
                  <w:r>
                    <w:rPr>
                      <w:lang w:val="en-US" w:eastAsia="zh-CN"/>
                    </w:rPr>
                    <w:t>/h</w:t>
                  </w:r>
                </w:p>
              </w:tc>
              <w:tc>
                <w:tcPr>
                  <w:tcW w:w="2087" w:type="pct"/>
                  <w:gridSpan w:val="2"/>
                  <w:tcBorders>
                    <w:top w:val="nil"/>
                    <w:left w:val="single" w:color="000000" w:sz="8" w:space="0"/>
                    <w:bottom w:val="single" w:color="000000" w:sz="8" w:space="0"/>
                    <w:right w:val="single" w:color="000000" w:sz="8" w:space="0"/>
                  </w:tcBorders>
                  <w:shd w:val="clear" w:color="auto" w:fill="auto"/>
                  <w:vAlign w:val="center"/>
                </w:tcPr>
                <w:p w14:paraId="18728A49">
                  <w:pPr>
                    <w:pStyle w:val="32"/>
                    <w:bidi w:val="0"/>
                    <w:jc w:val="center"/>
                    <w:rPr>
                      <w:rFonts w:hint="default"/>
                    </w:rPr>
                  </w:pPr>
                  <w:r>
                    <w:rPr>
                      <w:rFonts w:hint="default"/>
                      <w:lang w:val="en-US" w:eastAsia="zh-CN"/>
                    </w:rPr>
                    <w:t>5000</w:t>
                  </w:r>
                </w:p>
              </w:tc>
            </w:tr>
            <w:tr w14:paraId="43F03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05" w:type="pct"/>
                  <w:vMerge w:val="restart"/>
                  <w:tcBorders>
                    <w:top w:val="nil"/>
                    <w:left w:val="single" w:color="000000" w:sz="8" w:space="0"/>
                    <w:bottom w:val="single" w:color="000000" w:sz="8" w:space="0"/>
                    <w:right w:val="single" w:color="000000" w:sz="8" w:space="0"/>
                  </w:tcBorders>
                  <w:shd w:val="clear" w:color="auto" w:fill="auto"/>
                  <w:vAlign w:val="center"/>
                </w:tcPr>
                <w:p w14:paraId="3DF9B9A0">
                  <w:pPr>
                    <w:pStyle w:val="32"/>
                    <w:bidi w:val="0"/>
                    <w:jc w:val="center"/>
                    <w:rPr>
                      <w:rFonts w:hint="eastAsia"/>
                    </w:rPr>
                  </w:pPr>
                  <w:r>
                    <w:rPr>
                      <w:rFonts w:hint="eastAsia"/>
                      <w:lang w:val="en-US" w:eastAsia="zh-CN"/>
                    </w:rPr>
                    <w:t>有组织</w:t>
                  </w:r>
                </w:p>
              </w:tc>
              <w:tc>
                <w:tcPr>
                  <w:tcW w:w="1706" w:type="pct"/>
                  <w:tcBorders>
                    <w:top w:val="nil"/>
                    <w:left w:val="single" w:color="000000" w:sz="8" w:space="0"/>
                    <w:bottom w:val="single" w:color="000000" w:sz="8" w:space="0"/>
                    <w:right w:val="single" w:color="000000" w:sz="8" w:space="0"/>
                  </w:tcBorders>
                  <w:shd w:val="clear" w:color="auto" w:fill="auto"/>
                  <w:vAlign w:val="center"/>
                </w:tcPr>
                <w:p w14:paraId="6CEFD094">
                  <w:pPr>
                    <w:pStyle w:val="32"/>
                    <w:bidi w:val="0"/>
                    <w:jc w:val="center"/>
                    <w:rPr>
                      <w:rFonts w:hint="eastAsia"/>
                    </w:rPr>
                  </w:pPr>
                  <w:r>
                    <w:rPr>
                      <w:rFonts w:hint="eastAsia"/>
                      <w:lang w:val="en-US" w:eastAsia="zh-CN"/>
                    </w:rPr>
                    <w:t>产生量</w:t>
                  </w:r>
                  <w:r>
                    <w:rPr>
                      <w:lang w:val="en-US" w:eastAsia="zh-CN"/>
                    </w:rPr>
                    <w:t>t/a</w:t>
                  </w:r>
                </w:p>
              </w:tc>
              <w:tc>
                <w:tcPr>
                  <w:tcW w:w="10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537F08">
                  <w:pPr>
                    <w:pStyle w:val="32"/>
                    <w:bidi w:val="0"/>
                    <w:jc w:val="center"/>
                    <w:rPr>
                      <w:rFonts w:hint="default"/>
                    </w:rPr>
                  </w:pPr>
                  <w:r>
                    <w:rPr>
                      <w:rFonts w:hint="default"/>
                      <w:lang w:val="en-US" w:eastAsia="zh-CN"/>
                    </w:rPr>
                    <w:t>0.0125</w:t>
                  </w:r>
                </w:p>
              </w:tc>
              <w:tc>
                <w:tcPr>
                  <w:tcW w:w="10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65CFF3">
                  <w:pPr>
                    <w:pStyle w:val="32"/>
                    <w:bidi w:val="0"/>
                    <w:jc w:val="center"/>
                    <w:rPr>
                      <w:rFonts w:hint="default"/>
                    </w:rPr>
                  </w:pPr>
                  <w:r>
                    <w:rPr>
                      <w:rFonts w:hint="default"/>
                      <w:lang w:val="en-US" w:eastAsia="zh-CN"/>
                    </w:rPr>
                    <w:t>0.00048</w:t>
                  </w:r>
                </w:p>
              </w:tc>
            </w:tr>
            <w:tr w14:paraId="29E97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205" w:type="pct"/>
                  <w:vMerge w:val="continue"/>
                  <w:tcBorders>
                    <w:top w:val="nil"/>
                    <w:left w:val="single" w:color="000000" w:sz="8" w:space="0"/>
                    <w:bottom w:val="single" w:color="000000" w:sz="8" w:space="0"/>
                    <w:right w:val="single" w:color="000000" w:sz="8" w:space="0"/>
                  </w:tcBorders>
                  <w:shd w:val="clear" w:color="auto" w:fill="auto"/>
                  <w:vAlign w:val="center"/>
                </w:tcPr>
                <w:p w14:paraId="1D95BA6D">
                  <w:pPr>
                    <w:pStyle w:val="32"/>
                    <w:bidi w:val="0"/>
                    <w:jc w:val="center"/>
                    <w:rPr>
                      <w:rFonts w:hint="eastAsia"/>
                    </w:rPr>
                  </w:pPr>
                </w:p>
              </w:tc>
              <w:tc>
                <w:tcPr>
                  <w:tcW w:w="1706" w:type="pct"/>
                  <w:tcBorders>
                    <w:top w:val="nil"/>
                    <w:left w:val="single" w:color="000000" w:sz="8" w:space="0"/>
                    <w:bottom w:val="single" w:color="000000" w:sz="8" w:space="0"/>
                    <w:right w:val="single" w:color="000000" w:sz="8" w:space="0"/>
                  </w:tcBorders>
                  <w:shd w:val="clear" w:color="auto" w:fill="auto"/>
                  <w:vAlign w:val="center"/>
                </w:tcPr>
                <w:p w14:paraId="4FCE0E4F">
                  <w:pPr>
                    <w:pStyle w:val="32"/>
                    <w:bidi w:val="0"/>
                    <w:jc w:val="center"/>
                    <w:rPr>
                      <w:rFonts w:hint="eastAsia"/>
                    </w:rPr>
                  </w:pPr>
                  <w:r>
                    <w:rPr>
                      <w:rFonts w:hint="eastAsia"/>
                      <w:lang w:val="en-US" w:eastAsia="zh-CN"/>
                    </w:rPr>
                    <w:t>产生速率</w:t>
                  </w:r>
                  <w:r>
                    <w:rPr>
                      <w:lang w:val="en-US" w:eastAsia="zh-CN"/>
                    </w:rPr>
                    <w:t>kg/h</w:t>
                  </w:r>
                </w:p>
              </w:tc>
              <w:tc>
                <w:tcPr>
                  <w:tcW w:w="10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A75112">
                  <w:pPr>
                    <w:pStyle w:val="32"/>
                    <w:bidi w:val="0"/>
                    <w:jc w:val="center"/>
                    <w:rPr>
                      <w:rFonts w:hint="default"/>
                    </w:rPr>
                  </w:pPr>
                  <w:r>
                    <w:rPr>
                      <w:rFonts w:hint="default"/>
                      <w:lang w:val="en-US" w:eastAsia="zh-CN"/>
                    </w:rPr>
                    <w:t>0.00143</w:t>
                  </w:r>
                </w:p>
              </w:tc>
              <w:tc>
                <w:tcPr>
                  <w:tcW w:w="10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D249F9">
                  <w:pPr>
                    <w:pStyle w:val="32"/>
                    <w:bidi w:val="0"/>
                    <w:jc w:val="center"/>
                    <w:rPr>
                      <w:rFonts w:hint="default"/>
                    </w:rPr>
                  </w:pPr>
                  <w:r>
                    <w:rPr>
                      <w:rFonts w:hint="default"/>
                      <w:lang w:val="en-US" w:eastAsia="zh-CN"/>
                    </w:rPr>
                    <w:t>0.00005</w:t>
                  </w:r>
                </w:p>
              </w:tc>
            </w:tr>
            <w:tr w14:paraId="03702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jc w:val="center"/>
              </w:trPr>
              <w:tc>
                <w:tcPr>
                  <w:tcW w:w="1205" w:type="pct"/>
                  <w:vMerge w:val="continue"/>
                  <w:tcBorders>
                    <w:top w:val="nil"/>
                    <w:left w:val="single" w:color="000000" w:sz="8" w:space="0"/>
                    <w:bottom w:val="single" w:color="000000" w:sz="8" w:space="0"/>
                    <w:right w:val="single" w:color="000000" w:sz="8" w:space="0"/>
                  </w:tcBorders>
                  <w:shd w:val="clear" w:color="auto" w:fill="auto"/>
                  <w:vAlign w:val="center"/>
                </w:tcPr>
                <w:p w14:paraId="07F95445">
                  <w:pPr>
                    <w:pStyle w:val="32"/>
                    <w:bidi w:val="0"/>
                    <w:jc w:val="center"/>
                    <w:rPr>
                      <w:rFonts w:hint="eastAsia"/>
                    </w:rPr>
                  </w:pPr>
                </w:p>
              </w:tc>
              <w:tc>
                <w:tcPr>
                  <w:tcW w:w="1706" w:type="pct"/>
                  <w:tcBorders>
                    <w:top w:val="nil"/>
                    <w:left w:val="single" w:color="000000" w:sz="8" w:space="0"/>
                    <w:bottom w:val="single" w:color="000000" w:sz="8" w:space="0"/>
                    <w:right w:val="single" w:color="000000" w:sz="8" w:space="0"/>
                  </w:tcBorders>
                  <w:shd w:val="clear" w:color="auto" w:fill="auto"/>
                  <w:vAlign w:val="center"/>
                </w:tcPr>
                <w:p w14:paraId="1FE61E90">
                  <w:pPr>
                    <w:pStyle w:val="32"/>
                    <w:bidi w:val="0"/>
                    <w:jc w:val="center"/>
                    <w:rPr>
                      <w:rFonts w:hint="eastAsia"/>
                    </w:rPr>
                  </w:pPr>
                  <w:r>
                    <w:rPr>
                      <w:rFonts w:hint="eastAsia"/>
                      <w:lang w:val="en-US" w:eastAsia="zh-CN"/>
                    </w:rPr>
                    <w:t>产生浓度</w:t>
                  </w:r>
                  <w:r>
                    <w:rPr>
                      <w:lang w:val="en-US" w:eastAsia="zh-CN"/>
                    </w:rPr>
                    <w:t>mg/m</w:t>
                  </w:r>
                  <w:r>
                    <w:rPr>
                      <w:rFonts w:hint="eastAsia"/>
                      <w:lang w:val="en-US" w:eastAsia="zh-CN"/>
                    </w:rPr>
                    <w:t>³</w:t>
                  </w:r>
                </w:p>
              </w:tc>
              <w:tc>
                <w:tcPr>
                  <w:tcW w:w="1043" w:type="pct"/>
                  <w:tcBorders>
                    <w:top w:val="nil"/>
                    <w:left w:val="single" w:color="000000" w:sz="8" w:space="0"/>
                    <w:bottom w:val="single" w:color="000000" w:sz="8" w:space="0"/>
                    <w:right w:val="single" w:color="000000" w:sz="8" w:space="0"/>
                  </w:tcBorders>
                  <w:shd w:val="clear" w:color="auto" w:fill="auto"/>
                  <w:vAlign w:val="center"/>
                </w:tcPr>
                <w:p w14:paraId="49CFD060">
                  <w:pPr>
                    <w:pStyle w:val="32"/>
                    <w:bidi w:val="0"/>
                    <w:jc w:val="center"/>
                    <w:rPr>
                      <w:rFonts w:hint="default"/>
                    </w:rPr>
                  </w:pPr>
                  <w:r>
                    <w:rPr>
                      <w:rFonts w:hint="default"/>
                      <w:lang w:val="en-US" w:eastAsia="zh-CN"/>
                    </w:rPr>
                    <w:t>0.286</w:t>
                  </w:r>
                </w:p>
              </w:tc>
              <w:tc>
                <w:tcPr>
                  <w:tcW w:w="1044" w:type="pct"/>
                  <w:tcBorders>
                    <w:top w:val="nil"/>
                    <w:left w:val="single" w:color="000000" w:sz="8" w:space="0"/>
                    <w:bottom w:val="single" w:color="000000" w:sz="8" w:space="0"/>
                    <w:right w:val="single" w:color="000000" w:sz="8" w:space="0"/>
                  </w:tcBorders>
                  <w:shd w:val="clear" w:color="auto" w:fill="auto"/>
                  <w:vAlign w:val="center"/>
                </w:tcPr>
                <w:p w14:paraId="77B69322">
                  <w:pPr>
                    <w:pStyle w:val="32"/>
                    <w:bidi w:val="0"/>
                    <w:jc w:val="center"/>
                    <w:rPr>
                      <w:rFonts w:hint="default"/>
                    </w:rPr>
                  </w:pPr>
                  <w:r>
                    <w:rPr>
                      <w:rFonts w:hint="default"/>
                      <w:lang w:val="en-US" w:eastAsia="zh-CN"/>
                    </w:rPr>
                    <w:t>0.01</w:t>
                  </w:r>
                </w:p>
              </w:tc>
            </w:tr>
            <w:tr w14:paraId="65925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05" w:type="pct"/>
                  <w:vMerge w:val="continue"/>
                  <w:tcBorders>
                    <w:top w:val="nil"/>
                    <w:left w:val="single" w:color="000000" w:sz="8" w:space="0"/>
                    <w:bottom w:val="single" w:color="000000" w:sz="8" w:space="0"/>
                    <w:right w:val="single" w:color="000000" w:sz="8" w:space="0"/>
                  </w:tcBorders>
                  <w:shd w:val="clear" w:color="auto" w:fill="auto"/>
                  <w:vAlign w:val="center"/>
                </w:tcPr>
                <w:p w14:paraId="7A5ED062">
                  <w:pPr>
                    <w:pStyle w:val="32"/>
                    <w:bidi w:val="0"/>
                    <w:jc w:val="center"/>
                    <w:rPr>
                      <w:rFonts w:hint="eastAsia"/>
                    </w:rPr>
                  </w:pPr>
                </w:p>
              </w:tc>
              <w:tc>
                <w:tcPr>
                  <w:tcW w:w="1706" w:type="pct"/>
                  <w:tcBorders>
                    <w:top w:val="nil"/>
                    <w:left w:val="single" w:color="000000" w:sz="8" w:space="0"/>
                    <w:bottom w:val="single" w:color="000000" w:sz="8" w:space="0"/>
                    <w:right w:val="single" w:color="000000" w:sz="8" w:space="0"/>
                  </w:tcBorders>
                  <w:shd w:val="clear" w:color="auto" w:fill="auto"/>
                  <w:vAlign w:val="center"/>
                </w:tcPr>
                <w:p w14:paraId="47651EB6">
                  <w:pPr>
                    <w:pStyle w:val="32"/>
                    <w:bidi w:val="0"/>
                    <w:jc w:val="center"/>
                    <w:rPr>
                      <w:rFonts w:hint="eastAsia"/>
                    </w:rPr>
                  </w:pPr>
                  <w:r>
                    <w:rPr>
                      <w:rFonts w:hint="eastAsia"/>
                      <w:lang w:val="en-US" w:eastAsia="zh-CN"/>
                    </w:rPr>
                    <w:t>处理效率</w:t>
                  </w:r>
                  <w:r>
                    <w:rPr>
                      <w:lang w:val="en-US" w:eastAsia="zh-CN"/>
                    </w:rPr>
                    <w:t>%</w:t>
                  </w:r>
                </w:p>
              </w:tc>
              <w:tc>
                <w:tcPr>
                  <w:tcW w:w="1043" w:type="pct"/>
                  <w:tcBorders>
                    <w:top w:val="nil"/>
                    <w:left w:val="single" w:color="000000" w:sz="8" w:space="0"/>
                    <w:bottom w:val="single" w:color="000000" w:sz="8" w:space="0"/>
                    <w:right w:val="single" w:color="000000" w:sz="8" w:space="0"/>
                  </w:tcBorders>
                  <w:shd w:val="clear" w:color="auto" w:fill="auto"/>
                  <w:vAlign w:val="center"/>
                </w:tcPr>
                <w:p w14:paraId="6447D733">
                  <w:pPr>
                    <w:pStyle w:val="32"/>
                    <w:bidi w:val="0"/>
                    <w:jc w:val="center"/>
                    <w:rPr>
                      <w:rFonts w:hint="default"/>
                    </w:rPr>
                  </w:pPr>
                  <w:r>
                    <w:rPr>
                      <w:rFonts w:hint="default"/>
                      <w:lang w:val="en-US" w:eastAsia="zh-CN"/>
                    </w:rPr>
                    <w:t>80</w:t>
                  </w:r>
                </w:p>
              </w:tc>
              <w:tc>
                <w:tcPr>
                  <w:tcW w:w="1044" w:type="pct"/>
                  <w:tcBorders>
                    <w:top w:val="nil"/>
                    <w:left w:val="single" w:color="000000" w:sz="8" w:space="0"/>
                    <w:bottom w:val="single" w:color="000000" w:sz="8" w:space="0"/>
                    <w:right w:val="single" w:color="000000" w:sz="8" w:space="0"/>
                  </w:tcBorders>
                  <w:shd w:val="clear" w:color="auto" w:fill="auto"/>
                  <w:vAlign w:val="center"/>
                </w:tcPr>
                <w:p w14:paraId="25786E3F">
                  <w:pPr>
                    <w:pStyle w:val="32"/>
                    <w:bidi w:val="0"/>
                    <w:jc w:val="center"/>
                    <w:rPr>
                      <w:rFonts w:hint="default"/>
                    </w:rPr>
                  </w:pPr>
                  <w:r>
                    <w:rPr>
                      <w:rFonts w:hint="default"/>
                      <w:lang w:val="en-US" w:eastAsia="zh-CN"/>
                    </w:rPr>
                    <w:t>80</w:t>
                  </w:r>
                </w:p>
              </w:tc>
            </w:tr>
            <w:tr w14:paraId="7106E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05" w:type="pct"/>
                  <w:vMerge w:val="continue"/>
                  <w:tcBorders>
                    <w:top w:val="nil"/>
                    <w:left w:val="single" w:color="000000" w:sz="8" w:space="0"/>
                    <w:bottom w:val="single" w:color="000000" w:sz="8" w:space="0"/>
                    <w:right w:val="single" w:color="000000" w:sz="8" w:space="0"/>
                  </w:tcBorders>
                  <w:shd w:val="clear" w:color="auto" w:fill="auto"/>
                  <w:vAlign w:val="center"/>
                </w:tcPr>
                <w:p w14:paraId="5B42386C">
                  <w:pPr>
                    <w:pStyle w:val="32"/>
                    <w:bidi w:val="0"/>
                    <w:jc w:val="center"/>
                    <w:rPr>
                      <w:rFonts w:hint="eastAsia"/>
                    </w:rPr>
                  </w:pPr>
                </w:p>
              </w:tc>
              <w:tc>
                <w:tcPr>
                  <w:tcW w:w="1706" w:type="pct"/>
                  <w:tcBorders>
                    <w:top w:val="nil"/>
                    <w:left w:val="single" w:color="000000" w:sz="8" w:space="0"/>
                    <w:bottom w:val="single" w:color="000000" w:sz="8" w:space="0"/>
                    <w:right w:val="single" w:color="000000" w:sz="8" w:space="0"/>
                  </w:tcBorders>
                  <w:shd w:val="clear" w:color="auto" w:fill="auto"/>
                  <w:vAlign w:val="center"/>
                </w:tcPr>
                <w:p w14:paraId="21D89D7C">
                  <w:pPr>
                    <w:pStyle w:val="32"/>
                    <w:bidi w:val="0"/>
                    <w:jc w:val="center"/>
                    <w:rPr>
                      <w:rFonts w:hint="eastAsia"/>
                    </w:rPr>
                  </w:pPr>
                  <w:r>
                    <w:rPr>
                      <w:rFonts w:hint="eastAsia"/>
                      <w:lang w:val="en-US" w:eastAsia="zh-CN"/>
                    </w:rPr>
                    <w:t>排放量</w:t>
                  </w:r>
                  <w:r>
                    <w:rPr>
                      <w:lang w:val="en-US" w:eastAsia="zh-CN"/>
                    </w:rPr>
                    <w:t>t/a</w:t>
                  </w:r>
                </w:p>
              </w:tc>
              <w:tc>
                <w:tcPr>
                  <w:tcW w:w="1043" w:type="pct"/>
                  <w:tcBorders>
                    <w:top w:val="nil"/>
                    <w:left w:val="single" w:color="000000" w:sz="8" w:space="0"/>
                    <w:bottom w:val="single" w:color="000000" w:sz="8" w:space="0"/>
                    <w:right w:val="single" w:color="000000" w:sz="8" w:space="0"/>
                  </w:tcBorders>
                  <w:shd w:val="clear" w:color="auto" w:fill="auto"/>
                  <w:vAlign w:val="center"/>
                </w:tcPr>
                <w:p w14:paraId="3A065086">
                  <w:pPr>
                    <w:pStyle w:val="32"/>
                    <w:bidi w:val="0"/>
                    <w:jc w:val="center"/>
                    <w:rPr>
                      <w:rFonts w:hint="default"/>
                    </w:rPr>
                  </w:pPr>
                  <w:r>
                    <w:rPr>
                      <w:rFonts w:hint="default"/>
                      <w:lang w:val="en-US" w:eastAsia="zh-CN"/>
                    </w:rPr>
                    <w:t>0.0025</w:t>
                  </w:r>
                </w:p>
              </w:tc>
              <w:tc>
                <w:tcPr>
                  <w:tcW w:w="1044" w:type="pct"/>
                  <w:tcBorders>
                    <w:top w:val="nil"/>
                    <w:left w:val="single" w:color="000000" w:sz="8" w:space="0"/>
                    <w:bottom w:val="single" w:color="000000" w:sz="8" w:space="0"/>
                    <w:right w:val="single" w:color="000000" w:sz="8" w:space="0"/>
                  </w:tcBorders>
                  <w:shd w:val="clear" w:color="auto" w:fill="auto"/>
                  <w:vAlign w:val="center"/>
                </w:tcPr>
                <w:p w14:paraId="30DE734B">
                  <w:pPr>
                    <w:pStyle w:val="32"/>
                    <w:bidi w:val="0"/>
                    <w:jc w:val="center"/>
                    <w:rPr>
                      <w:rFonts w:hint="default"/>
                    </w:rPr>
                  </w:pPr>
                  <w:r>
                    <w:rPr>
                      <w:rFonts w:hint="default"/>
                      <w:lang w:val="en-US" w:eastAsia="zh-CN"/>
                    </w:rPr>
                    <w:t>0.000096</w:t>
                  </w:r>
                </w:p>
              </w:tc>
            </w:tr>
            <w:tr w14:paraId="42586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 w:hRule="atLeast"/>
                <w:jc w:val="center"/>
              </w:trPr>
              <w:tc>
                <w:tcPr>
                  <w:tcW w:w="1205" w:type="pct"/>
                  <w:vMerge w:val="continue"/>
                  <w:tcBorders>
                    <w:top w:val="nil"/>
                    <w:left w:val="single" w:color="000000" w:sz="8" w:space="0"/>
                    <w:bottom w:val="single" w:color="000000" w:sz="8" w:space="0"/>
                    <w:right w:val="single" w:color="000000" w:sz="8" w:space="0"/>
                  </w:tcBorders>
                  <w:shd w:val="clear" w:color="auto" w:fill="auto"/>
                  <w:vAlign w:val="center"/>
                </w:tcPr>
                <w:p w14:paraId="2CB1DF07">
                  <w:pPr>
                    <w:pStyle w:val="32"/>
                    <w:bidi w:val="0"/>
                    <w:jc w:val="center"/>
                    <w:rPr>
                      <w:rFonts w:hint="eastAsia"/>
                    </w:rPr>
                  </w:pPr>
                </w:p>
              </w:tc>
              <w:tc>
                <w:tcPr>
                  <w:tcW w:w="1706" w:type="pct"/>
                  <w:tcBorders>
                    <w:top w:val="nil"/>
                    <w:left w:val="single" w:color="000000" w:sz="8" w:space="0"/>
                    <w:bottom w:val="single" w:color="000000" w:sz="8" w:space="0"/>
                    <w:right w:val="single" w:color="000000" w:sz="8" w:space="0"/>
                  </w:tcBorders>
                  <w:shd w:val="clear" w:color="auto" w:fill="auto"/>
                  <w:vAlign w:val="center"/>
                </w:tcPr>
                <w:p w14:paraId="304E0F61">
                  <w:pPr>
                    <w:pStyle w:val="32"/>
                    <w:bidi w:val="0"/>
                    <w:jc w:val="center"/>
                    <w:rPr>
                      <w:rFonts w:hint="eastAsia"/>
                    </w:rPr>
                  </w:pPr>
                  <w:r>
                    <w:rPr>
                      <w:rFonts w:hint="eastAsia"/>
                      <w:lang w:val="en-US" w:eastAsia="zh-CN"/>
                    </w:rPr>
                    <w:t>排放速率</w:t>
                  </w:r>
                  <w:r>
                    <w:rPr>
                      <w:lang w:val="en-US" w:eastAsia="zh-CN"/>
                    </w:rPr>
                    <w:t>kg/h</w:t>
                  </w:r>
                </w:p>
              </w:tc>
              <w:tc>
                <w:tcPr>
                  <w:tcW w:w="10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0345C0">
                  <w:pPr>
                    <w:pStyle w:val="32"/>
                    <w:bidi w:val="0"/>
                    <w:jc w:val="center"/>
                    <w:rPr>
                      <w:rFonts w:hint="default"/>
                    </w:rPr>
                  </w:pPr>
                  <w:r>
                    <w:rPr>
                      <w:rFonts w:hint="default"/>
                      <w:lang w:val="en-US" w:eastAsia="zh-CN"/>
                    </w:rPr>
                    <w:t>0.00029</w:t>
                  </w:r>
                </w:p>
              </w:tc>
              <w:tc>
                <w:tcPr>
                  <w:tcW w:w="10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34284A">
                  <w:pPr>
                    <w:pStyle w:val="32"/>
                    <w:bidi w:val="0"/>
                    <w:jc w:val="center"/>
                    <w:rPr>
                      <w:rFonts w:hint="default"/>
                    </w:rPr>
                  </w:pPr>
                  <w:r>
                    <w:rPr>
                      <w:rFonts w:hint="default"/>
                      <w:lang w:val="en-US" w:eastAsia="zh-CN"/>
                    </w:rPr>
                    <w:t>0.00001</w:t>
                  </w:r>
                </w:p>
              </w:tc>
            </w:tr>
            <w:tr w14:paraId="72017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 w:hRule="atLeast"/>
                <w:jc w:val="center"/>
              </w:trPr>
              <w:tc>
                <w:tcPr>
                  <w:tcW w:w="1205" w:type="pct"/>
                  <w:vMerge w:val="continue"/>
                  <w:tcBorders>
                    <w:top w:val="nil"/>
                    <w:left w:val="single" w:color="000000" w:sz="8" w:space="0"/>
                    <w:bottom w:val="single" w:color="000000" w:sz="8" w:space="0"/>
                    <w:right w:val="single" w:color="000000" w:sz="8" w:space="0"/>
                  </w:tcBorders>
                  <w:shd w:val="clear" w:color="auto" w:fill="auto"/>
                  <w:vAlign w:val="center"/>
                </w:tcPr>
                <w:p w14:paraId="4C1CEBCE">
                  <w:pPr>
                    <w:pStyle w:val="32"/>
                    <w:bidi w:val="0"/>
                    <w:jc w:val="center"/>
                    <w:rPr>
                      <w:rFonts w:hint="eastAsia"/>
                    </w:rPr>
                  </w:pPr>
                </w:p>
              </w:tc>
              <w:tc>
                <w:tcPr>
                  <w:tcW w:w="1706" w:type="pct"/>
                  <w:tcBorders>
                    <w:top w:val="nil"/>
                    <w:left w:val="single" w:color="000000" w:sz="8" w:space="0"/>
                    <w:bottom w:val="single" w:color="000000" w:sz="8" w:space="0"/>
                    <w:right w:val="single" w:color="000000" w:sz="8" w:space="0"/>
                  </w:tcBorders>
                  <w:shd w:val="clear" w:color="auto" w:fill="auto"/>
                  <w:vAlign w:val="center"/>
                </w:tcPr>
                <w:p w14:paraId="55E10090">
                  <w:pPr>
                    <w:pStyle w:val="32"/>
                    <w:bidi w:val="0"/>
                    <w:jc w:val="center"/>
                    <w:rPr>
                      <w:rFonts w:hint="eastAsia"/>
                    </w:rPr>
                  </w:pPr>
                  <w:r>
                    <w:rPr>
                      <w:rFonts w:hint="eastAsia"/>
                      <w:lang w:val="en-US" w:eastAsia="zh-CN"/>
                    </w:rPr>
                    <w:t>排放浓度</w:t>
                  </w:r>
                  <w:r>
                    <w:rPr>
                      <w:lang w:val="en-US" w:eastAsia="zh-CN"/>
                    </w:rPr>
                    <w:t>mg/m</w:t>
                  </w:r>
                  <w:r>
                    <w:rPr>
                      <w:rFonts w:hint="eastAsia"/>
                      <w:lang w:val="en-US" w:eastAsia="zh-CN"/>
                    </w:rPr>
                    <w:t>³</w:t>
                  </w:r>
                </w:p>
              </w:tc>
              <w:tc>
                <w:tcPr>
                  <w:tcW w:w="1043" w:type="pct"/>
                  <w:tcBorders>
                    <w:top w:val="nil"/>
                    <w:left w:val="single" w:color="000000" w:sz="8" w:space="0"/>
                    <w:bottom w:val="single" w:color="000000" w:sz="8" w:space="0"/>
                    <w:right w:val="single" w:color="000000" w:sz="8" w:space="0"/>
                  </w:tcBorders>
                  <w:shd w:val="clear" w:color="auto" w:fill="auto"/>
                  <w:vAlign w:val="center"/>
                </w:tcPr>
                <w:p w14:paraId="3E23E726">
                  <w:pPr>
                    <w:pStyle w:val="32"/>
                    <w:bidi w:val="0"/>
                    <w:jc w:val="center"/>
                    <w:rPr>
                      <w:rFonts w:hint="default"/>
                    </w:rPr>
                  </w:pPr>
                  <w:r>
                    <w:rPr>
                      <w:rFonts w:hint="default"/>
                      <w:lang w:val="en-US" w:eastAsia="zh-CN"/>
                    </w:rPr>
                    <w:t>0.058</w:t>
                  </w:r>
                </w:p>
              </w:tc>
              <w:tc>
                <w:tcPr>
                  <w:tcW w:w="1044" w:type="pct"/>
                  <w:tcBorders>
                    <w:top w:val="nil"/>
                    <w:left w:val="single" w:color="000000" w:sz="8" w:space="0"/>
                    <w:bottom w:val="single" w:color="000000" w:sz="8" w:space="0"/>
                    <w:right w:val="single" w:color="000000" w:sz="8" w:space="0"/>
                  </w:tcBorders>
                  <w:shd w:val="clear" w:color="auto" w:fill="auto"/>
                  <w:vAlign w:val="center"/>
                </w:tcPr>
                <w:p w14:paraId="2F381013">
                  <w:pPr>
                    <w:pStyle w:val="32"/>
                    <w:bidi w:val="0"/>
                    <w:jc w:val="center"/>
                    <w:rPr>
                      <w:rFonts w:hint="default"/>
                    </w:rPr>
                  </w:pPr>
                  <w:r>
                    <w:rPr>
                      <w:rFonts w:hint="default"/>
                      <w:lang w:val="en-US" w:eastAsia="zh-CN"/>
                    </w:rPr>
                    <w:t>0.002</w:t>
                  </w:r>
                </w:p>
              </w:tc>
            </w:tr>
            <w:tr w14:paraId="0DF5E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05" w:type="pct"/>
                  <w:vMerge w:val="restart"/>
                  <w:tcBorders>
                    <w:top w:val="nil"/>
                    <w:left w:val="single" w:color="000000" w:sz="8" w:space="0"/>
                    <w:bottom w:val="single" w:color="000000" w:sz="8" w:space="0"/>
                    <w:right w:val="single" w:color="000000" w:sz="8" w:space="0"/>
                  </w:tcBorders>
                  <w:shd w:val="clear" w:color="auto" w:fill="auto"/>
                  <w:vAlign w:val="center"/>
                </w:tcPr>
                <w:p w14:paraId="77619D51">
                  <w:pPr>
                    <w:pStyle w:val="32"/>
                    <w:bidi w:val="0"/>
                    <w:jc w:val="center"/>
                    <w:rPr>
                      <w:rFonts w:hint="eastAsia"/>
                    </w:rPr>
                  </w:pPr>
                  <w:r>
                    <w:rPr>
                      <w:rFonts w:hint="eastAsia"/>
                      <w:lang w:val="en-US" w:eastAsia="zh-CN"/>
                    </w:rPr>
                    <w:t>无组织</w:t>
                  </w:r>
                </w:p>
              </w:tc>
              <w:tc>
                <w:tcPr>
                  <w:tcW w:w="1706" w:type="pct"/>
                  <w:tcBorders>
                    <w:top w:val="nil"/>
                    <w:left w:val="single" w:color="000000" w:sz="8" w:space="0"/>
                    <w:bottom w:val="single" w:color="000000" w:sz="8" w:space="0"/>
                    <w:right w:val="single" w:color="000000" w:sz="8" w:space="0"/>
                  </w:tcBorders>
                  <w:shd w:val="clear" w:color="auto" w:fill="auto"/>
                  <w:vAlign w:val="center"/>
                </w:tcPr>
                <w:p w14:paraId="69D40744">
                  <w:pPr>
                    <w:pStyle w:val="32"/>
                    <w:bidi w:val="0"/>
                    <w:jc w:val="center"/>
                    <w:rPr>
                      <w:rFonts w:hint="eastAsia"/>
                    </w:rPr>
                  </w:pPr>
                  <w:r>
                    <w:rPr>
                      <w:rFonts w:hint="eastAsia"/>
                      <w:lang w:val="en-US" w:eastAsia="zh-CN"/>
                    </w:rPr>
                    <w:t>排放量</w:t>
                  </w:r>
                  <w:r>
                    <w:rPr>
                      <w:lang w:val="en-US" w:eastAsia="zh-CN"/>
                    </w:rPr>
                    <w:t>t/a</w:t>
                  </w:r>
                </w:p>
              </w:tc>
              <w:tc>
                <w:tcPr>
                  <w:tcW w:w="1043" w:type="pct"/>
                  <w:tcBorders>
                    <w:top w:val="nil"/>
                    <w:left w:val="single" w:color="000000" w:sz="8" w:space="0"/>
                    <w:bottom w:val="single" w:color="000000" w:sz="8" w:space="0"/>
                    <w:right w:val="single" w:color="000000" w:sz="8" w:space="0"/>
                  </w:tcBorders>
                  <w:shd w:val="clear" w:color="auto" w:fill="auto"/>
                  <w:vAlign w:val="center"/>
                </w:tcPr>
                <w:p w14:paraId="600FA3BD">
                  <w:pPr>
                    <w:pStyle w:val="32"/>
                    <w:bidi w:val="0"/>
                    <w:jc w:val="center"/>
                    <w:rPr>
                      <w:rFonts w:hint="default"/>
                    </w:rPr>
                  </w:pPr>
                  <w:r>
                    <w:rPr>
                      <w:rFonts w:hint="default"/>
                      <w:lang w:val="en-US" w:eastAsia="zh-CN"/>
                    </w:rPr>
                    <w:t>0.0007</w:t>
                  </w:r>
                </w:p>
              </w:tc>
              <w:tc>
                <w:tcPr>
                  <w:tcW w:w="1044" w:type="pct"/>
                  <w:tcBorders>
                    <w:top w:val="nil"/>
                    <w:left w:val="single" w:color="000000" w:sz="8" w:space="0"/>
                    <w:bottom w:val="single" w:color="000000" w:sz="8" w:space="0"/>
                    <w:right w:val="single" w:color="000000" w:sz="8" w:space="0"/>
                  </w:tcBorders>
                  <w:shd w:val="clear" w:color="auto" w:fill="auto"/>
                  <w:vAlign w:val="center"/>
                </w:tcPr>
                <w:p w14:paraId="77AEE1F8">
                  <w:pPr>
                    <w:pStyle w:val="32"/>
                    <w:bidi w:val="0"/>
                    <w:jc w:val="center"/>
                    <w:rPr>
                      <w:rFonts w:hint="default"/>
                    </w:rPr>
                  </w:pPr>
                  <w:r>
                    <w:rPr>
                      <w:rFonts w:hint="default"/>
                      <w:lang w:val="en-US" w:eastAsia="zh-CN"/>
                    </w:rPr>
                    <w:t>0.00002</w:t>
                  </w:r>
                </w:p>
              </w:tc>
            </w:tr>
            <w:tr w14:paraId="7C1FF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1205" w:type="pct"/>
                  <w:vMerge w:val="continue"/>
                  <w:tcBorders>
                    <w:top w:val="nil"/>
                    <w:left w:val="single" w:color="000000" w:sz="8" w:space="0"/>
                    <w:bottom w:val="single" w:color="000000" w:sz="8" w:space="0"/>
                    <w:right w:val="single" w:color="000000" w:sz="8" w:space="0"/>
                  </w:tcBorders>
                  <w:shd w:val="clear" w:color="auto" w:fill="auto"/>
                  <w:vAlign w:val="center"/>
                </w:tcPr>
                <w:p w14:paraId="2F56947F">
                  <w:pPr>
                    <w:pStyle w:val="32"/>
                    <w:bidi w:val="0"/>
                    <w:jc w:val="center"/>
                    <w:rPr>
                      <w:rFonts w:hint="eastAsia"/>
                    </w:rPr>
                  </w:pPr>
                </w:p>
              </w:tc>
              <w:tc>
                <w:tcPr>
                  <w:tcW w:w="1706" w:type="pct"/>
                  <w:tcBorders>
                    <w:top w:val="nil"/>
                    <w:left w:val="single" w:color="000000" w:sz="8" w:space="0"/>
                    <w:bottom w:val="single" w:color="000000" w:sz="8" w:space="0"/>
                    <w:right w:val="single" w:color="000000" w:sz="8" w:space="0"/>
                  </w:tcBorders>
                  <w:shd w:val="clear" w:color="auto" w:fill="auto"/>
                  <w:vAlign w:val="center"/>
                </w:tcPr>
                <w:p w14:paraId="19C50BB6">
                  <w:pPr>
                    <w:pStyle w:val="32"/>
                    <w:bidi w:val="0"/>
                    <w:jc w:val="center"/>
                    <w:rPr>
                      <w:rFonts w:hint="eastAsia"/>
                    </w:rPr>
                  </w:pPr>
                  <w:r>
                    <w:rPr>
                      <w:rFonts w:hint="eastAsia"/>
                      <w:lang w:val="en-US" w:eastAsia="zh-CN"/>
                    </w:rPr>
                    <w:t>排放速率</w:t>
                  </w:r>
                  <w:r>
                    <w:rPr>
                      <w:lang w:val="en-US" w:eastAsia="zh-CN"/>
                    </w:rPr>
                    <w:t>kg/h</w:t>
                  </w:r>
                </w:p>
              </w:tc>
              <w:tc>
                <w:tcPr>
                  <w:tcW w:w="1043" w:type="pct"/>
                  <w:tcBorders>
                    <w:top w:val="nil"/>
                    <w:left w:val="single" w:color="000000" w:sz="8" w:space="0"/>
                    <w:bottom w:val="single" w:color="000000" w:sz="8" w:space="0"/>
                    <w:right w:val="single" w:color="000000" w:sz="8" w:space="0"/>
                  </w:tcBorders>
                  <w:shd w:val="clear" w:color="auto" w:fill="auto"/>
                  <w:vAlign w:val="center"/>
                </w:tcPr>
                <w:p w14:paraId="2A97FC3D">
                  <w:pPr>
                    <w:pStyle w:val="32"/>
                    <w:bidi w:val="0"/>
                    <w:jc w:val="center"/>
                    <w:rPr>
                      <w:rFonts w:hint="default"/>
                    </w:rPr>
                  </w:pPr>
                  <w:r>
                    <w:rPr>
                      <w:rFonts w:hint="default"/>
                      <w:lang w:val="en-US" w:eastAsia="zh-CN"/>
                    </w:rPr>
                    <w:t>0.000080</w:t>
                  </w:r>
                </w:p>
              </w:tc>
              <w:tc>
                <w:tcPr>
                  <w:tcW w:w="1044" w:type="pct"/>
                  <w:tcBorders>
                    <w:top w:val="nil"/>
                    <w:left w:val="single" w:color="000000" w:sz="8" w:space="0"/>
                    <w:bottom w:val="single" w:color="000000" w:sz="8" w:space="0"/>
                    <w:right w:val="single" w:color="000000" w:sz="8" w:space="0"/>
                  </w:tcBorders>
                  <w:shd w:val="clear" w:color="auto" w:fill="auto"/>
                  <w:vAlign w:val="center"/>
                </w:tcPr>
                <w:p w14:paraId="398351B0">
                  <w:pPr>
                    <w:pStyle w:val="32"/>
                    <w:bidi w:val="0"/>
                    <w:jc w:val="center"/>
                    <w:rPr>
                      <w:rFonts w:hint="default"/>
                    </w:rPr>
                  </w:pPr>
                  <w:r>
                    <w:rPr>
                      <w:rFonts w:hint="default"/>
                      <w:lang w:val="en-US" w:eastAsia="zh-CN"/>
                    </w:rPr>
                    <w:t>0.000002</w:t>
                  </w:r>
                </w:p>
              </w:tc>
            </w:tr>
            <w:tr w14:paraId="0D6DC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912" w:type="pct"/>
                  <w:gridSpan w:val="2"/>
                  <w:tcBorders>
                    <w:top w:val="nil"/>
                    <w:left w:val="single" w:color="000000" w:sz="8" w:space="0"/>
                    <w:bottom w:val="single" w:color="000000" w:sz="8" w:space="0"/>
                    <w:right w:val="single" w:color="000000" w:sz="8" w:space="0"/>
                  </w:tcBorders>
                  <w:shd w:val="clear" w:color="auto" w:fill="auto"/>
                  <w:vAlign w:val="center"/>
                </w:tcPr>
                <w:p w14:paraId="2BB660F4">
                  <w:pPr>
                    <w:pStyle w:val="32"/>
                    <w:bidi w:val="0"/>
                    <w:jc w:val="center"/>
                    <w:rPr>
                      <w:rFonts w:hint="eastAsia"/>
                    </w:rPr>
                  </w:pPr>
                  <w:r>
                    <w:rPr>
                      <w:rFonts w:hint="eastAsia"/>
                      <w:lang w:val="en-US" w:eastAsia="zh-CN"/>
                    </w:rPr>
                    <w:t>总排放量</w:t>
                  </w:r>
                  <w:r>
                    <w:rPr>
                      <w:lang w:val="en-US" w:eastAsia="zh-CN"/>
                    </w:rPr>
                    <w:t>t/a</w:t>
                  </w:r>
                </w:p>
              </w:tc>
              <w:tc>
                <w:tcPr>
                  <w:tcW w:w="1043" w:type="pct"/>
                  <w:tcBorders>
                    <w:top w:val="nil"/>
                    <w:left w:val="single" w:color="000000" w:sz="8" w:space="0"/>
                    <w:bottom w:val="single" w:color="000000" w:sz="8" w:space="0"/>
                    <w:right w:val="single" w:color="000000" w:sz="8" w:space="0"/>
                  </w:tcBorders>
                  <w:shd w:val="clear" w:color="auto" w:fill="auto"/>
                  <w:vAlign w:val="center"/>
                </w:tcPr>
                <w:p w14:paraId="691B50A4">
                  <w:pPr>
                    <w:pStyle w:val="32"/>
                    <w:bidi w:val="0"/>
                    <w:jc w:val="center"/>
                    <w:rPr>
                      <w:rFonts w:hint="default"/>
                    </w:rPr>
                  </w:pPr>
                  <w:r>
                    <w:rPr>
                      <w:rFonts w:hint="default"/>
                      <w:lang w:val="en-US" w:eastAsia="zh-CN"/>
                    </w:rPr>
                    <w:t>0.0032</w:t>
                  </w:r>
                </w:p>
              </w:tc>
              <w:tc>
                <w:tcPr>
                  <w:tcW w:w="1044" w:type="pct"/>
                  <w:tcBorders>
                    <w:top w:val="nil"/>
                    <w:left w:val="single" w:color="000000" w:sz="8" w:space="0"/>
                    <w:bottom w:val="single" w:color="000000" w:sz="8" w:space="0"/>
                    <w:right w:val="single" w:color="000000" w:sz="8" w:space="0"/>
                  </w:tcBorders>
                  <w:shd w:val="clear" w:color="auto" w:fill="auto"/>
                  <w:vAlign w:val="center"/>
                </w:tcPr>
                <w:p w14:paraId="4A09B1E3">
                  <w:pPr>
                    <w:pStyle w:val="32"/>
                    <w:bidi w:val="0"/>
                    <w:jc w:val="center"/>
                    <w:rPr>
                      <w:rFonts w:hint="default"/>
                    </w:rPr>
                  </w:pPr>
                  <w:r>
                    <w:rPr>
                      <w:rFonts w:hint="default"/>
                      <w:lang w:val="en-US" w:eastAsia="zh-CN"/>
                    </w:rPr>
                    <w:t>0.000116</w:t>
                  </w:r>
                </w:p>
              </w:tc>
            </w:tr>
          </w:tbl>
          <w:p w14:paraId="423D89DC">
            <w:pPr>
              <w:bidi w:val="0"/>
              <w:jc w:val="both"/>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（2）食堂油烟</w:t>
            </w:r>
          </w:p>
          <w:p w14:paraId="06B18310">
            <w:pPr>
              <w:ind w:firstLine="480"/>
              <w:jc w:val="both"/>
              <w:rPr>
                <w:rFonts w:cs="Times New Roman"/>
                <w:color w:val="auto"/>
              </w:rPr>
            </w:pPr>
            <w:r>
              <w:rPr>
                <w:rFonts w:hint="default"/>
                <w:lang w:val="en-US" w:eastAsia="zh-CN"/>
              </w:rPr>
              <w:t>本项目食堂设</w:t>
            </w:r>
            <w:r>
              <w:rPr>
                <w:rFonts w:cs="Times New Roman"/>
                <w:color w:val="auto"/>
              </w:rPr>
              <w:t>灶头</w:t>
            </w:r>
            <w:r>
              <w:rPr>
                <w:rFonts w:hint="eastAsia" w:cs="Times New Roman"/>
                <w:color w:val="auto"/>
              </w:rPr>
              <w:t>2</w:t>
            </w:r>
            <w:r>
              <w:rPr>
                <w:rFonts w:cs="Times New Roman"/>
                <w:color w:val="auto"/>
              </w:rPr>
              <w:t>个，属</w:t>
            </w:r>
            <w:r>
              <w:rPr>
                <w:rFonts w:hint="eastAsia" w:cs="Times New Roman"/>
                <w:color w:val="auto"/>
              </w:rPr>
              <w:t>小</w:t>
            </w:r>
            <w:r>
              <w:rPr>
                <w:rFonts w:cs="Times New Roman"/>
                <w:color w:val="auto"/>
              </w:rPr>
              <w:t>型油烟排放单位。</w:t>
            </w:r>
            <w:r>
              <w:rPr>
                <w:rFonts w:hint="default"/>
                <w:lang w:val="en-US" w:eastAsia="zh-CN"/>
              </w:rPr>
              <w:t>用餐人数为</w:t>
            </w:r>
            <w:r>
              <w:rPr>
                <w:rFonts w:hint="eastAsia"/>
                <w:lang w:val="en-US" w:eastAsia="zh-CN"/>
              </w:rPr>
              <w:t>330</w:t>
            </w:r>
            <w:r>
              <w:rPr>
                <w:rFonts w:hint="default"/>
                <w:lang w:val="en-US" w:eastAsia="zh-CN"/>
              </w:rPr>
              <w:t>人(职工</w:t>
            </w:r>
            <w:r>
              <w:rPr>
                <w:rFonts w:hint="eastAsia"/>
                <w:lang w:val="en-US" w:eastAsia="zh-CN"/>
              </w:rPr>
              <w:t>60</w:t>
            </w:r>
            <w:r>
              <w:rPr>
                <w:rFonts w:hint="default"/>
                <w:lang w:val="en-US" w:eastAsia="zh-CN"/>
              </w:rPr>
              <w:t>人、病人</w:t>
            </w:r>
            <w:r>
              <w:rPr>
                <w:rFonts w:hint="eastAsia"/>
                <w:lang w:val="en-US" w:eastAsia="zh-CN"/>
              </w:rPr>
              <w:t>270</w:t>
            </w:r>
            <w:r>
              <w:rPr>
                <w:rFonts w:hint="default"/>
                <w:lang w:val="en-US" w:eastAsia="zh-CN"/>
              </w:rPr>
              <w:t>人)，</w:t>
            </w:r>
            <w:r>
              <w:rPr>
                <w:rFonts w:hint="eastAsia"/>
                <w:lang w:val="en-US" w:eastAsia="zh-CN"/>
              </w:rPr>
              <w:t>根据</w:t>
            </w:r>
            <w:r>
              <w:rPr>
                <w:rFonts w:hint="default"/>
                <w:lang w:val="en-US" w:eastAsia="zh-CN"/>
              </w:rPr>
              <w:t>《中国居民膳食指南(2022)》建议，成年人每天食用油摄入量应控制在25-30克，老年人与成年人相同</w:t>
            </w:r>
            <w:r>
              <w:rPr>
                <w:rFonts w:hint="eastAsia"/>
                <w:lang w:val="en-US" w:eastAsia="zh-CN"/>
              </w:rPr>
              <w:t>。本项目</w:t>
            </w:r>
            <w:r>
              <w:rPr>
                <w:rFonts w:hint="default"/>
                <w:lang w:val="en-US" w:eastAsia="zh-CN"/>
              </w:rPr>
              <w:t>按人均耗油量</w:t>
            </w:r>
            <w:r>
              <w:rPr>
                <w:rFonts w:hint="eastAsia"/>
                <w:lang w:val="en-US" w:eastAsia="zh-CN"/>
              </w:rPr>
              <w:t>25</w:t>
            </w:r>
            <w:r>
              <w:rPr>
                <w:rFonts w:hint="default"/>
                <w:lang w:val="en-US" w:eastAsia="zh-CN"/>
              </w:rPr>
              <w:t>g/人·d，</w:t>
            </w:r>
            <w:r>
              <w:rPr>
                <w:rFonts w:cs="Times New Roman"/>
                <w:color w:val="auto"/>
              </w:rPr>
              <w:t>食用油消耗量为</w:t>
            </w:r>
            <w:r>
              <w:rPr>
                <w:rFonts w:hint="eastAsia" w:cs="Times New Roman"/>
                <w:color w:val="auto"/>
                <w:lang w:val="en-US" w:eastAsia="zh-CN"/>
              </w:rPr>
              <w:t>8.25</w:t>
            </w:r>
            <w:r>
              <w:rPr>
                <w:rFonts w:cs="Times New Roman"/>
                <w:color w:val="auto"/>
              </w:rPr>
              <w:t>kg/d，在炒作时油烟的挥发量约为食用油耗量的</w:t>
            </w:r>
            <w:r>
              <w:rPr>
                <w:rFonts w:hint="eastAsia" w:cs="Times New Roman"/>
                <w:color w:val="auto"/>
                <w:lang w:val="en-US" w:eastAsia="zh-CN"/>
              </w:rPr>
              <w:t>2</w:t>
            </w:r>
            <w:r>
              <w:rPr>
                <w:rFonts w:cs="Times New Roman"/>
                <w:color w:val="auto"/>
              </w:rPr>
              <w:t>％，则油烟</w:t>
            </w:r>
            <w:r>
              <w:rPr>
                <w:rFonts w:hint="eastAsia" w:cs="Times New Roman"/>
                <w:color w:val="auto"/>
              </w:rPr>
              <w:t>总</w:t>
            </w:r>
            <w:r>
              <w:rPr>
                <w:rFonts w:cs="Times New Roman"/>
                <w:color w:val="auto"/>
              </w:rPr>
              <w:t>产生量为</w:t>
            </w:r>
            <w:r>
              <w:rPr>
                <w:rFonts w:hint="eastAsia" w:cs="Times New Roman"/>
                <w:color w:val="auto"/>
                <w:lang w:val="en-US" w:eastAsia="zh-CN"/>
              </w:rPr>
              <w:t>0.0602t</w:t>
            </w:r>
            <w:r>
              <w:rPr>
                <w:rFonts w:cs="Times New Roman"/>
                <w:color w:val="auto"/>
              </w:rPr>
              <w:t>/a。油烟采用油烟净化器进行处理，处理效率应达到</w:t>
            </w:r>
            <w:r>
              <w:rPr>
                <w:rFonts w:hint="eastAsia" w:cs="Times New Roman"/>
                <w:color w:val="auto"/>
              </w:rPr>
              <w:t>8</w:t>
            </w:r>
            <w:r>
              <w:rPr>
                <w:rFonts w:cs="Times New Roman"/>
                <w:color w:val="auto"/>
              </w:rPr>
              <w:t>5%以上，油烟机风量为</w:t>
            </w:r>
            <w:r>
              <w:rPr>
                <w:rFonts w:hint="eastAsia" w:cs="Times New Roman"/>
                <w:color w:val="auto"/>
                <w:lang w:val="en-US" w:eastAsia="zh-CN"/>
              </w:rPr>
              <w:t>4</w:t>
            </w:r>
            <w:r>
              <w:rPr>
                <w:rFonts w:cs="Times New Roman"/>
                <w:color w:val="auto"/>
              </w:rPr>
              <w:t>000</w:t>
            </w:r>
            <w:r>
              <w:rPr>
                <w:rFonts w:hint="eastAsia" w:cs="Times New Roman"/>
                <w:color w:val="auto"/>
              </w:rPr>
              <w:t>m³/h</w:t>
            </w:r>
            <w:r>
              <w:rPr>
                <w:rFonts w:cs="Times New Roman"/>
                <w:color w:val="auto"/>
              </w:rPr>
              <w:t>，食堂炉灶按</w:t>
            </w:r>
            <w:r>
              <w:rPr>
                <w:rFonts w:hint="eastAsia" w:cs="Times New Roman"/>
                <w:color w:val="auto"/>
              </w:rPr>
              <w:t>4</w:t>
            </w:r>
            <w:r>
              <w:rPr>
                <w:rFonts w:cs="Times New Roman"/>
                <w:color w:val="auto"/>
              </w:rPr>
              <w:t>小时/天计算，油烟净化器年工作时间</w:t>
            </w:r>
            <w:r>
              <w:rPr>
                <w:rFonts w:hint="eastAsia" w:cs="Times New Roman"/>
                <w:color w:val="auto"/>
                <w:lang w:val="en-US" w:eastAsia="zh-CN"/>
              </w:rPr>
              <w:t>1460</w:t>
            </w:r>
            <w:r>
              <w:rPr>
                <w:rFonts w:cs="Times New Roman"/>
                <w:color w:val="auto"/>
              </w:rPr>
              <w:t>h，油烟</w:t>
            </w:r>
            <w:r>
              <w:rPr>
                <w:rFonts w:hint="eastAsia" w:cs="Times New Roman"/>
                <w:color w:val="auto"/>
              </w:rPr>
              <w:t>排放</w:t>
            </w:r>
            <w:r>
              <w:rPr>
                <w:rFonts w:cs="Times New Roman"/>
                <w:color w:val="auto"/>
              </w:rPr>
              <w:t>量为</w:t>
            </w:r>
            <w:r>
              <w:rPr>
                <w:rFonts w:hint="eastAsia" w:cs="Times New Roman"/>
                <w:color w:val="auto"/>
                <w:lang w:val="en-US" w:eastAsia="zh-CN"/>
              </w:rPr>
              <w:t>0.0090t</w:t>
            </w:r>
            <w:r>
              <w:rPr>
                <w:rFonts w:cs="Times New Roman"/>
                <w:color w:val="auto"/>
              </w:rPr>
              <w:t>/a，油烟排放浓度为</w:t>
            </w:r>
            <w:r>
              <w:rPr>
                <w:rFonts w:hint="eastAsia" w:cs="Times New Roman"/>
                <w:color w:val="auto"/>
                <w:lang w:val="en-US" w:eastAsia="zh-CN"/>
              </w:rPr>
              <w:t>1.54</w:t>
            </w:r>
            <w:r>
              <w:rPr>
                <w:rFonts w:hint="eastAsia" w:cs="Times New Roman"/>
                <w:color w:val="auto"/>
              </w:rPr>
              <w:t>mg/m³</w:t>
            </w:r>
            <w:r>
              <w:rPr>
                <w:rFonts w:cs="Times New Roman"/>
                <w:color w:val="auto"/>
              </w:rPr>
              <w:t>，处理后的油烟经专用排烟管道</w:t>
            </w:r>
            <w:r>
              <w:rPr>
                <w:rFonts w:hint="eastAsia" w:cs="Times New Roman"/>
                <w:color w:val="auto"/>
                <w:lang w:val="en-US" w:eastAsia="zh-CN"/>
              </w:rPr>
              <w:t>高空</w:t>
            </w:r>
            <w:r>
              <w:rPr>
                <w:rFonts w:cs="Times New Roman"/>
                <w:color w:val="auto"/>
              </w:rPr>
              <w:t>排放</w:t>
            </w:r>
            <w:r>
              <w:rPr>
                <w:rFonts w:hint="eastAsia" w:cs="Times New Roman"/>
                <w:color w:val="auto"/>
                <w:lang w:eastAsia="zh-CN"/>
              </w:rPr>
              <w:t>，</w:t>
            </w:r>
            <w:r>
              <w:rPr>
                <w:rFonts w:cs="Times New Roman"/>
                <w:color w:val="auto"/>
              </w:rPr>
              <w:t>达到《</w:t>
            </w:r>
            <w:r>
              <w:rPr>
                <w:rFonts w:hint="eastAsia" w:cs="Times New Roman"/>
                <w:color w:val="auto"/>
              </w:rPr>
              <w:t>饮食业油烟排放标准</w:t>
            </w:r>
            <w:r>
              <w:rPr>
                <w:rFonts w:cs="Times New Roman"/>
                <w:color w:val="auto"/>
              </w:rPr>
              <w:t>》（GB18483-2001）中的规定（2.0</w:t>
            </w:r>
            <w:r>
              <w:rPr>
                <w:rFonts w:hint="eastAsia" w:cs="Times New Roman"/>
                <w:color w:val="auto"/>
              </w:rPr>
              <w:t>mg/m³</w:t>
            </w:r>
            <w:r>
              <w:rPr>
                <w:rFonts w:cs="Times New Roman"/>
                <w:color w:val="auto"/>
              </w:rPr>
              <w:t>）。</w:t>
            </w:r>
          </w:p>
          <w:p w14:paraId="7BF883A9">
            <w:pPr>
              <w:pStyle w:val="41"/>
              <w:rPr>
                <w:rFonts w:hint="default"/>
                <w:color w:val="auto"/>
              </w:rPr>
            </w:pPr>
            <w:r>
              <w:rPr>
                <w:color w:val="auto"/>
              </w:rPr>
              <w:t>表</w:t>
            </w:r>
            <w:r>
              <w:rPr>
                <w:rFonts w:hint="eastAsia"/>
                <w:color w:val="auto"/>
                <w:lang w:val="en-US" w:eastAsia="zh-CN"/>
              </w:rPr>
              <w:t xml:space="preserve">4-8 </w:t>
            </w:r>
            <w:r>
              <w:rPr>
                <w:color w:val="auto"/>
              </w:rPr>
              <w:t xml:space="preserve"> 食堂油烟产排情况</w:t>
            </w:r>
          </w:p>
          <w:tbl>
            <w:tblPr>
              <w:tblStyle w:val="18"/>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121"/>
              <w:gridCol w:w="1231"/>
              <w:gridCol w:w="1027"/>
              <w:gridCol w:w="1163"/>
              <w:gridCol w:w="891"/>
              <w:gridCol w:w="945"/>
              <w:gridCol w:w="1115"/>
            </w:tblGrid>
            <w:tr w14:paraId="6537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2" w:type="dxa"/>
                  <w:vAlign w:val="center"/>
                </w:tcPr>
                <w:p w14:paraId="27BBE4A0">
                  <w:pPr>
                    <w:pStyle w:val="39"/>
                    <w:rPr>
                      <w:rFonts w:hint="default"/>
                      <w:b/>
                      <w:bCs/>
                      <w:color w:val="auto"/>
                    </w:rPr>
                  </w:pPr>
                  <w:r>
                    <w:rPr>
                      <w:rFonts w:hint="default"/>
                      <w:b/>
                      <w:bCs/>
                      <w:color w:val="auto"/>
                    </w:rPr>
                    <w:t>污染源</w:t>
                  </w:r>
                </w:p>
              </w:tc>
              <w:tc>
                <w:tcPr>
                  <w:tcW w:w="1215" w:type="dxa"/>
                  <w:vAlign w:val="center"/>
                </w:tcPr>
                <w:p w14:paraId="2C4CF38B">
                  <w:pPr>
                    <w:pStyle w:val="39"/>
                    <w:rPr>
                      <w:rFonts w:hint="default"/>
                      <w:b/>
                      <w:bCs/>
                      <w:color w:val="auto"/>
                    </w:rPr>
                  </w:pPr>
                  <w:r>
                    <w:rPr>
                      <w:rFonts w:hint="default"/>
                      <w:b/>
                      <w:bCs/>
                      <w:color w:val="auto"/>
                    </w:rPr>
                    <w:t>就餐人数</w:t>
                  </w:r>
                </w:p>
              </w:tc>
              <w:tc>
                <w:tcPr>
                  <w:tcW w:w="1335" w:type="dxa"/>
                  <w:vAlign w:val="center"/>
                </w:tcPr>
                <w:p w14:paraId="2E155A33">
                  <w:pPr>
                    <w:pStyle w:val="39"/>
                    <w:rPr>
                      <w:rFonts w:hint="default"/>
                      <w:b/>
                      <w:bCs/>
                      <w:color w:val="auto"/>
                    </w:rPr>
                  </w:pPr>
                  <w:r>
                    <w:rPr>
                      <w:rFonts w:hint="default"/>
                      <w:b/>
                      <w:bCs/>
                      <w:color w:val="auto"/>
                    </w:rPr>
                    <w:t>废气量</w:t>
                  </w:r>
                </w:p>
                <w:p w14:paraId="3F91FFBE">
                  <w:pPr>
                    <w:pStyle w:val="39"/>
                    <w:rPr>
                      <w:rFonts w:hint="default"/>
                      <w:b/>
                      <w:bCs/>
                      <w:color w:val="auto"/>
                    </w:rPr>
                  </w:pPr>
                  <w:r>
                    <w:rPr>
                      <w:rFonts w:hint="default"/>
                      <w:b/>
                      <w:bCs/>
                      <w:color w:val="auto"/>
                    </w:rPr>
                    <w:t>（</w:t>
                  </w:r>
                  <w:r>
                    <w:rPr>
                      <w:b/>
                      <w:bCs/>
                      <w:color w:val="auto"/>
                    </w:rPr>
                    <w:t>m³/h</w:t>
                  </w:r>
                  <w:r>
                    <w:rPr>
                      <w:rFonts w:hint="default"/>
                      <w:b/>
                      <w:bCs/>
                      <w:color w:val="auto"/>
                    </w:rPr>
                    <w:t>）</w:t>
                  </w:r>
                </w:p>
              </w:tc>
              <w:tc>
                <w:tcPr>
                  <w:tcW w:w="1110" w:type="dxa"/>
                  <w:vAlign w:val="center"/>
                </w:tcPr>
                <w:p w14:paraId="58CA5B83">
                  <w:pPr>
                    <w:pStyle w:val="39"/>
                    <w:rPr>
                      <w:rFonts w:hint="default"/>
                      <w:b/>
                      <w:bCs/>
                      <w:color w:val="auto"/>
                    </w:rPr>
                  </w:pPr>
                  <w:r>
                    <w:rPr>
                      <w:rFonts w:hint="default"/>
                      <w:b/>
                      <w:bCs/>
                      <w:color w:val="auto"/>
                    </w:rPr>
                    <w:t>产生量</w:t>
                  </w:r>
                </w:p>
                <w:p w14:paraId="5A5587D8">
                  <w:pPr>
                    <w:pStyle w:val="39"/>
                    <w:rPr>
                      <w:rFonts w:hint="default"/>
                      <w:b/>
                      <w:bCs/>
                      <w:color w:val="auto"/>
                    </w:rPr>
                  </w:pPr>
                  <w:r>
                    <w:rPr>
                      <w:rFonts w:hint="default"/>
                      <w:b/>
                      <w:bCs/>
                      <w:color w:val="auto"/>
                    </w:rPr>
                    <w:t>（t/a）</w:t>
                  </w:r>
                </w:p>
              </w:tc>
              <w:tc>
                <w:tcPr>
                  <w:tcW w:w="1260" w:type="dxa"/>
                  <w:vAlign w:val="center"/>
                </w:tcPr>
                <w:p w14:paraId="3C192E1D">
                  <w:pPr>
                    <w:pStyle w:val="39"/>
                    <w:rPr>
                      <w:rFonts w:hint="default"/>
                      <w:b/>
                      <w:bCs/>
                      <w:color w:val="auto"/>
                    </w:rPr>
                  </w:pPr>
                  <w:r>
                    <w:rPr>
                      <w:rFonts w:hint="default"/>
                      <w:b/>
                      <w:bCs/>
                      <w:color w:val="auto"/>
                    </w:rPr>
                    <w:t>产生浓度</w:t>
                  </w:r>
                </w:p>
                <w:p w14:paraId="2AEC5B28">
                  <w:pPr>
                    <w:pStyle w:val="39"/>
                    <w:rPr>
                      <w:rFonts w:hint="default"/>
                      <w:b/>
                      <w:bCs/>
                      <w:color w:val="auto"/>
                    </w:rPr>
                  </w:pPr>
                  <w:r>
                    <w:rPr>
                      <w:rFonts w:hint="default"/>
                      <w:b/>
                      <w:bCs/>
                      <w:color w:val="auto"/>
                    </w:rPr>
                    <w:t>（</w:t>
                  </w:r>
                  <w:r>
                    <w:rPr>
                      <w:b/>
                      <w:bCs/>
                      <w:color w:val="auto"/>
                    </w:rPr>
                    <w:t>mg/m³</w:t>
                  </w:r>
                  <w:r>
                    <w:rPr>
                      <w:rFonts w:hint="default"/>
                      <w:b/>
                      <w:bCs/>
                      <w:color w:val="auto"/>
                    </w:rPr>
                    <w:t>）</w:t>
                  </w:r>
                </w:p>
              </w:tc>
              <w:tc>
                <w:tcPr>
                  <w:tcW w:w="960" w:type="dxa"/>
                  <w:vAlign w:val="center"/>
                </w:tcPr>
                <w:p w14:paraId="735EA620">
                  <w:pPr>
                    <w:pStyle w:val="39"/>
                    <w:rPr>
                      <w:rFonts w:hint="default"/>
                      <w:b/>
                      <w:bCs/>
                      <w:color w:val="auto"/>
                    </w:rPr>
                  </w:pPr>
                  <w:r>
                    <w:rPr>
                      <w:b/>
                      <w:bCs/>
                      <w:color w:val="auto"/>
                    </w:rPr>
                    <w:t>处理效率%</w:t>
                  </w:r>
                </w:p>
              </w:tc>
              <w:tc>
                <w:tcPr>
                  <w:tcW w:w="1020" w:type="dxa"/>
                  <w:vAlign w:val="center"/>
                </w:tcPr>
                <w:p w14:paraId="7962A300">
                  <w:pPr>
                    <w:pStyle w:val="39"/>
                    <w:rPr>
                      <w:rFonts w:hint="default"/>
                      <w:b/>
                      <w:bCs/>
                      <w:color w:val="auto"/>
                    </w:rPr>
                  </w:pPr>
                  <w:r>
                    <w:rPr>
                      <w:rFonts w:hint="default"/>
                      <w:b/>
                      <w:bCs/>
                      <w:color w:val="auto"/>
                    </w:rPr>
                    <w:t>排放量</w:t>
                  </w:r>
                </w:p>
                <w:p w14:paraId="19CC342E">
                  <w:pPr>
                    <w:pStyle w:val="39"/>
                    <w:rPr>
                      <w:rFonts w:hint="default"/>
                      <w:b/>
                      <w:bCs/>
                      <w:color w:val="auto"/>
                    </w:rPr>
                  </w:pPr>
                  <w:r>
                    <w:rPr>
                      <w:rFonts w:hint="default"/>
                      <w:b/>
                      <w:bCs/>
                      <w:color w:val="auto"/>
                    </w:rPr>
                    <w:t>（t/a）</w:t>
                  </w:r>
                </w:p>
              </w:tc>
              <w:tc>
                <w:tcPr>
                  <w:tcW w:w="1207" w:type="dxa"/>
                  <w:vAlign w:val="center"/>
                </w:tcPr>
                <w:p w14:paraId="1A0EE7DA">
                  <w:pPr>
                    <w:pStyle w:val="39"/>
                    <w:rPr>
                      <w:rFonts w:hint="default"/>
                      <w:b/>
                      <w:bCs/>
                      <w:color w:val="auto"/>
                    </w:rPr>
                  </w:pPr>
                  <w:r>
                    <w:rPr>
                      <w:rFonts w:hint="default"/>
                      <w:b/>
                      <w:bCs/>
                      <w:color w:val="auto"/>
                    </w:rPr>
                    <w:t>排放浓度</w:t>
                  </w:r>
                </w:p>
                <w:p w14:paraId="39F89F6D">
                  <w:pPr>
                    <w:pStyle w:val="39"/>
                    <w:rPr>
                      <w:rFonts w:hint="default"/>
                      <w:b/>
                      <w:bCs/>
                      <w:color w:val="auto"/>
                    </w:rPr>
                  </w:pPr>
                  <w:r>
                    <w:rPr>
                      <w:rFonts w:hint="default"/>
                      <w:b/>
                      <w:bCs/>
                      <w:color w:val="auto"/>
                    </w:rPr>
                    <w:t>（</w:t>
                  </w:r>
                  <w:r>
                    <w:rPr>
                      <w:b/>
                      <w:bCs/>
                      <w:color w:val="auto"/>
                    </w:rPr>
                    <w:t>mg/m³</w:t>
                  </w:r>
                  <w:r>
                    <w:rPr>
                      <w:rFonts w:hint="default"/>
                      <w:b/>
                      <w:bCs/>
                      <w:color w:val="auto"/>
                    </w:rPr>
                    <w:t>）</w:t>
                  </w:r>
                </w:p>
              </w:tc>
            </w:tr>
            <w:tr w14:paraId="4F6C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2" w:type="dxa"/>
                  <w:vAlign w:val="center"/>
                </w:tcPr>
                <w:p w14:paraId="3A97FEA7">
                  <w:pPr>
                    <w:pStyle w:val="39"/>
                    <w:rPr>
                      <w:rFonts w:hint="default"/>
                      <w:color w:val="auto"/>
                    </w:rPr>
                  </w:pPr>
                  <w:r>
                    <w:rPr>
                      <w:rFonts w:hint="default"/>
                      <w:color w:val="auto"/>
                    </w:rPr>
                    <w:t>食堂油烟</w:t>
                  </w:r>
                </w:p>
              </w:tc>
              <w:tc>
                <w:tcPr>
                  <w:tcW w:w="1215" w:type="dxa"/>
                  <w:vAlign w:val="center"/>
                </w:tcPr>
                <w:p w14:paraId="573FE887">
                  <w:pPr>
                    <w:pStyle w:val="39"/>
                    <w:rPr>
                      <w:rFonts w:hint="default"/>
                      <w:color w:val="auto"/>
                    </w:rPr>
                  </w:pPr>
                  <w:r>
                    <w:rPr>
                      <w:rFonts w:hint="eastAsia"/>
                      <w:color w:val="auto"/>
                      <w:lang w:val="en-US" w:eastAsia="zh-CN"/>
                    </w:rPr>
                    <w:t>330</w:t>
                  </w:r>
                  <w:r>
                    <w:rPr>
                      <w:color w:val="auto"/>
                    </w:rPr>
                    <w:t>人次/d</w:t>
                  </w:r>
                </w:p>
              </w:tc>
              <w:tc>
                <w:tcPr>
                  <w:tcW w:w="1335" w:type="dxa"/>
                  <w:vAlign w:val="center"/>
                </w:tcPr>
                <w:p w14:paraId="30BEB33D">
                  <w:pPr>
                    <w:pStyle w:val="39"/>
                    <w:rPr>
                      <w:rFonts w:hint="default"/>
                      <w:color w:val="auto"/>
                    </w:rPr>
                  </w:pPr>
                  <w:r>
                    <w:rPr>
                      <w:rFonts w:hint="eastAsia"/>
                      <w:color w:val="auto"/>
                      <w:lang w:val="en-US" w:eastAsia="zh-CN"/>
                    </w:rPr>
                    <w:t>4</w:t>
                  </w:r>
                  <w:r>
                    <w:rPr>
                      <w:rFonts w:hint="default"/>
                      <w:color w:val="auto"/>
                    </w:rPr>
                    <w:t>000</w:t>
                  </w:r>
                </w:p>
              </w:tc>
              <w:tc>
                <w:tcPr>
                  <w:tcW w:w="1110" w:type="dxa"/>
                  <w:vAlign w:val="center"/>
                </w:tcPr>
                <w:p w14:paraId="4A4537A4">
                  <w:pPr>
                    <w:pStyle w:val="39"/>
                    <w:rPr>
                      <w:rFonts w:hint="default" w:eastAsia="宋体"/>
                      <w:color w:val="auto"/>
                      <w:lang w:val="en-US" w:eastAsia="zh-CN"/>
                    </w:rPr>
                  </w:pPr>
                  <w:r>
                    <w:rPr>
                      <w:rFonts w:hint="eastAsia"/>
                      <w:color w:val="auto"/>
                      <w:lang w:val="en-US" w:eastAsia="zh-CN"/>
                    </w:rPr>
                    <w:t>0.0602</w:t>
                  </w:r>
                </w:p>
              </w:tc>
              <w:tc>
                <w:tcPr>
                  <w:tcW w:w="1260" w:type="dxa"/>
                  <w:vAlign w:val="center"/>
                </w:tcPr>
                <w:p w14:paraId="30C29B03">
                  <w:pPr>
                    <w:pStyle w:val="39"/>
                    <w:rPr>
                      <w:rFonts w:hint="default" w:eastAsia="宋体"/>
                      <w:color w:val="auto"/>
                      <w:lang w:val="en-US" w:eastAsia="zh-CN"/>
                    </w:rPr>
                  </w:pPr>
                  <w:r>
                    <w:rPr>
                      <w:rFonts w:hint="eastAsia"/>
                      <w:color w:val="auto"/>
                      <w:lang w:val="en-US" w:eastAsia="zh-CN"/>
                    </w:rPr>
                    <w:t>10.3</w:t>
                  </w:r>
                </w:p>
              </w:tc>
              <w:tc>
                <w:tcPr>
                  <w:tcW w:w="960" w:type="dxa"/>
                  <w:vAlign w:val="center"/>
                </w:tcPr>
                <w:p w14:paraId="584585DC">
                  <w:pPr>
                    <w:pStyle w:val="39"/>
                    <w:rPr>
                      <w:rFonts w:hint="default"/>
                      <w:color w:val="auto"/>
                    </w:rPr>
                  </w:pPr>
                  <w:r>
                    <w:rPr>
                      <w:color w:val="auto"/>
                    </w:rPr>
                    <w:t>85</w:t>
                  </w:r>
                </w:p>
              </w:tc>
              <w:tc>
                <w:tcPr>
                  <w:tcW w:w="1020" w:type="dxa"/>
                  <w:vAlign w:val="center"/>
                </w:tcPr>
                <w:p w14:paraId="0BA700A0">
                  <w:pPr>
                    <w:pStyle w:val="39"/>
                    <w:rPr>
                      <w:rFonts w:hint="default" w:eastAsia="宋体"/>
                      <w:color w:val="auto"/>
                      <w:lang w:val="en-US" w:eastAsia="zh-CN"/>
                    </w:rPr>
                  </w:pPr>
                  <w:r>
                    <w:rPr>
                      <w:rFonts w:hint="eastAsia"/>
                      <w:color w:val="auto"/>
                      <w:lang w:val="en-US" w:eastAsia="zh-CN"/>
                    </w:rPr>
                    <w:t>0.0090</w:t>
                  </w:r>
                </w:p>
              </w:tc>
              <w:tc>
                <w:tcPr>
                  <w:tcW w:w="1207" w:type="dxa"/>
                  <w:vAlign w:val="center"/>
                </w:tcPr>
                <w:p w14:paraId="6DE38E35">
                  <w:pPr>
                    <w:pStyle w:val="39"/>
                    <w:rPr>
                      <w:rFonts w:hint="default" w:eastAsia="宋体"/>
                      <w:color w:val="auto"/>
                      <w:lang w:val="en-US" w:eastAsia="zh-CN"/>
                    </w:rPr>
                  </w:pPr>
                  <w:r>
                    <w:rPr>
                      <w:rFonts w:hint="eastAsia"/>
                      <w:color w:val="auto"/>
                      <w:lang w:val="en-US" w:eastAsia="zh-CN"/>
                    </w:rPr>
                    <w:t>1.54</w:t>
                  </w:r>
                </w:p>
              </w:tc>
            </w:tr>
          </w:tbl>
          <w:p w14:paraId="34C6DBF5">
            <w:pPr>
              <w:bidi w:val="0"/>
              <w:jc w:val="both"/>
              <w:rPr>
                <w:rFonts w:hint="default"/>
                <w:b/>
                <w:bCs/>
                <w:lang w:val="en-US" w:eastAsia="zh-CN"/>
              </w:rPr>
            </w:pPr>
            <w:r>
              <w:rPr>
                <w:rFonts w:hint="eastAsia"/>
                <w:b/>
                <w:bCs/>
                <w:lang w:val="en-US" w:eastAsia="zh-CN"/>
              </w:rPr>
              <w:t>（3）达标分析</w:t>
            </w:r>
          </w:p>
          <w:p w14:paraId="44A35A7B">
            <w:pPr>
              <w:bidi w:val="0"/>
              <w:jc w:val="both"/>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①恶臭气体</w:t>
            </w:r>
          </w:p>
          <w:p w14:paraId="2AF3A403">
            <w:pPr>
              <w:bidi w:val="0"/>
              <w:jc w:val="both"/>
              <w:rPr>
                <w:rFonts w:hint="default"/>
                <w:lang w:val="en-US" w:eastAsia="zh-CN"/>
              </w:rPr>
            </w:pPr>
            <w:r>
              <w:rPr>
                <w:rFonts w:hint="default"/>
                <w:lang w:val="en-US" w:eastAsia="zh-CN"/>
              </w:rPr>
              <w:t>项目产生的生活垃圾和医疗废物由医院清洁工分别收集至垃圾桶和医疗废物暂存间。生活垃圾经收集后，由环卫部门每天定期清运，停留时间较短，产生的臭气浓度不大。医疗废物用收集存放于医疗废物暂存间，医用玻璃瓶、塑料输液瓶(袋)交由专门单位转运并处置</w:t>
            </w:r>
            <w:r>
              <w:rPr>
                <w:rFonts w:hint="eastAsia"/>
                <w:lang w:val="en-US" w:eastAsia="zh-CN"/>
              </w:rPr>
              <w:t>；</w:t>
            </w:r>
            <w:r>
              <w:rPr>
                <w:rFonts w:hint="default"/>
                <w:lang w:val="en-US" w:eastAsia="zh-CN"/>
              </w:rPr>
              <w:t>其他医疗废物定期交由有资质单位处置。因此产生的臭气浓度也不大。项目业主应每天派专人对医疗废物暂存间进行消毒处理，减轻</w:t>
            </w:r>
            <w:r>
              <w:rPr>
                <w:rFonts w:hint="eastAsia"/>
                <w:lang w:val="en-US" w:eastAsia="zh-CN"/>
              </w:rPr>
              <w:t>臭气</w:t>
            </w:r>
            <w:r>
              <w:rPr>
                <w:rFonts w:hint="default"/>
                <w:lang w:val="en-US" w:eastAsia="zh-CN"/>
              </w:rPr>
              <w:t>对周围环境的影响。</w:t>
            </w:r>
          </w:p>
          <w:p w14:paraId="73704025">
            <w:pPr>
              <w:bidi w:val="0"/>
              <w:jc w:val="both"/>
              <w:rPr>
                <w:rFonts w:hint="default"/>
                <w:lang w:val="en-US" w:eastAsia="zh-CN"/>
              </w:rPr>
            </w:pPr>
            <w:r>
              <w:rPr>
                <w:rFonts w:hint="default"/>
                <w:lang w:val="en-US" w:eastAsia="zh-CN"/>
              </w:rPr>
              <w:t>本项目污水处理站产生少量恶臭气体，主要为</w:t>
            </w:r>
            <w:r>
              <w:rPr>
                <w:rFonts w:hint="eastAsia"/>
                <w:lang w:val="en-US" w:eastAsia="zh-CN"/>
              </w:rPr>
              <w:t>：</w:t>
            </w:r>
            <w:r>
              <w:rPr>
                <w:rFonts w:hint="default"/>
                <w:lang w:val="en-US" w:eastAsia="zh-CN"/>
              </w:rPr>
              <w:t>H</w:t>
            </w:r>
            <w:r>
              <w:rPr>
                <w:rFonts w:hint="default"/>
                <w:vertAlign w:val="subscript"/>
                <w:lang w:val="en-US" w:eastAsia="zh-CN"/>
              </w:rPr>
              <w:t>2</w:t>
            </w:r>
            <w:r>
              <w:rPr>
                <w:rFonts w:hint="default"/>
                <w:lang w:val="en-US" w:eastAsia="zh-CN"/>
              </w:rPr>
              <w:t>S、NH</w:t>
            </w:r>
            <w:r>
              <w:rPr>
                <w:rFonts w:hint="default"/>
                <w:vertAlign w:val="subscript"/>
                <w:lang w:val="en-US" w:eastAsia="zh-CN"/>
              </w:rPr>
              <w:t>3</w:t>
            </w:r>
            <w:r>
              <w:rPr>
                <w:rFonts w:hint="default"/>
                <w:lang w:val="en-US" w:eastAsia="zh-CN"/>
              </w:rPr>
              <w:t>、臭气，该类废气含有病毒和细菌等致病微生物。根据《排污许可证申请与核发技术规范 医疗机构》(HI</w:t>
            </w:r>
            <w:r>
              <w:rPr>
                <w:rFonts w:hint="eastAsia"/>
                <w:lang w:val="en-US" w:eastAsia="zh-CN"/>
              </w:rPr>
              <w:t>05-</w:t>
            </w:r>
            <w:r>
              <w:rPr>
                <w:rFonts w:hint="default"/>
                <w:lang w:val="en-US" w:eastAsia="zh-CN"/>
              </w:rPr>
              <w:t>2020)，表A.1医疗机构排污单位废气治理可行技术参照表，本项目污水处理站</w:t>
            </w:r>
            <w:r>
              <w:rPr>
                <w:rFonts w:hint="eastAsia"/>
                <w:lang w:val="en-US" w:eastAsia="zh-CN"/>
              </w:rPr>
              <w:t>臭气经管道收集后进入二级活性炭吸附装置并定期</w:t>
            </w:r>
            <w:r>
              <w:rPr>
                <w:rFonts w:hint="default"/>
                <w:lang w:val="en-US" w:eastAsia="zh-CN"/>
              </w:rPr>
              <w:t>投放除臭剂，属于废气治理可行技术。</w:t>
            </w:r>
          </w:p>
          <w:p w14:paraId="7483C80C">
            <w:pPr>
              <w:bidi w:val="0"/>
              <w:jc w:val="both"/>
              <w:rPr>
                <w:rFonts w:hint="default"/>
                <w:lang w:val="en-US" w:eastAsia="zh-CN"/>
              </w:rPr>
            </w:pPr>
            <w:r>
              <w:rPr>
                <w:rFonts w:hint="default"/>
                <w:lang w:val="en-US" w:eastAsia="zh-CN"/>
              </w:rPr>
              <w:t>在严格执行上述措施后，污水处理站臭气对周边环影响小，</w:t>
            </w:r>
            <w:r>
              <w:rPr>
                <w:rFonts w:hint="eastAsia"/>
                <w:lang w:val="en-US" w:eastAsia="zh-CN"/>
              </w:rPr>
              <w:t>污水处理站氨、硫化氢、臭气浓度经处理后满足</w:t>
            </w:r>
            <w:r>
              <w:rPr>
                <w:rFonts w:hint="eastAsia"/>
                <w:color w:val="auto"/>
                <w:spacing w:val="1"/>
                <w:sz w:val="24"/>
                <w:szCs w:val="24"/>
                <w:lang w:val="en-US" w:eastAsia="zh-CN"/>
              </w:rPr>
              <w:t>《恶臭污染物排放标准》（GB14554-93）中的二级标准，项目污水站产生的无组织氨、硫化氢、氯气、甲烷、臭气浓度满足《医疗机构水污染物排放标准》（GB18466-2005）中“污水处理站周边大气污染物最高允许浓度”要求。</w:t>
            </w:r>
            <w:r>
              <w:rPr>
                <w:rFonts w:hint="default"/>
                <w:lang w:val="en-US" w:eastAsia="zh-CN"/>
              </w:rPr>
              <w:t>以上污染防治措施是可靠的。对周边环境影响较小。</w:t>
            </w:r>
          </w:p>
          <w:p w14:paraId="54D7CA5A">
            <w:pPr>
              <w:pStyle w:val="9"/>
              <w:jc w:val="both"/>
              <w:rPr>
                <w:rFonts w:hint="eastAsia"/>
                <w:b/>
                <w:bCs/>
                <w:lang w:val="en-US" w:eastAsia="zh-CN"/>
              </w:rPr>
            </w:pPr>
            <w:r>
              <w:rPr>
                <w:rFonts w:hint="eastAsia"/>
                <w:b/>
                <w:bCs/>
                <w:lang w:val="en-US" w:eastAsia="zh-CN"/>
              </w:rPr>
              <w:t>②食堂油烟</w:t>
            </w:r>
          </w:p>
          <w:p w14:paraId="43B0E842">
            <w:pPr>
              <w:jc w:val="both"/>
              <w:rPr>
                <w:rFonts w:hint="eastAsia"/>
                <w:lang w:val="en-US" w:eastAsia="zh-CN"/>
              </w:rPr>
            </w:pPr>
            <w:r>
              <w:rPr>
                <w:rFonts w:hint="default"/>
                <w:lang w:val="en-US" w:eastAsia="zh-CN"/>
              </w:rPr>
              <w:t>项目</w:t>
            </w:r>
            <w:r>
              <w:rPr>
                <w:rFonts w:hint="eastAsia"/>
                <w:lang w:val="en-US" w:eastAsia="zh-CN"/>
              </w:rPr>
              <w:t>食堂</w:t>
            </w:r>
            <w:r>
              <w:rPr>
                <w:rFonts w:hint="default"/>
                <w:lang w:val="en-US" w:eastAsia="zh-CN"/>
              </w:rPr>
              <w:t>油烟经一套油烟净化处理后，其油烟处理效率和排放浓度均可以达到《饮食业油烟排放标准》(GB18483-2001)，经专用管道</w:t>
            </w:r>
            <w:r>
              <w:rPr>
                <w:rFonts w:hint="eastAsia"/>
                <w:lang w:val="en-US" w:eastAsia="zh-CN"/>
              </w:rPr>
              <w:t>高空</w:t>
            </w:r>
            <w:r>
              <w:rPr>
                <w:rFonts w:hint="default"/>
                <w:lang w:val="en-US" w:eastAsia="zh-CN"/>
              </w:rPr>
              <w:t>排放，对项目周边及住院楼内的人群健康和环境空气影响小</w:t>
            </w:r>
            <w:r>
              <w:rPr>
                <w:rFonts w:hint="eastAsia"/>
                <w:lang w:val="en-US" w:eastAsia="zh-CN"/>
              </w:rPr>
              <w:t>。</w:t>
            </w:r>
          </w:p>
          <w:p w14:paraId="3997AF20">
            <w:pPr>
              <w:pStyle w:val="43"/>
              <w:ind w:firstLine="482"/>
              <w:jc w:val="both"/>
              <w:rPr>
                <w:b/>
                <w:bCs/>
              </w:rPr>
            </w:pPr>
            <w:r>
              <w:rPr>
                <w:rFonts w:hint="eastAsia"/>
                <w:b/>
                <w:bCs/>
                <w:lang w:val="en-US" w:eastAsia="zh-CN"/>
              </w:rPr>
              <w:t>3、</w:t>
            </w:r>
            <w:r>
              <w:rPr>
                <w:rFonts w:hint="eastAsia"/>
                <w:b/>
                <w:bCs/>
              </w:rPr>
              <w:t>非正常工况下污染物排放情况</w:t>
            </w:r>
          </w:p>
          <w:p w14:paraId="3F490A1C">
            <w:pPr>
              <w:ind w:firstLine="482"/>
              <w:jc w:val="both"/>
              <w:rPr>
                <w:b/>
                <w:bCs/>
              </w:rPr>
            </w:pPr>
            <w:r>
              <w:rPr>
                <w:rFonts w:hint="eastAsia"/>
                <w:b/>
                <w:bCs/>
              </w:rPr>
              <w:t>（1）非正常工况源强分析</w:t>
            </w:r>
          </w:p>
          <w:p w14:paraId="51A3AFA3">
            <w:pPr>
              <w:widowControl/>
              <w:ind w:firstLine="480"/>
              <w:jc w:val="both"/>
              <w:rPr>
                <w:rFonts w:hint="eastAsia"/>
                <w:sz w:val="24"/>
                <w:szCs w:val="24"/>
              </w:rPr>
            </w:pPr>
            <w:r>
              <w:rPr>
                <w:rFonts w:hint="eastAsia"/>
              </w:rPr>
              <w:t>非正常情况下废气污染物排放主要是废气处理设施出现故障，造成废气污染物超标排放，本环评重点评价</w:t>
            </w:r>
            <w:r>
              <w:rPr>
                <w:rFonts w:hint="eastAsia"/>
                <w:lang w:val="en-US" w:eastAsia="zh-CN"/>
              </w:rPr>
              <w:t>DA001</w:t>
            </w:r>
            <w:r>
              <w:rPr>
                <w:rFonts w:hint="eastAsia"/>
              </w:rPr>
              <w:t>废气治理设施出现故障，处理效率</w:t>
            </w:r>
            <w:r>
              <w:rPr>
                <w:rFonts w:hint="eastAsia"/>
                <w:lang w:val="en-US" w:eastAsia="zh-CN"/>
              </w:rPr>
              <w:t>50%</w:t>
            </w:r>
            <w:r>
              <w:rPr>
                <w:rFonts w:hint="eastAsia"/>
              </w:rPr>
              <w:t>作为非正常工况进行影响分析。拟建项目设计非正常工况连续排污</w:t>
            </w:r>
            <w:r>
              <w:rPr>
                <w:rFonts w:hint="eastAsia"/>
                <w:lang w:eastAsia="zh-CN"/>
              </w:rPr>
              <w:t>时间</w:t>
            </w:r>
            <w:r>
              <w:rPr>
                <w:rFonts w:hint="eastAsia"/>
              </w:rPr>
              <w:t>不超过2小时/次，全年累计不应超过30小时平均非正常工况下污染物排放情况详见表</w:t>
            </w:r>
            <w:r>
              <w:t>4-</w:t>
            </w:r>
            <w:r>
              <w:rPr>
                <w:rFonts w:hint="eastAsia"/>
                <w:lang w:val="en-US" w:eastAsia="zh-CN"/>
              </w:rPr>
              <w:t>9</w:t>
            </w:r>
            <w:r>
              <w:rPr>
                <w:rFonts w:hint="eastAsia"/>
              </w:rPr>
              <w:t>。</w:t>
            </w:r>
          </w:p>
          <w:p w14:paraId="2C203C61">
            <w:pPr>
              <w:pStyle w:val="41"/>
              <w:bidi w:val="0"/>
            </w:pPr>
            <w:r>
              <w:rPr>
                <w:rFonts w:hint="eastAsia"/>
              </w:rPr>
              <w:t>表4-</w:t>
            </w:r>
            <w:r>
              <w:rPr>
                <w:rFonts w:hint="eastAsia"/>
                <w:lang w:val="en-US" w:eastAsia="zh-CN"/>
              </w:rPr>
              <w:t xml:space="preserve">9  </w:t>
            </w:r>
            <w:r>
              <w:rPr>
                <w:rFonts w:hint="eastAsia"/>
              </w:rPr>
              <w:t>非常正常工况废气排放源强表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47"/>
              <w:gridCol w:w="900"/>
              <w:gridCol w:w="1050"/>
              <w:gridCol w:w="900"/>
              <w:gridCol w:w="900"/>
              <w:gridCol w:w="855"/>
              <w:gridCol w:w="1050"/>
              <w:gridCol w:w="1020"/>
              <w:gridCol w:w="1054"/>
            </w:tblGrid>
            <w:tr w14:paraId="58F0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93" w:type="pct"/>
                  <w:vMerge w:val="restart"/>
                  <w:noWrap/>
                  <w:vAlign w:val="center"/>
                </w:tcPr>
                <w:p w14:paraId="488A2433">
                  <w:pPr>
                    <w:pStyle w:val="39"/>
                    <w:bidi w:val="0"/>
                    <w:rPr>
                      <w:rFonts w:hint="default"/>
                      <w:b/>
                      <w:bCs/>
                    </w:rPr>
                  </w:pPr>
                  <w:r>
                    <w:rPr>
                      <w:b/>
                      <w:bCs/>
                    </w:rPr>
                    <w:t>工况</w:t>
                  </w:r>
                </w:p>
              </w:tc>
              <w:tc>
                <w:tcPr>
                  <w:tcW w:w="524" w:type="pct"/>
                  <w:vMerge w:val="restart"/>
                  <w:noWrap/>
                  <w:vAlign w:val="center"/>
                </w:tcPr>
                <w:p w14:paraId="0BA95523">
                  <w:pPr>
                    <w:pStyle w:val="39"/>
                    <w:bidi w:val="0"/>
                    <w:rPr>
                      <w:rFonts w:hint="default"/>
                      <w:b/>
                      <w:bCs/>
                    </w:rPr>
                  </w:pPr>
                  <w:r>
                    <w:rPr>
                      <w:b/>
                      <w:bCs/>
                    </w:rPr>
                    <w:t>非正常工况时间h</w:t>
                  </w:r>
                </w:p>
              </w:tc>
              <w:tc>
                <w:tcPr>
                  <w:tcW w:w="612" w:type="pct"/>
                  <w:vMerge w:val="restart"/>
                  <w:noWrap/>
                  <w:vAlign w:val="center"/>
                </w:tcPr>
                <w:p w14:paraId="0FF98F22">
                  <w:pPr>
                    <w:pStyle w:val="39"/>
                    <w:bidi w:val="0"/>
                    <w:rPr>
                      <w:rFonts w:hint="default"/>
                      <w:b/>
                      <w:bCs/>
                    </w:rPr>
                  </w:pPr>
                  <w:r>
                    <w:rPr>
                      <w:b/>
                      <w:bCs/>
                    </w:rPr>
                    <w:t>发生故障收集及处理效率</w:t>
                  </w:r>
                </w:p>
              </w:tc>
              <w:tc>
                <w:tcPr>
                  <w:tcW w:w="524" w:type="pct"/>
                  <w:vMerge w:val="restart"/>
                  <w:noWrap/>
                  <w:vAlign w:val="center"/>
                </w:tcPr>
                <w:p w14:paraId="797CF305">
                  <w:pPr>
                    <w:pStyle w:val="39"/>
                    <w:bidi w:val="0"/>
                    <w:rPr>
                      <w:rFonts w:hint="default"/>
                      <w:b/>
                      <w:bCs/>
                    </w:rPr>
                  </w:pPr>
                  <w:r>
                    <w:rPr>
                      <w:b/>
                      <w:bCs/>
                    </w:rPr>
                    <w:t>废气量m</w:t>
                  </w:r>
                  <w:r>
                    <w:rPr>
                      <w:b/>
                      <w:bCs/>
                      <w:vertAlign w:val="superscript"/>
                    </w:rPr>
                    <w:t>3</w:t>
                  </w:r>
                  <w:r>
                    <w:rPr>
                      <w:b/>
                      <w:bCs/>
                    </w:rPr>
                    <w:t>/h</w:t>
                  </w:r>
                </w:p>
              </w:tc>
              <w:tc>
                <w:tcPr>
                  <w:tcW w:w="524" w:type="pct"/>
                  <w:vMerge w:val="restart"/>
                  <w:noWrap/>
                  <w:vAlign w:val="center"/>
                </w:tcPr>
                <w:p w14:paraId="6E1DE948">
                  <w:pPr>
                    <w:pStyle w:val="39"/>
                    <w:bidi w:val="0"/>
                    <w:rPr>
                      <w:rFonts w:hint="default"/>
                      <w:b/>
                      <w:bCs/>
                    </w:rPr>
                  </w:pPr>
                  <w:r>
                    <w:rPr>
                      <w:b/>
                      <w:bCs/>
                    </w:rPr>
                    <w:t>污染物</w:t>
                  </w:r>
                </w:p>
              </w:tc>
              <w:tc>
                <w:tcPr>
                  <w:tcW w:w="2319" w:type="pct"/>
                  <w:gridSpan w:val="4"/>
                  <w:noWrap/>
                  <w:vAlign w:val="center"/>
                </w:tcPr>
                <w:p w14:paraId="25B0A825">
                  <w:pPr>
                    <w:pStyle w:val="39"/>
                    <w:bidi w:val="0"/>
                    <w:rPr>
                      <w:rFonts w:hint="default"/>
                      <w:b/>
                      <w:bCs/>
                    </w:rPr>
                  </w:pPr>
                  <w:r>
                    <w:rPr>
                      <w:b/>
                      <w:bCs/>
                    </w:rPr>
                    <w:t>有组织</w:t>
                  </w:r>
                </w:p>
              </w:tc>
            </w:tr>
            <w:tr w14:paraId="5D8A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3" w:type="pct"/>
                  <w:vMerge w:val="continue"/>
                  <w:noWrap/>
                  <w:vAlign w:val="center"/>
                </w:tcPr>
                <w:p w14:paraId="01DC0C14">
                  <w:pPr>
                    <w:pStyle w:val="39"/>
                    <w:bidi w:val="0"/>
                    <w:rPr>
                      <w:rFonts w:hint="default"/>
                      <w:b/>
                      <w:bCs/>
                    </w:rPr>
                  </w:pPr>
                </w:p>
              </w:tc>
              <w:tc>
                <w:tcPr>
                  <w:tcW w:w="524" w:type="pct"/>
                  <w:vMerge w:val="continue"/>
                  <w:noWrap/>
                  <w:vAlign w:val="center"/>
                </w:tcPr>
                <w:p w14:paraId="7F047B1B">
                  <w:pPr>
                    <w:pStyle w:val="39"/>
                    <w:bidi w:val="0"/>
                    <w:rPr>
                      <w:rFonts w:hint="default"/>
                      <w:b/>
                      <w:bCs/>
                    </w:rPr>
                  </w:pPr>
                </w:p>
              </w:tc>
              <w:tc>
                <w:tcPr>
                  <w:tcW w:w="612" w:type="pct"/>
                  <w:vMerge w:val="continue"/>
                  <w:noWrap/>
                  <w:vAlign w:val="center"/>
                </w:tcPr>
                <w:p w14:paraId="606A8934">
                  <w:pPr>
                    <w:pStyle w:val="39"/>
                    <w:bidi w:val="0"/>
                    <w:rPr>
                      <w:rFonts w:hint="default"/>
                      <w:b/>
                      <w:bCs/>
                    </w:rPr>
                  </w:pPr>
                </w:p>
              </w:tc>
              <w:tc>
                <w:tcPr>
                  <w:tcW w:w="524" w:type="pct"/>
                  <w:vMerge w:val="continue"/>
                  <w:noWrap/>
                  <w:vAlign w:val="center"/>
                </w:tcPr>
                <w:p w14:paraId="55B402C2">
                  <w:pPr>
                    <w:pStyle w:val="39"/>
                    <w:bidi w:val="0"/>
                    <w:rPr>
                      <w:rFonts w:hint="default"/>
                      <w:b/>
                      <w:bCs/>
                    </w:rPr>
                  </w:pPr>
                </w:p>
              </w:tc>
              <w:tc>
                <w:tcPr>
                  <w:tcW w:w="524" w:type="pct"/>
                  <w:vMerge w:val="continue"/>
                  <w:noWrap/>
                  <w:vAlign w:val="center"/>
                </w:tcPr>
                <w:p w14:paraId="207E3BDB">
                  <w:pPr>
                    <w:pStyle w:val="39"/>
                    <w:bidi w:val="0"/>
                    <w:rPr>
                      <w:rFonts w:hint="default"/>
                      <w:b/>
                      <w:bCs/>
                    </w:rPr>
                  </w:pPr>
                </w:p>
              </w:tc>
              <w:tc>
                <w:tcPr>
                  <w:tcW w:w="498" w:type="pct"/>
                  <w:noWrap/>
                  <w:vAlign w:val="center"/>
                </w:tcPr>
                <w:p w14:paraId="5D27E8DC">
                  <w:pPr>
                    <w:pStyle w:val="39"/>
                    <w:bidi w:val="0"/>
                    <w:rPr>
                      <w:rFonts w:hint="default"/>
                      <w:b/>
                      <w:bCs/>
                    </w:rPr>
                  </w:pPr>
                  <w:r>
                    <w:rPr>
                      <w:b/>
                      <w:bCs/>
                    </w:rPr>
                    <w:t>排放速率kg/h</w:t>
                  </w:r>
                </w:p>
              </w:tc>
              <w:tc>
                <w:tcPr>
                  <w:tcW w:w="612" w:type="pct"/>
                  <w:noWrap/>
                  <w:vAlign w:val="center"/>
                </w:tcPr>
                <w:p w14:paraId="7546C4BC">
                  <w:pPr>
                    <w:pStyle w:val="39"/>
                    <w:bidi w:val="0"/>
                    <w:rPr>
                      <w:rFonts w:hint="default"/>
                      <w:b/>
                      <w:bCs/>
                    </w:rPr>
                  </w:pPr>
                  <w:r>
                    <w:rPr>
                      <w:b/>
                      <w:bCs/>
                    </w:rPr>
                    <w:t>排放浓度mg/m</w:t>
                  </w:r>
                  <w:r>
                    <w:rPr>
                      <w:b/>
                      <w:bCs/>
                      <w:vertAlign w:val="superscript"/>
                    </w:rPr>
                    <w:t>3</w:t>
                  </w:r>
                </w:p>
              </w:tc>
              <w:tc>
                <w:tcPr>
                  <w:tcW w:w="594" w:type="pct"/>
                  <w:noWrap/>
                  <w:vAlign w:val="center"/>
                </w:tcPr>
                <w:p w14:paraId="7E0D1551">
                  <w:pPr>
                    <w:pStyle w:val="39"/>
                    <w:bidi w:val="0"/>
                    <w:rPr>
                      <w:rFonts w:hint="default"/>
                      <w:b/>
                      <w:bCs/>
                    </w:rPr>
                  </w:pPr>
                  <w:r>
                    <w:rPr>
                      <w:b/>
                      <w:bCs/>
                    </w:rPr>
                    <w:t>排放标准mg/m</w:t>
                  </w:r>
                  <w:r>
                    <w:rPr>
                      <w:b/>
                      <w:bCs/>
                      <w:vertAlign w:val="superscript"/>
                    </w:rPr>
                    <w:t>3</w:t>
                  </w:r>
                </w:p>
              </w:tc>
              <w:tc>
                <w:tcPr>
                  <w:tcW w:w="614" w:type="pct"/>
                  <w:noWrap/>
                  <w:vAlign w:val="center"/>
                </w:tcPr>
                <w:p w14:paraId="5F89CE4A">
                  <w:pPr>
                    <w:pStyle w:val="39"/>
                    <w:bidi w:val="0"/>
                    <w:rPr>
                      <w:rFonts w:hint="eastAsia" w:eastAsia="宋体"/>
                      <w:b/>
                      <w:bCs/>
                      <w:lang w:eastAsia="zh-CN"/>
                    </w:rPr>
                  </w:pPr>
                  <w:r>
                    <w:rPr>
                      <w:b/>
                      <w:bCs/>
                    </w:rPr>
                    <w:t>排放量/</w:t>
                  </w:r>
                  <w:r>
                    <w:rPr>
                      <w:rFonts w:hint="eastAsia"/>
                      <w:b/>
                      <w:bCs/>
                      <w:lang w:val="en-US" w:eastAsia="zh-CN"/>
                    </w:rPr>
                    <w:t>kg</w:t>
                  </w:r>
                </w:p>
              </w:tc>
            </w:tr>
            <w:tr w14:paraId="4739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3" w:type="pct"/>
                  <w:vMerge w:val="restart"/>
                  <w:noWrap/>
                  <w:vAlign w:val="center"/>
                </w:tcPr>
                <w:p w14:paraId="23EBA5BF">
                  <w:pPr>
                    <w:pStyle w:val="39"/>
                    <w:bidi w:val="0"/>
                    <w:rPr>
                      <w:rFonts w:hint="default"/>
                    </w:rPr>
                  </w:pPr>
                  <w:r>
                    <w:t>废气处理装置故障</w:t>
                  </w:r>
                </w:p>
              </w:tc>
              <w:tc>
                <w:tcPr>
                  <w:tcW w:w="524" w:type="pct"/>
                  <w:vMerge w:val="restart"/>
                  <w:noWrap/>
                  <w:vAlign w:val="center"/>
                </w:tcPr>
                <w:p w14:paraId="4CFFF025">
                  <w:pPr>
                    <w:pStyle w:val="39"/>
                    <w:bidi w:val="0"/>
                    <w:rPr>
                      <w:rFonts w:hint="default"/>
                    </w:rPr>
                  </w:pPr>
                  <w:r>
                    <w:t>30</w:t>
                  </w:r>
                </w:p>
              </w:tc>
              <w:tc>
                <w:tcPr>
                  <w:tcW w:w="612" w:type="pct"/>
                  <w:vMerge w:val="restart"/>
                  <w:noWrap/>
                  <w:vAlign w:val="center"/>
                </w:tcPr>
                <w:p w14:paraId="4B70F879">
                  <w:pPr>
                    <w:pStyle w:val="39"/>
                    <w:bidi w:val="0"/>
                    <w:rPr>
                      <w:rFonts w:hint="default"/>
                    </w:rPr>
                  </w:pPr>
                  <w:r>
                    <w:t>50%</w:t>
                  </w:r>
                </w:p>
              </w:tc>
              <w:tc>
                <w:tcPr>
                  <w:tcW w:w="524" w:type="pct"/>
                  <w:vMerge w:val="restart"/>
                  <w:noWrap/>
                  <w:vAlign w:val="center"/>
                </w:tcPr>
                <w:p w14:paraId="5FC217EA">
                  <w:pPr>
                    <w:pStyle w:val="39"/>
                    <w:bidi w:val="0"/>
                    <w:rPr>
                      <w:rFonts w:hint="default"/>
                      <w:lang w:val="en-US" w:eastAsia="zh-CN"/>
                    </w:rPr>
                  </w:pPr>
                  <w:r>
                    <w:rPr>
                      <w:rFonts w:hint="eastAsia"/>
                      <w:lang w:val="en-US" w:eastAsia="zh-CN"/>
                    </w:rPr>
                    <w:t>5000</w:t>
                  </w:r>
                </w:p>
              </w:tc>
              <w:tc>
                <w:tcPr>
                  <w:tcW w:w="524" w:type="pct"/>
                  <w:noWrap/>
                  <w:vAlign w:val="center"/>
                </w:tcPr>
                <w:p w14:paraId="261DA7EC">
                  <w:pPr>
                    <w:pStyle w:val="39"/>
                    <w:bidi w:val="0"/>
                    <w:rPr>
                      <w:rFonts w:hint="eastAsia" w:eastAsia="宋体"/>
                      <w:lang w:eastAsia="zh-CN"/>
                    </w:rPr>
                  </w:pPr>
                  <w:r>
                    <w:rPr>
                      <w:rFonts w:hint="eastAsia"/>
                      <w:lang w:val="en-US" w:eastAsia="zh-CN"/>
                    </w:rPr>
                    <w:t>氨</w:t>
                  </w:r>
                </w:p>
              </w:tc>
              <w:tc>
                <w:tcPr>
                  <w:tcW w:w="498" w:type="pct"/>
                  <w:noWrap/>
                  <w:vAlign w:val="center"/>
                </w:tcPr>
                <w:p w14:paraId="730E0D93">
                  <w:pPr>
                    <w:pStyle w:val="39"/>
                    <w:bidi w:val="0"/>
                    <w:rPr>
                      <w:rFonts w:hint="default" w:eastAsia="宋体"/>
                      <w:lang w:val="en-US" w:eastAsia="zh-CN"/>
                    </w:rPr>
                  </w:pPr>
                  <w:r>
                    <w:rPr>
                      <w:rFonts w:hint="eastAsia"/>
                      <w:lang w:val="en-US" w:eastAsia="zh-CN"/>
                    </w:rPr>
                    <w:t>0.0007</w:t>
                  </w:r>
                </w:p>
              </w:tc>
              <w:tc>
                <w:tcPr>
                  <w:tcW w:w="612" w:type="pct"/>
                  <w:noWrap/>
                  <w:vAlign w:val="center"/>
                </w:tcPr>
                <w:p w14:paraId="644B6ADE">
                  <w:pPr>
                    <w:pStyle w:val="39"/>
                    <w:bidi w:val="0"/>
                    <w:rPr>
                      <w:rFonts w:hint="default"/>
                      <w:lang w:val="en-US" w:eastAsia="zh-CN"/>
                    </w:rPr>
                  </w:pPr>
                  <w:r>
                    <w:rPr>
                      <w:rFonts w:hint="eastAsia"/>
                      <w:lang w:val="en-US" w:eastAsia="zh-CN"/>
                    </w:rPr>
                    <w:t>0.413</w:t>
                  </w:r>
                </w:p>
              </w:tc>
              <w:tc>
                <w:tcPr>
                  <w:tcW w:w="594" w:type="pct"/>
                  <w:noWrap/>
                  <w:vAlign w:val="center"/>
                </w:tcPr>
                <w:p w14:paraId="2BF038FC">
                  <w:pPr>
                    <w:pStyle w:val="39"/>
                    <w:bidi w:val="0"/>
                    <w:rPr>
                      <w:rFonts w:hint="default"/>
                      <w:lang w:val="en-US" w:eastAsia="zh-CN"/>
                    </w:rPr>
                  </w:pPr>
                  <w:r>
                    <w:rPr>
                      <w:rFonts w:hint="eastAsia"/>
                      <w:lang w:val="en-US" w:eastAsia="zh-CN"/>
                    </w:rPr>
                    <w:t>/</w:t>
                  </w:r>
                </w:p>
              </w:tc>
              <w:tc>
                <w:tcPr>
                  <w:tcW w:w="614" w:type="pct"/>
                  <w:noWrap/>
                  <w:vAlign w:val="center"/>
                </w:tcPr>
                <w:p w14:paraId="77B70251">
                  <w:pPr>
                    <w:pStyle w:val="39"/>
                    <w:bidi w:val="0"/>
                    <w:rPr>
                      <w:rFonts w:hint="default"/>
                      <w:lang w:val="en-US" w:eastAsia="zh-CN"/>
                    </w:rPr>
                  </w:pPr>
                  <w:r>
                    <w:rPr>
                      <w:rFonts w:hint="eastAsia"/>
                      <w:lang w:val="en-US" w:eastAsia="zh-CN"/>
                    </w:rPr>
                    <w:t>0.0214</w:t>
                  </w:r>
                </w:p>
              </w:tc>
            </w:tr>
            <w:tr w14:paraId="63B6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3" w:type="pct"/>
                  <w:vMerge w:val="continue"/>
                  <w:noWrap/>
                  <w:vAlign w:val="center"/>
                </w:tcPr>
                <w:p w14:paraId="7AF289F3">
                  <w:pPr>
                    <w:pStyle w:val="39"/>
                    <w:bidi w:val="0"/>
                  </w:pPr>
                </w:p>
              </w:tc>
              <w:tc>
                <w:tcPr>
                  <w:tcW w:w="524" w:type="pct"/>
                  <w:vMerge w:val="continue"/>
                  <w:noWrap/>
                  <w:vAlign w:val="center"/>
                </w:tcPr>
                <w:p w14:paraId="70160E75">
                  <w:pPr>
                    <w:pStyle w:val="39"/>
                    <w:bidi w:val="0"/>
                  </w:pPr>
                </w:p>
              </w:tc>
              <w:tc>
                <w:tcPr>
                  <w:tcW w:w="612" w:type="pct"/>
                  <w:vMerge w:val="continue"/>
                  <w:noWrap/>
                  <w:vAlign w:val="center"/>
                </w:tcPr>
                <w:p w14:paraId="777C467F">
                  <w:pPr>
                    <w:pStyle w:val="39"/>
                    <w:bidi w:val="0"/>
                  </w:pPr>
                </w:p>
              </w:tc>
              <w:tc>
                <w:tcPr>
                  <w:tcW w:w="524" w:type="pct"/>
                  <w:vMerge w:val="continue"/>
                  <w:noWrap/>
                  <w:vAlign w:val="center"/>
                </w:tcPr>
                <w:p w14:paraId="077D2EFB">
                  <w:pPr>
                    <w:pStyle w:val="39"/>
                    <w:bidi w:val="0"/>
                    <w:rPr>
                      <w:rFonts w:hint="eastAsia"/>
                      <w:lang w:val="en-US" w:eastAsia="zh-CN"/>
                    </w:rPr>
                  </w:pPr>
                </w:p>
              </w:tc>
              <w:tc>
                <w:tcPr>
                  <w:tcW w:w="524" w:type="pct"/>
                  <w:noWrap/>
                  <w:vAlign w:val="center"/>
                </w:tcPr>
                <w:p w14:paraId="1B48AFAD">
                  <w:pPr>
                    <w:pStyle w:val="39"/>
                    <w:bidi w:val="0"/>
                    <w:rPr>
                      <w:rFonts w:hint="default"/>
                      <w:lang w:val="en-US" w:eastAsia="zh-CN"/>
                    </w:rPr>
                  </w:pPr>
                  <w:r>
                    <w:rPr>
                      <w:rFonts w:hint="eastAsia"/>
                      <w:lang w:val="en-US" w:eastAsia="zh-CN"/>
                    </w:rPr>
                    <w:t>硫化氢</w:t>
                  </w:r>
                </w:p>
              </w:tc>
              <w:tc>
                <w:tcPr>
                  <w:tcW w:w="498" w:type="pct"/>
                  <w:noWrap/>
                  <w:vAlign w:val="center"/>
                </w:tcPr>
                <w:p w14:paraId="24BE4981">
                  <w:pPr>
                    <w:pStyle w:val="39"/>
                    <w:bidi w:val="0"/>
                    <w:rPr>
                      <w:rFonts w:hint="default" w:eastAsia="宋体"/>
                      <w:lang w:val="en-US" w:eastAsia="zh-CN"/>
                    </w:rPr>
                  </w:pPr>
                  <w:r>
                    <w:rPr>
                      <w:rFonts w:hint="eastAsia"/>
                      <w:lang w:val="en-US" w:eastAsia="zh-CN"/>
                    </w:rPr>
                    <w:t>0.000025</w:t>
                  </w:r>
                </w:p>
              </w:tc>
              <w:tc>
                <w:tcPr>
                  <w:tcW w:w="612" w:type="pct"/>
                  <w:noWrap/>
                  <w:vAlign w:val="center"/>
                </w:tcPr>
                <w:p w14:paraId="48C637CF">
                  <w:pPr>
                    <w:pStyle w:val="39"/>
                    <w:bidi w:val="0"/>
                    <w:rPr>
                      <w:rFonts w:hint="default"/>
                      <w:lang w:val="en-US" w:eastAsia="zh-CN"/>
                    </w:rPr>
                  </w:pPr>
                  <w:r>
                    <w:rPr>
                      <w:rFonts w:hint="eastAsia"/>
                      <w:lang w:val="en-US" w:eastAsia="zh-CN"/>
                    </w:rPr>
                    <w:t>0.005</w:t>
                  </w:r>
                </w:p>
              </w:tc>
              <w:tc>
                <w:tcPr>
                  <w:tcW w:w="594" w:type="pct"/>
                  <w:noWrap/>
                  <w:vAlign w:val="center"/>
                </w:tcPr>
                <w:p w14:paraId="69A68A1A">
                  <w:pPr>
                    <w:pStyle w:val="39"/>
                    <w:bidi w:val="0"/>
                    <w:rPr>
                      <w:rFonts w:hint="default"/>
                      <w:lang w:val="en-US" w:eastAsia="zh-CN"/>
                    </w:rPr>
                  </w:pPr>
                  <w:r>
                    <w:rPr>
                      <w:rFonts w:hint="eastAsia"/>
                      <w:lang w:val="en-US" w:eastAsia="zh-CN"/>
                    </w:rPr>
                    <w:t>/</w:t>
                  </w:r>
                </w:p>
              </w:tc>
              <w:tc>
                <w:tcPr>
                  <w:tcW w:w="614" w:type="pct"/>
                  <w:noWrap/>
                  <w:vAlign w:val="center"/>
                </w:tcPr>
                <w:p w14:paraId="107A3A68">
                  <w:pPr>
                    <w:pStyle w:val="39"/>
                    <w:bidi w:val="0"/>
                    <w:rPr>
                      <w:rFonts w:hint="default"/>
                      <w:lang w:val="en-US" w:eastAsia="zh-CN"/>
                    </w:rPr>
                  </w:pPr>
                  <w:r>
                    <w:rPr>
                      <w:rFonts w:hint="eastAsia"/>
                      <w:lang w:val="en-US" w:eastAsia="zh-CN"/>
                    </w:rPr>
                    <w:t>0.00075</w:t>
                  </w:r>
                </w:p>
              </w:tc>
            </w:tr>
          </w:tbl>
          <w:p w14:paraId="4E07E91D">
            <w:pPr>
              <w:ind w:firstLine="482"/>
              <w:jc w:val="both"/>
              <w:rPr>
                <w:rFonts w:hint="eastAsia" w:eastAsia="宋体"/>
                <w:b/>
                <w:bCs/>
                <w:lang w:eastAsia="zh-CN"/>
              </w:rPr>
            </w:pPr>
            <w:r>
              <w:rPr>
                <w:rFonts w:hint="eastAsia"/>
                <w:b/>
                <w:bCs/>
              </w:rPr>
              <w:t>（2）非正常工况防范措施</w:t>
            </w:r>
          </w:p>
          <w:p w14:paraId="689B9371">
            <w:pPr>
              <w:ind w:firstLine="480"/>
              <w:jc w:val="both"/>
            </w:pPr>
            <w:r>
              <w:rPr>
                <w:rFonts w:hint="eastAsia"/>
              </w:rPr>
              <w:t>为确保项目废气处理装置正常运行，建设方在日常运行过程中，拟采取如下措施：</w:t>
            </w:r>
          </w:p>
          <w:p w14:paraId="016BDDEF">
            <w:pPr>
              <w:ind w:firstLine="480"/>
              <w:jc w:val="both"/>
            </w:pPr>
            <w:r>
              <w:rPr>
                <w:rFonts w:hint="eastAsia"/>
              </w:rPr>
              <w:t>①由公司委派专人负责每日巡检废气收集及处理装置，做好巡检记录。</w:t>
            </w:r>
          </w:p>
          <w:p w14:paraId="36D0B20F">
            <w:pPr>
              <w:ind w:firstLine="480"/>
              <w:jc w:val="both"/>
            </w:pPr>
            <w:r>
              <w:rPr>
                <w:rFonts w:hint="eastAsia"/>
              </w:rPr>
              <w:t>②当发现废气收集及处理设施故障并导致废气非正常排放时，应立即停止废气产生工序，待废气处理装置故障排除后并可正常运行时方可恢复相关生产。</w:t>
            </w:r>
          </w:p>
          <w:p w14:paraId="6657BC7B">
            <w:pPr>
              <w:ind w:firstLine="480"/>
              <w:jc w:val="both"/>
              <w:rPr>
                <w:rFonts w:hint="eastAsia" w:eastAsia="宋体"/>
                <w:lang w:eastAsia="zh-CN"/>
              </w:rPr>
            </w:pPr>
            <w:r>
              <w:rPr>
                <w:rFonts w:hint="eastAsia"/>
              </w:rPr>
              <w:t>③定期对废气处理装置进行维护保养，以减少废气的非正常排放。</w:t>
            </w:r>
          </w:p>
          <w:p w14:paraId="75F62484">
            <w:pPr>
              <w:ind w:firstLine="480"/>
              <w:jc w:val="both"/>
              <w:rPr>
                <w:rFonts w:hint="eastAsia"/>
              </w:rPr>
            </w:pPr>
            <w:r>
              <w:rPr>
                <w:rFonts w:hint="eastAsia"/>
              </w:rPr>
              <w:t>④建立废气处理装置运行管理台账，由专人负责记录。</w:t>
            </w:r>
          </w:p>
          <w:p w14:paraId="422F6536">
            <w:pPr>
              <w:ind w:firstLine="480"/>
              <w:jc w:val="both"/>
              <w:rPr>
                <w:rFonts w:hint="default" w:eastAsia="宋体"/>
                <w:lang w:val="en-US" w:eastAsia="zh-CN"/>
              </w:rPr>
            </w:pPr>
            <w:r>
              <w:rPr>
                <w:rFonts w:hint="eastAsia"/>
                <w:lang w:val="en-US" w:eastAsia="zh-CN"/>
              </w:rPr>
              <w:t>⑤定期进行活性炭的更换。</w:t>
            </w:r>
          </w:p>
          <w:p w14:paraId="19199AFE">
            <w:pPr>
              <w:ind w:firstLine="482"/>
              <w:jc w:val="both"/>
              <w:rPr>
                <w:b/>
                <w:bCs/>
              </w:rPr>
            </w:pPr>
            <w:r>
              <w:rPr>
                <w:rFonts w:hint="eastAsia"/>
                <w:b/>
                <w:bCs/>
                <w:lang w:val="en-US" w:eastAsia="zh-CN"/>
              </w:rPr>
              <w:t>4</w:t>
            </w:r>
            <w:r>
              <w:rPr>
                <w:rFonts w:hint="eastAsia"/>
                <w:b/>
                <w:bCs/>
              </w:rPr>
              <w:t>、</w:t>
            </w:r>
            <w:r>
              <w:rPr>
                <w:b/>
                <w:bCs/>
              </w:rPr>
              <w:t>大气环境影响分析结论</w:t>
            </w:r>
          </w:p>
          <w:p w14:paraId="575E83D7">
            <w:pPr>
              <w:ind w:firstLine="480"/>
              <w:jc w:val="both"/>
            </w:pPr>
            <w:r>
              <w:rPr>
                <w:rFonts w:hint="eastAsia"/>
              </w:rPr>
              <w:t>根据大气环境现状分析，项目所在区域各基本污染物（除</w:t>
            </w:r>
            <w:r>
              <w:t>PM</w:t>
            </w:r>
            <w:r>
              <w:rPr>
                <w:vertAlign w:val="subscript"/>
              </w:rPr>
              <w:t>2.5</w:t>
            </w:r>
            <w:r>
              <w:rPr>
                <w:rFonts w:hint="eastAsia"/>
              </w:rPr>
              <w:t>）质量浓度均满足《环境空气质量标准》（GB3095-2012）中的二级标准要求，项目地所在区域为环境空气质量不达标区。</w:t>
            </w:r>
          </w:p>
          <w:p w14:paraId="3640C6C7">
            <w:pPr>
              <w:ind w:firstLine="480"/>
              <w:jc w:val="both"/>
              <w:rPr>
                <w:rFonts w:hint="eastAsia"/>
                <w:lang w:val="en-US" w:eastAsia="zh-CN"/>
              </w:rPr>
            </w:pPr>
            <w:r>
              <w:rPr>
                <w:color w:val="auto"/>
              </w:rPr>
              <w:t>经核算，本项目建成所产生污染物：</w:t>
            </w:r>
            <w:r>
              <w:rPr>
                <w:rFonts w:hint="eastAsia"/>
                <w:lang w:val="en-US" w:eastAsia="zh-CN"/>
              </w:rPr>
              <w:t>污水处理站氨、硫化氢、臭气浓度经处理后满足</w:t>
            </w:r>
            <w:r>
              <w:rPr>
                <w:rFonts w:hint="eastAsia"/>
                <w:color w:val="auto"/>
                <w:spacing w:val="1"/>
                <w:sz w:val="24"/>
                <w:szCs w:val="24"/>
                <w:lang w:val="en-US" w:eastAsia="zh-CN"/>
              </w:rPr>
              <w:t>《恶臭污染物排放标准》（GB14554-93）中的二级标准，项目污水站产生的无组织氨、硫化氢、氯气、甲烷、臭气浓度满足《医疗机构水污染物排放标准》（GB18466-2005）中“污水处理站周边大气污染物最高允许浓度”要求。</w:t>
            </w:r>
            <w:r>
              <w:rPr>
                <w:rFonts w:hint="default"/>
                <w:lang w:val="en-US" w:eastAsia="zh-CN"/>
              </w:rPr>
              <w:t>油烟</w:t>
            </w:r>
            <w:r>
              <w:rPr>
                <w:rFonts w:hint="eastAsia"/>
                <w:lang w:val="en-US" w:eastAsia="zh-CN"/>
              </w:rPr>
              <w:t>满足</w:t>
            </w:r>
            <w:r>
              <w:rPr>
                <w:rFonts w:hint="default"/>
                <w:lang w:val="en-US" w:eastAsia="zh-CN"/>
              </w:rPr>
              <w:t>《饮食业油烟排放标准》(GB18483-2001)</w:t>
            </w:r>
            <w:r>
              <w:rPr>
                <w:rFonts w:hint="eastAsia"/>
                <w:lang w:val="en-US" w:eastAsia="zh-CN"/>
              </w:rPr>
              <w:t>。</w:t>
            </w:r>
          </w:p>
          <w:p w14:paraId="5432C346">
            <w:pPr>
              <w:ind w:firstLine="480"/>
              <w:jc w:val="both"/>
              <w:rPr>
                <w:rFonts w:hint="default"/>
                <w:lang w:val="en-US" w:eastAsia="zh-CN"/>
              </w:rPr>
            </w:pPr>
            <w:r>
              <w:t>综上分析，本项目运营期废气排放对区域环境空气质量以及周边敏感点的影响不大。</w:t>
            </w:r>
          </w:p>
        </w:tc>
      </w:tr>
      <w:tr w14:paraId="54DB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2497B30">
            <w:pPr>
              <w:jc w:val="both"/>
              <w:rPr>
                <w:vertAlign w:val="baseline"/>
              </w:rPr>
            </w:pPr>
          </w:p>
        </w:tc>
        <w:tc>
          <w:tcPr>
            <w:tcW w:w="8810" w:type="dxa"/>
          </w:tcPr>
          <w:p w14:paraId="5EC43788">
            <w:pPr>
              <w:bidi w:val="0"/>
              <w:jc w:val="both"/>
              <w:rPr>
                <w:rFonts w:hint="eastAsia"/>
                <w:color w:val="auto"/>
                <w:lang w:val="en-US" w:eastAsia="zh-CN"/>
              </w:rPr>
            </w:pPr>
            <w:r>
              <w:rPr>
                <w:rFonts w:hint="eastAsia"/>
                <w:b/>
                <w:bCs/>
                <w:color w:val="auto"/>
                <w:lang w:val="en-US" w:eastAsia="zh-CN"/>
              </w:rPr>
              <w:t>二、</w:t>
            </w:r>
            <w:r>
              <w:rPr>
                <w:rFonts w:hint="eastAsia"/>
                <w:b/>
                <w:bCs/>
                <w:color w:val="auto"/>
              </w:rPr>
              <w:t>废水</w:t>
            </w:r>
          </w:p>
          <w:p w14:paraId="32695890">
            <w:pPr>
              <w:bidi w:val="0"/>
              <w:jc w:val="both"/>
              <w:rPr>
                <w:rFonts w:hint="eastAsia"/>
                <w:b/>
                <w:bCs/>
                <w:color w:val="auto"/>
                <w:lang w:val="en-US" w:eastAsia="zh-CN"/>
              </w:rPr>
            </w:pPr>
            <w:r>
              <w:rPr>
                <w:rFonts w:hint="eastAsia"/>
                <w:b/>
                <w:bCs/>
                <w:color w:val="auto"/>
                <w:lang w:val="en-US" w:eastAsia="zh-CN"/>
              </w:rPr>
              <w:t>1、废水源强核算</w:t>
            </w:r>
          </w:p>
          <w:p w14:paraId="1C93AD2E">
            <w:pPr>
              <w:bidi w:val="0"/>
              <w:jc w:val="both"/>
              <w:rPr>
                <w:rFonts w:hint="eastAsia"/>
                <w:lang w:val="en-US" w:eastAsia="zh-CN"/>
              </w:rPr>
            </w:pPr>
            <w:r>
              <w:rPr>
                <w:rFonts w:hint="eastAsia"/>
                <w:color w:val="auto"/>
                <w:lang w:val="en-US" w:eastAsia="zh-CN"/>
              </w:rPr>
              <w:t>本项目废水主要</w:t>
            </w:r>
            <w:r>
              <w:rPr>
                <w:rFonts w:hint="eastAsia"/>
                <w:lang w:val="en-US" w:eastAsia="zh-CN"/>
              </w:rPr>
              <w:t>门诊用水、病床用水、职工用水、食堂废水、清洁用水及未预见用水。本项目污水处理方案：</w:t>
            </w:r>
          </w:p>
          <w:p w14:paraId="10F141BE">
            <w:pPr>
              <w:pStyle w:val="9"/>
              <w:jc w:val="both"/>
              <w:rPr>
                <w:rFonts w:hint="eastAsia"/>
                <w:lang w:val="en-US" w:eastAsia="zh-CN"/>
              </w:rPr>
            </w:pPr>
            <w:r>
              <w:rPr>
                <w:rFonts w:hint="eastAsia"/>
                <w:lang w:val="en-US" w:eastAsia="zh-CN"/>
              </w:rPr>
              <w:t>①雨污分流。雨水经雨水管网排入市政雨水管网。污水经预处理后进入污水处理站。</w:t>
            </w:r>
          </w:p>
          <w:p w14:paraId="0D5AA59A">
            <w:pPr>
              <w:jc w:val="both"/>
              <w:rPr>
                <w:rFonts w:hint="default"/>
                <w:lang w:val="en-US" w:eastAsia="zh-CN"/>
              </w:rPr>
            </w:pPr>
            <w:r>
              <w:rPr>
                <w:rFonts w:hint="eastAsia"/>
                <w:lang w:val="en-US" w:eastAsia="zh-CN"/>
              </w:rPr>
              <w:t>②分质处理。项目食堂废水经隔油池单独收集处理后与门诊用水、病床用水、职工用水一同进入化粪池处理后进入污水处理站。</w:t>
            </w:r>
          </w:p>
          <w:p w14:paraId="0A7C3989">
            <w:pPr>
              <w:bidi w:val="0"/>
              <w:jc w:val="both"/>
              <w:rPr>
                <w:rFonts w:hint="eastAsia"/>
                <w:lang w:val="en-US" w:eastAsia="zh-CN"/>
              </w:rPr>
            </w:pPr>
            <w:r>
              <w:rPr>
                <w:rFonts w:hint="eastAsia"/>
                <w:lang w:val="en-US" w:eastAsia="zh-CN"/>
              </w:rPr>
              <w:t>根据给排水计算可知，本项目废水排放量为87.9336m³/d（32095.764m³/a），参照《医院污水处理工程技术规范》(HJ2029-2013)“医院污水水质指标参考数据(表1)”，项目综合废水中的主要污染物及其含量一般为 CODcr：150-300mg/L，NH3-N：10-50mg/L，BOD5：80-150mg/L，SS:40~120mg/L，类大肠菌群:1.0×10</w:t>
            </w:r>
            <w:r>
              <w:rPr>
                <w:rFonts w:hint="eastAsia"/>
                <w:vertAlign w:val="superscript"/>
                <w:lang w:val="en-US" w:eastAsia="zh-CN"/>
              </w:rPr>
              <w:t>6</w:t>
            </w:r>
            <w:r>
              <w:rPr>
                <w:rFonts w:hint="eastAsia"/>
                <w:lang w:val="en-US" w:eastAsia="zh-CN"/>
              </w:rPr>
              <w:t>-3.0×10</w:t>
            </w:r>
            <w:r>
              <w:rPr>
                <w:rFonts w:hint="eastAsia"/>
                <w:vertAlign w:val="superscript"/>
                <w:lang w:val="en-US" w:eastAsia="zh-CN"/>
              </w:rPr>
              <w:t>8</w:t>
            </w:r>
            <w:r>
              <w:rPr>
                <w:rFonts w:hint="eastAsia"/>
                <w:lang w:val="en-US" w:eastAsia="zh-CN"/>
              </w:rPr>
              <w:t>个/L。本次评价过程取最大值评价，则本项目废水污染源相关参数详见下表。</w:t>
            </w:r>
          </w:p>
          <w:p w14:paraId="2955B9DF">
            <w:pPr>
              <w:pStyle w:val="27"/>
              <w:bidi w:val="0"/>
              <w:rPr>
                <w:rFonts w:hint="default" w:eastAsia="宋体"/>
                <w:lang w:val="en-US" w:eastAsia="zh-CN"/>
              </w:rPr>
            </w:pPr>
            <w:r>
              <w:rPr>
                <w:rFonts w:hint="eastAsia"/>
              </w:rPr>
              <w:t>表4-</w:t>
            </w:r>
            <w:r>
              <w:rPr>
                <w:rFonts w:hint="eastAsia"/>
                <w:lang w:val="en-US" w:eastAsia="zh-CN"/>
              </w:rPr>
              <w:t>10</w:t>
            </w:r>
            <w:r>
              <w:rPr>
                <w:rFonts w:hint="eastAsia"/>
              </w:rPr>
              <w:t xml:space="preserve"> </w:t>
            </w:r>
            <w:r>
              <w:rPr>
                <w:rFonts w:hint="eastAsia"/>
                <w:lang w:val="en-US" w:eastAsia="zh-CN"/>
              </w:rPr>
              <w:t xml:space="preserve"> </w:t>
            </w:r>
            <w:r>
              <w:rPr>
                <w:rFonts w:hint="eastAsia"/>
              </w:rPr>
              <w:t>项目</w:t>
            </w:r>
            <w:r>
              <w:rPr>
                <w:rFonts w:hint="eastAsia"/>
                <w:lang w:val="en-US" w:eastAsia="zh-CN"/>
              </w:rPr>
              <w:t>废水产生情况一览表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184"/>
              <w:gridCol w:w="1550"/>
              <w:gridCol w:w="1297"/>
              <w:gridCol w:w="953"/>
              <w:gridCol w:w="953"/>
              <w:gridCol w:w="1431"/>
            </w:tblGrid>
            <w:tr w14:paraId="05C0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05" w:type="pct"/>
                  <w:vMerge w:val="restart"/>
                  <w:vAlign w:val="center"/>
                </w:tcPr>
                <w:p w14:paraId="6C420620">
                  <w:pPr>
                    <w:pStyle w:val="32"/>
                    <w:bidi w:val="0"/>
                    <w:jc w:val="center"/>
                    <w:rPr>
                      <w:rFonts w:hint="default"/>
                      <w:b/>
                      <w:bCs/>
                      <w:lang w:val="en-US" w:eastAsia="zh-CN"/>
                    </w:rPr>
                  </w:pPr>
                  <w:r>
                    <w:rPr>
                      <w:rFonts w:hint="eastAsia"/>
                      <w:b/>
                      <w:bCs/>
                      <w:lang w:val="en-US" w:eastAsia="zh-CN"/>
                    </w:rPr>
                    <w:t>废水类别</w:t>
                  </w:r>
                </w:p>
              </w:tc>
              <w:tc>
                <w:tcPr>
                  <w:tcW w:w="690" w:type="pct"/>
                  <w:vMerge w:val="restart"/>
                  <w:vAlign w:val="center"/>
                </w:tcPr>
                <w:p w14:paraId="29A7C143">
                  <w:pPr>
                    <w:pStyle w:val="32"/>
                    <w:bidi w:val="0"/>
                    <w:jc w:val="center"/>
                    <w:rPr>
                      <w:rFonts w:hint="default"/>
                      <w:b/>
                      <w:bCs/>
                      <w:lang w:val="en-US" w:eastAsia="zh-CN"/>
                    </w:rPr>
                  </w:pPr>
                  <w:r>
                    <w:rPr>
                      <w:rFonts w:hint="eastAsia"/>
                      <w:b/>
                      <w:bCs/>
                      <w:lang w:val="en-US" w:eastAsia="zh-CN"/>
                    </w:rPr>
                    <w:t>废水量t/a</w:t>
                  </w:r>
                </w:p>
              </w:tc>
              <w:tc>
                <w:tcPr>
                  <w:tcW w:w="903" w:type="pct"/>
                  <w:vMerge w:val="restart"/>
                  <w:vAlign w:val="center"/>
                </w:tcPr>
                <w:p w14:paraId="541EBD4E">
                  <w:pPr>
                    <w:pStyle w:val="32"/>
                    <w:bidi w:val="0"/>
                    <w:jc w:val="center"/>
                    <w:rPr>
                      <w:rFonts w:hint="default"/>
                      <w:b/>
                      <w:bCs/>
                      <w:lang w:val="en-US" w:eastAsia="zh-CN"/>
                    </w:rPr>
                  </w:pPr>
                  <w:r>
                    <w:rPr>
                      <w:rFonts w:hint="eastAsia"/>
                      <w:b/>
                      <w:bCs/>
                      <w:lang w:val="en-US" w:eastAsia="zh-CN"/>
                    </w:rPr>
                    <w:t>污染物名称</w:t>
                  </w:r>
                </w:p>
              </w:tc>
              <w:tc>
                <w:tcPr>
                  <w:tcW w:w="1311" w:type="pct"/>
                  <w:gridSpan w:val="2"/>
                  <w:vAlign w:val="center"/>
                </w:tcPr>
                <w:p w14:paraId="57A7095F">
                  <w:pPr>
                    <w:pStyle w:val="32"/>
                    <w:bidi w:val="0"/>
                    <w:jc w:val="center"/>
                    <w:rPr>
                      <w:rFonts w:hint="eastAsia"/>
                      <w:b/>
                      <w:bCs/>
                      <w:lang w:val="en-US" w:eastAsia="zh-CN"/>
                    </w:rPr>
                  </w:pPr>
                  <w:r>
                    <w:rPr>
                      <w:rFonts w:hint="eastAsia"/>
                      <w:b/>
                      <w:bCs/>
                      <w:lang w:val="en-US" w:eastAsia="zh-CN"/>
                    </w:rPr>
                    <w:t>产生浓度和产生量</w:t>
                  </w:r>
                </w:p>
              </w:tc>
              <w:tc>
                <w:tcPr>
                  <w:tcW w:w="555" w:type="pct"/>
                  <w:vMerge w:val="restart"/>
                  <w:vAlign w:val="center"/>
                </w:tcPr>
                <w:p w14:paraId="2FBC7B17">
                  <w:pPr>
                    <w:pStyle w:val="32"/>
                    <w:bidi w:val="0"/>
                    <w:jc w:val="center"/>
                    <w:rPr>
                      <w:rFonts w:hint="default"/>
                      <w:b/>
                      <w:bCs/>
                      <w:lang w:val="en-US" w:eastAsia="zh-CN"/>
                    </w:rPr>
                  </w:pPr>
                  <w:r>
                    <w:rPr>
                      <w:rFonts w:hint="eastAsia"/>
                      <w:b/>
                      <w:bCs/>
                      <w:lang w:val="en-US" w:eastAsia="zh-CN"/>
                    </w:rPr>
                    <w:t>治理措施</w:t>
                  </w:r>
                </w:p>
              </w:tc>
              <w:tc>
                <w:tcPr>
                  <w:tcW w:w="834" w:type="pct"/>
                  <w:vMerge w:val="restart"/>
                  <w:vAlign w:val="center"/>
                </w:tcPr>
                <w:p w14:paraId="7CC22E84">
                  <w:pPr>
                    <w:pStyle w:val="32"/>
                    <w:bidi w:val="0"/>
                    <w:jc w:val="center"/>
                    <w:rPr>
                      <w:rFonts w:hint="default"/>
                      <w:b/>
                      <w:bCs/>
                      <w:lang w:val="en-US" w:eastAsia="zh-CN"/>
                    </w:rPr>
                  </w:pPr>
                  <w:r>
                    <w:rPr>
                      <w:rFonts w:hint="eastAsia"/>
                      <w:b/>
                      <w:bCs/>
                      <w:lang w:val="en-US" w:eastAsia="zh-CN"/>
                    </w:rPr>
                    <w:t>排放去向</w:t>
                  </w:r>
                </w:p>
              </w:tc>
            </w:tr>
            <w:tr w14:paraId="4567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Merge w:val="continue"/>
                  <w:vAlign w:val="center"/>
                </w:tcPr>
                <w:p w14:paraId="69EB00AC">
                  <w:pPr>
                    <w:pStyle w:val="32"/>
                    <w:bidi w:val="0"/>
                    <w:jc w:val="center"/>
                    <w:rPr>
                      <w:rFonts w:hint="default"/>
                      <w:lang w:val="en-US" w:eastAsia="zh-CN"/>
                    </w:rPr>
                  </w:pPr>
                </w:p>
              </w:tc>
              <w:tc>
                <w:tcPr>
                  <w:tcW w:w="690" w:type="pct"/>
                  <w:vMerge w:val="continue"/>
                  <w:vAlign w:val="center"/>
                </w:tcPr>
                <w:p w14:paraId="05516487">
                  <w:pPr>
                    <w:pStyle w:val="32"/>
                    <w:bidi w:val="0"/>
                    <w:jc w:val="center"/>
                    <w:rPr>
                      <w:rFonts w:hint="default"/>
                      <w:lang w:val="en-US" w:eastAsia="zh-CN"/>
                    </w:rPr>
                  </w:pPr>
                </w:p>
              </w:tc>
              <w:tc>
                <w:tcPr>
                  <w:tcW w:w="903" w:type="pct"/>
                  <w:vMerge w:val="continue"/>
                  <w:vAlign w:val="center"/>
                </w:tcPr>
                <w:p w14:paraId="29EB2FA7">
                  <w:pPr>
                    <w:pStyle w:val="32"/>
                    <w:bidi w:val="0"/>
                    <w:jc w:val="center"/>
                    <w:rPr>
                      <w:rFonts w:hint="default"/>
                      <w:lang w:val="en-US" w:eastAsia="zh-CN"/>
                    </w:rPr>
                  </w:pPr>
                </w:p>
              </w:tc>
              <w:tc>
                <w:tcPr>
                  <w:tcW w:w="755" w:type="pct"/>
                  <w:vAlign w:val="center"/>
                </w:tcPr>
                <w:p w14:paraId="1ED65106">
                  <w:pPr>
                    <w:pStyle w:val="32"/>
                    <w:bidi w:val="0"/>
                    <w:jc w:val="center"/>
                    <w:rPr>
                      <w:rFonts w:hint="default"/>
                      <w:b/>
                      <w:bCs/>
                      <w:lang w:val="en-US" w:eastAsia="zh-CN"/>
                    </w:rPr>
                  </w:pPr>
                  <w:r>
                    <w:rPr>
                      <w:rFonts w:hint="eastAsia"/>
                      <w:b/>
                      <w:bCs/>
                      <w:lang w:val="en-US" w:eastAsia="zh-CN"/>
                    </w:rPr>
                    <w:t>mg/L</w:t>
                  </w:r>
                </w:p>
              </w:tc>
              <w:tc>
                <w:tcPr>
                  <w:tcW w:w="555" w:type="pct"/>
                  <w:vAlign w:val="center"/>
                </w:tcPr>
                <w:p w14:paraId="5E0B60BB">
                  <w:pPr>
                    <w:pStyle w:val="32"/>
                    <w:bidi w:val="0"/>
                    <w:jc w:val="center"/>
                    <w:rPr>
                      <w:rFonts w:hint="default"/>
                      <w:b/>
                      <w:bCs/>
                      <w:lang w:val="en-US" w:eastAsia="zh-CN"/>
                    </w:rPr>
                  </w:pPr>
                  <w:r>
                    <w:rPr>
                      <w:rFonts w:hint="eastAsia"/>
                      <w:b/>
                      <w:bCs/>
                      <w:lang w:val="en-US" w:eastAsia="zh-CN"/>
                    </w:rPr>
                    <w:t>t/a</w:t>
                  </w:r>
                </w:p>
              </w:tc>
              <w:tc>
                <w:tcPr>
                  <w:tcW w:w="555" w:type="pct"/>
                  <w:vMerge w:val="continue"/>
                  <w:vAlign w:val="center"/>
                </w:tcPr>
                <w:p w14:paraId="1E12EA56">
                  <w:pPr>
                    <w:pStyle w:val="32"/>
                    <w:bidi w:val="0"/>
                    <w:jc w:val="center"/>
                    <w:rPr>
                      <w:rFonts w:hint="default"/>
                      <w:lang w:val="en-US" w:eastAsia="zh-CN"/>
                    </w:rPr>
                  </w:pPr>
                </w:p>
              </w:tc>
              <w:tc>
                <w:tcPr>
                  <w:tcW w:w="834" w:type="pct"/>
                  <w:vMerge w:val="continue"/>
                  <w:vAlign w:val="center"/>
                </w:tcPr>
                <w:p w14:paraId="70DC207A">
                  <w:pPr>
                    <w:pStyle w:val="32"/>
                    <w:bidi w:val="0"/>
                    <w:jc w:val="center"/>
                    <w:rPr>
                      <w:rFonts w:hint="default"/>
                      <w:lang w:val="en-US" w:eastAsia="zh-CN"/>
                    </w:rPr>
                  </w:pPr>
                </w:p>
              </w:tc>
            </w:tr>
            <w:tr w14:paraId="447E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Merge w:val="restart"/>
                  <w:vAlign w:val="center"/>
                </w:tcPr>
                <w:p w14:paraId="058613E3">
                  <w:pPr>
                    <w:pStyle w:val="32"/>
                    <w:bidi w:val="0"/>
                    <w:jc w:val="center"/>
                    <w:rPr>
                      <w:rFonts w:hint="default"/>
                      <w:lang w:val="en-US" w:eastAsia="zh-CN"/>
                    </w:rPr>
                  </w:pPr>
                  <w:r>
                    <w:rPr>
                      <w:rFonts w:hint="eastAsia"/>
                      <w:lang w:val="en-US" w:eastAsia="zh-CN"/>
                    </w:rPr>
                    <w:t>医院综合废水</w:t>
                  </w:r>
                </w:p>
              </w:tc>
              <w:tc>
                <w:tcPr>
                  <w:tcW w:w="690" w:type="pct"/>
                  <w:vMerge w:val="restart"/>
                  <w:vAlign w:val="center"/>
                </w:tcPr>
                <w:p w14:paraId="3B4AB5C1">
                  <w:pPr>
                    <w:pStyle w:val="32"/>
                    <w:bidi w:val="0"/>
                    <w:jc w:val="center"/>
                    <w:rPr>
                      <w:rFonts w:hint="default"/>
                      <w:lang w:val="en-US" w:eastAsia="zh-CN"/>
                    </w:rPr>
                  </w:pPr>
                  <w:r>
                    <w:rPr>
                      <w:rFonts w:hint="eastAsia"/>
                      <w:lang w:val="en-US" w:eastAsia="zh-CN"/>
                    </w:rPr>
                    <w:t>32095.764</w:t>
                  </w:r>
                </w:p>
              </w:tc>
              <w:tc>
                <w:tcPr>
                  <w:tcW w:w="903" w:type="pct"/>
                  <w:vAlign w:val="center"/>
                </w:tcPr>
                <w:p w14:paraId="6A5BED95">
                  <w:pPr>
                    <w:pStyle w:val="32"/>
                    <w:bidi w:val="0"/>
                    <w:jc w:val="center"/>
                    <w:rPr>
                      <w:rFonts w:hint="default"/>
                      <w:lang w:val="en-US" w:eastAsia="zh-CN"/>
                    </w:rPr>
                  </w:pPr>
                  <w:r>
                    <w:rPr>
                      <w:rFonts w:hint="eastAsia"/>
                      <w:lang w:val="en-US" w:eastAsia="zh-CN"/>
                    </w:rPr>
                    <w:t>COD</w:t>
                  </w:r>
                  <w:r>
                    <w:rPr>
                      <w:rFonts w:hint="eastAsia"/>
                      <w:vertAlign w:val="subscript"/>
                      <w:lang w:val="en-US" w:eastAsia="zh-CN"/>
                    </w:rPr>
                    <w:t>cr</w:t>
                  </w:r>
                </w:p>
              </w:tc>
              <w:tc>
                <w:tcPr>
                  <w:tcW w:w="755" w:type="pct"/>
                  <w:vAlign w:val="center"/>
                </w:tcPr>
                <w:p w14:paraId="3916797A">
                  <w:pPr>
                    <w:pStyle w:val="32"/>
                    <w:bidi w:val="0"/>
                    <w:jc w:val="center"/>
                    <w:rPr>
                      <w:rFonts w:hint="default"/>
                      <w:lang w:val="en-US" w:eastAsia="zh-CN"/>
                    </w:rPr>
                  </w:pPr>
                  <w:r>
                    <w:rPr>
                      <w:rFonts w:hint="eastAsia"/>
                      <w:lang w:val="en-US" w:eastAsia="zh-CN"/>
                    </w:rPr>
                    <w:t>300</w:t>
                  </w:r>
                </w:p>
              </w:tc>
              <w:tc>
                <w:tcPr>
                  <w:tcW w:w="555" w:type="pct"/>
                  <w:vAlign w:val="center"/>
                </w:tcPr>
                <w:p w14:paraId="5937683C">
                  <w:pPr>
                    <w:pStyle w:val="32"/>
                    <w:bidi w:val="0"/>
                    <w:jc w:val="center"/>
                    <w:rPr>
                      <w:rFonts w:hint="default"/>
                      <w:lang w:val="en-US" w:eastAsia="zh-CN"/>
                    </w:rPr>
                  </w:pPr>
                  <w:r>
                    <w:rPr>
                      <w:rFonts w:hint="eastAsia"/>
                      <w:lang w:val="en-US" w:eastAsia="zh-CN"/>
                    </w:rPr>
                    <w:t>9.6287</w:t>
                  </w:r>
                </w:p>
              </w:tc>
              <w:tc>
                <w:tcPr>
                  <w:tcW w:w="555" w:type="pct"/>
                  <w:vMerge w:val="restart"/>
                  <w:vAlign w:val="center"/>
                </w:tcPr>
                <w:p w14:paraId="2D4D4165">
                  <w:pPr>
                    <w:pStyle w:val="32"/>
                    <w:bidi w:val="0"/>
                    <w:jc w:val="center"/>
                    <w:rPr>
                      <w:rFonts w:hint="default"/>
                      <w:lang w:val="en-US" w:eastAsia="zh-CN"/>
                    </w:rPr>
                  </w:pPr>
                  <w:r>
                    <w:rPr>
                      <w:rFonts w:hint="eastAsia"/>
                      <w:lang w:val="en-US" w:eastAsia="zh-CN"/>
                    </w:rPr>
                    <w:t>化粪池+污水处理站</w:t>
                  </w:r>
                </w:p>
              </w:tc>
              <w:tc>
                <w:tcPr>
                  <w:tcW w:w="834" w:type="pct"/>
                  <w:vMerge w:val="restart"/>
                  <w:vAlign w:val="center"/>
                </w:tcPr>
                <w:p w14:paraId="77B0A706">
                  <w:pPr>
                    <w:pStyle w:val="32"/>
                    <w:bidi w:val="0"/>
                    <w:jc w:val="center"/>
                    <w:rPr>
                      <w:rFonts w:hint="default"/>
                      <w:lang w:val="en-US" w:eastAsia="zh-CN"/>
                    </w:rPr>
                  </w:pPr>
                  <w:r>
                    <w:rPr>
                      <w:rFonts w:hint="eastAsia"/>
                      <w:lang w:val="en-US" w:eastAsia="zh-CN"/>
                    </w:rPr>
                    <w:t>间接排放，通过污水管网排入山南新区污水处理厂处理</w:t>
                  </w:r>
                </w:p>
              </w:tc>
            </w:tr>
            <w:tr w14:paraId="4FE1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Merge w:val="continue"/>
                  <w:vAlign w:val="center"/>
                </w:tcPr>
                <w:p w14:paraId="69243FE9">
                  <w:pPr>
                    <w:pStyle w:val="32"/>
                    <w:bidi w:val="0"/>
                    <w:jc w:val="center"/>
                    <w:rPr>
                      <w:rFonts w:hint="eastAsia"/>
                      <w:lang w:val="en-US" w:eastAsia="zh-CN"/>
                    </w:rPr>
                  </w:pPr>
                </w:p>
              </w:tc>
              <w:tc>
                <w:tcPr>
                  <w:tcW w:w="690" w:type="pct"/>
                  <w:vMerge w:val="continue"/>
                  <w:vAlign w:val="center"/>
                </w:tcPr>
                <w:p w14:paraId="6363A9B0">
                  <w:pPr>
                    <w:pStyle w:val="32"/>
                    <w:bidi w:val="0"/>
                    <w:jc w:val="center"/>
                    <w:rPr>
                      <w:rFonts w:hint="eastAsia"/>
                      <w:lang w:val="en-US" w:eastAsia="zh-CN"/>
                    </w:rPr>
                  </w:pPr>
                </w:p>
              </w:tc>
              <w:tc>
                <w:tcPr>
                  <w:tcW w:w="903" w:type="pct"/>
                  <w:vAlign w:val="center"/>
                </w:tcPr>
                <w:p w14:paraId="4F7F1BB7">
                  <w:pPr>
                    <w:pStyle w:val="32"/>
                    <w:bidi w:val="0"/>
                    <w:jc w:val="center"/>
                    <w:rPr>
                      <w:rFonts w:hint="default"/>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755" w:type="pct"/>
                  <w:vAlign w:val="center"/>
                </w:tcPr>
                <w:p w14:paraId="74AF84F7">
                  <w:pPr>
                    <w:pStyle w:val="32"/>
                    <w:bidi w:val="0"/>
                    <w:jc w:val="center"/>
                    <w:rPr>
                      <w:rFonts w:hint="default"/>
                      <w:lang w:val="en-US" w:eastAsia="zh-CN"/>
                    </w:rPr>
                  </w:pPr>
                  <w:r>
                    <w:rPr>
                      <w:rFonts w:hint="eastAsia"/>
                      <w:lang w:val="en-US" w:eastAsia="zh-CN"/>
                    </w:rPr>
                    <w:t>50</w:t>
                  </w:r>
                </w:p>
              </w:tc>
              <w:tc>
                <w:tcPr>
                  <w:tcW w:w="555" w:type="pct"/>
                  <w:vAlign w:val="center"/>
                </w:tcPr>
                <w:p w14:paraId="4E0C473C">
                  <w:pPr>
                    <w:pStyle w:val="32"/>
                    <w:bidi w:val="0"/>
                    <w:jc w:val="center"/>
                    <w:rPr>
                      <w:rFonts w:hint="default"/>
                      <w:lang w:val="en-US" w:eastAsia="zh-CN"/>
                    </w:rPr>
                  </w:pPr>
                  <w:r>
                    <w:rPr>
                      <w:rFonts w:hint="eastAsia"/>
                      <w:lang w:val="en-US" w:eastAsia="zh-CN"/>
                    </w:rPr>
                    <w:t>1.6048</w:t>
                  </w:r>
                </w:p>
              </w:tc>
              <w:tc>
                <w:tcPr>
                  <w:tcW w:w="555" w:type="pct"/>
                  <w:vMerge w:val="continue"/>
                  <w:vAlign w:val="center"/>
                </w:tcPr>
                <w:p w14:paraId="32205D2E">
                  <w:pPr>
                    <w:pStyle w:val="32"/>
                    <w:bidi w:val="0"/>
                    <w:jc w:val="center"/>
                    <w:rPr>
                      <w:rFonts w:hint="eastAsia"/>
                      <w:lang w:val="en-US" w:eastAsia="zh-CN"/>
                    </w:rPr>
                  </w:pPr>
                </w:p>
              </w:tc>
              <w:tc>
                <w:tcPr>
                  <w:tcW w:w="834" w:type="pct"/>
                  <w:vMerge w:val="continue"/>
                  <w:vAlign w:val="center"/>
                </w:tcPr>
                <w:p w14:paraId="4CDCE874">
                  <w:pPr>
                    <w:pStyle w:val="32"/>
                    <w:bidi w:val="0"/>
                    <w:jc w:val="center"/>
                    <w:rPr>
                      <w:rFonts w:hint="default"/>
                      <w:lang w:val="en-US" w:eastAsia="zh-CN"/>
                    </w:rPr>
                  </w:pPr>
                </w:p>
              </w:tc>
            </w:tr>
            <w:tr w14:paraId="337C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Merge w:val="continue"/>
                  <w:vAlign w:val="center"/>
                </w:tcPr>
                <w:p w14:paraId="5FC4E52A">
                  <w:pPr>
                    <w:pStyle w:val="32"/>
                    <w:bidi w:val="0"/>
                    <w:jc w:val="center"/>
                    <w:rPr>
                      <w:rFonts w:hint="eastAsia"/>
                      <w:lang w:val="en-US" w:eastAsia="zh-CN"/>
                    </w:rPr>
                  </w:pPr>
                </w:p>
              </w:tc>
              <w:tc>
                <w:tcPr>
                  <w:tcW w:w="690" w:type="pct"/>
                  <w:vMerge w:val="continue"/>
                  <w:vAlign w:val="center"/>
                </w:tcPr>
                <w:p w14:paraId="7003DBDC">
                  <w:pPr>
                    <w:pStyle w:val="32"/>
                    <w:bidi w:val="0"/>
                    <w:jc w:val="center"/>
                    <w:rPr>
                      <w:rFonts w:hint="eastAsia"/>
                      <w:lang w:val="en-US" w:eastAsia="zh-CN"/>
                    </w:rPr>
                  </w:pPr>
                </w:p>
              </w:tc>
              <w:tc>
                <w:tcPr>
                  <w:tcW w:w="903" w:type="pct"/>
                  <w:vAlign w:val="center"/>
                </w:tcPr>
                <w:p w14:paraId="041FCDC1">
                  <w:pPr>
                    <w:pStyle w:val="32"/>
                    <w:bidi w:val="0"/>
                    <w:jc w:val="center"/>
                    <w:rPr>
                      <w:rFonts w:hint="default"/>
                      <w:lang w:val="en-US" w:eastAsia="zh-CN"/>
                    </w:rPr>
                  </w:pPr>
                  <w:r>
                    <w:rPr>
                      <w:rFonts w:hint="eastAsia"/>
                      <w:lang w:val="en-US" w:eastAsia="zh-CN"/>
                    </w:rPr>
                    <w:t>BOD</w:t>
                  </w:r>
                  <w:r>
                    <w:rPr>
                      <w:rFonts w:hint="eastAsia"/>
                      <w:vertAlign w:val="subscript"/>
                      <w:lang w:val="en-US" w:eastAsia="zh-CN"/>
                    </w:rPr>
                    <w:t>5</w:t>
                  </w:r>
                </w:p>
              </w:tc>
              <w:tc>
                <w:tcPr>
                  <w:tcW w:w="755" w:type="pct"/>
                  <w:vAlign w:val="center"/>
                </w:tcPr>
                <w:p w14:paraId="6648B019">
                  <w:pPr>
                    <w:pStyle w:val="32"/>
                    <w:bidi w:val="0"/>
                    <w:jc w:val="center"/>
                    <w:rPr>
                      <w:rFonts w:hint="default"/>
                      <w:lang w:val="en-US" w:eastAsia="zh-CN"/>
                    </w:rPr>
                  </w:pPr>
                  <w:r>
                    <w:rPr>
                      <w:rFonts w:hint="eastAsia"/>
                      <w:lang w:val="en-US" w:eastAsia="zh-CN"/>
                    </w:rPr>
                    <w:t>150</w:t>
                  </w:r>
                </w:p>
              </w:tc>
              <w:tc>
                <w:tcPr>
                  <w:tcW w:w="555" w:type="pct"/>
                  <w:vAlign w:val="center"/>
                </w:tcPr>
                <w:p w14:paraId="4E9845A0">
                  <w:pPr>
                    <w:pStyle w:val="32"/>
                    <w:bidi w:val="0"/>
                    <w:jc w:val="center"/>
                    <w:rPr>
                      <w:rFonts w:hint="default"/>
                      <w:lang w:val="en-US" w:eastAsia="zh-CN"/>
                    </w:rPr>
                  </w:pPr>
                  <w:r>
                    <w:rPr>
                      <w:rFonts w:hint="eastAsia"/>
                      <w:lang w:val="en-US" w:eastAsia="zh-CN"/>
                    </w:rPr>
                    <w:t>4.8144</w:t>
                  </w:r>
                </w:p>
              </w:tc>
              <w:tc>
                <w:tcPr>
                  <w:tcW w:w="555" w:type="pct"/>
                  <w:vMerge w:val="continue"/>
                  <w:vAlign w:val="center"/>
                </w:tcPr>
                <w:p w14:paraId="25A545ED">
                  <w:pPr>
                    <w:pStyle w:val="32"/>
                    <w:bidi w:val="0"/>
                    <w:jc w:val="center"/>
                    <w:rPr>
                      <w:rFonts w:hint="eastAsia"/>
                      <w:lang w:val="en-US" w:eastAsia="zh-CN"/>
                    </w:rPr>
                  </w:pPr>
                </w:p>
              </w:tc>
              <w:tc>
                <w:tcPr>
                  <w:tcW w:w="834" w:type="pct"/>
                  <w:vMerge w:val="continue"/>
                  <w:vAlign w:val="center"/>
                </w:tcPr>
                <w:p w14:paraId="351C3694">
                  <w:pPr>
                    <w:pStyle w:val="32"/>
                    <w:bidi w:val="0"/>
                    <w:jc w:val="center"/>
                    <w:rPr>
                      <w:rFonts w:hint="default"/>
                      <w:lang w:val="en-US" w:eastAsia="zh-CN"/>
                    </w:rPr>
                  </w:pPr>
                </w:p>
              </w:tc>
            </w:tr>
            <w:tr w14:paraId="7287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Merge w:val="continue"/>
                  <w:vAlign w:val="center"/>
                </w:tcPr>
                <w:p w14:paraId="3D3A8856">
                  <w:pPr>
                    <w:pStyle w:val="32"/>
                    <w:bidi w:val="0"/>
                    <w:jc w:val="center"/>
                    <w:rPr>
                      <w:rFonts w:hint="eastAsia"/>
                      <w:lang w:val="en-US" w:eastAsia="zh-CN"/>
                    </w:rPr>
                  </w:pPr>
                </w:p>
              </w:tc>
              <w:tc>
                <w:tcPr>
                  <w:tcW w:w="690" w:type="pct"/>
                  <w:vMerge w:val="continue"/>
                  <w:vAlign w:val="center"/>
                </w:tcPr>
                <w:p w14:paraId="7D00B7E8">
                  <w:pPr>
                    <w:pStyle w:val="32"/>
                    <w:bidi w:val="0"/>
                    <w:jc w:val="center"/>
                    <w:rPr>
                      <w:rFonts w:hint="eastAsia"/>
                      <w:lang w:val="en-US" w:eastAsia="zh-CN"/>
                    </w:rPr>
                  </w:pPr>
                </w:p>
              </w:tc>
              <w:tc>
                <w:tcPr>
                  <w:tcW w:w="903" w:type="pct"/>
                  <w:vAlign w:val="center"/>
                </w:tcPr>
                <w:p w14:paraId="06EE3F18">
                  <w:pPr>
                    <w:pStyle w:val="32"/>
                    <w:bidi w:val="0"/>
                    <w:jc w:val="center"/>
                    <w:rPr>
                      <w:rFonts w:hint="default"/>
                      <w:lang w:val="en-US" w:eastAsia="zh-CN"/>
                    </w:rPr>
                  </w:pPr>
                  <w:r>
                    <w:rPr>
                      <w:rFonts w:hint="eastAsia"/>
                      <w:lang w:val="en-US" w:eastAsia="zh-CN"/>
                    </w:rPr>
                    <w:t>SS</w:t>
                  </w:r>
                </w:p>
              </w:tc>
              <w:tc>
                <w:tcPr>
                  <w:tcW w:w="755" w:type="pct"/>
                  <w:vAlign w:val="center"/>
                </w:tcPr>
                <w:p w14:paraId="52635C5D">
                  <w:pPr>
                    <w:pStyle w:val="32"/>
                    <w:bidi w:val="0"/>
                    <w:jc w:val="center"/>
                    <w:rPr>
                      <w:rFonts w:hint="default"/>
                      <w:lang w:val="en-US" w:eastAsia="zh-CN"/>
                    </w:rPr>
                  </w:pPr>
                  <w:r>
                    <w:rPr>
                      <w:rFonts w:hint="eastAsia"/>
                      <w:lang w:val="en-US" w:eastAsia="zh-CN"/>
                    </w:rPr>
                    <w:t>120</w:t>
                  </w:r>
                </w:p>
              </w:tc>
              <w:tc>
                <w:tcPr>
                  <w:tcW w:w="555" w:type="pct"/>
                  <w:vAlign w:val="center"/>
                </w:tcPr>
                <w:p w14:paraId="1605F8BD">
                  <w:pPr>
                    <w:pStyle w:val="32"/>
                    <w:bidi w:val="0"/>
                    <w:jc w:val="center"/>
                    <w:rPr>
                      <w:rFonts w:hint="default"/>
                      <w:lang w:val="en-US" w:eastAsia="zh-CN"/>
                    </w:rPr>
                  </w:pPr>
                  <w:r>
                    <w:rPr>
                      <w:rFonts w:hint="eastAsia"/>
                      <w:lang w:val="en-US" w:eastAsia="zh-CN"/>
                    </w:rPr>
                    <w:t>3.8515</w:t>
                  </w:r>
                </w:p>
              </w:tc>
              <w:tc>
                <w:tcPr>
                  <w:tcW w:w="555" w:type="pct"/>
                  <w:vMerge w:val="continue"/>
                  <w:vAlign w:val="center"/>
                </w:tcPr>
                <w:p w14:paraId="56B8B8FE">
                  <w:pPr>
                    <w:pStyle w:val="32"/>
                    <w:bidi w:val="0"/>
                    <w:jc w:val="center"/>
                    <w:rPr>
                      <w:rFonts w:hint="eastAsia"/>
                      <w:lang w:val="en-US" w:eastAsia="zh-CN"/>
                    </w:rPr>
                  </w:pPr>
                </w:p>
              </w:tc>
              <w:tc>
                <w:tcPr>
                  <w:tcW w:w="834" w:type="pct"/>
                  <w:vMerge w:val="continue"/>
                  <w:vAlign w:val="center"/>
                </w:tcPr>
                <w:p w14:paraId="67CBC045">
                  <w:pPr>
                    <w:pStyle w:val="32"/>
                    <w:bidi w:val="0"/>
                    <w:jc w:val="center"/>
                    <w:rPr>
                      <w:rFonts w:hint="default"/>
                      <w:lang w:val="en-US" w:eastAsia="zh-CN"/>
                    </w:rPr>
                  </w:pPr>
                </w:p>
              </w:tc>
            </w:tr>
            <w:tr w14:paraId="0F5A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Merge w:val="continue"/>
                  <w:vAlign w:val="center"/>
                </w:tcPr>
                <w:p w14:paraId="12C45282">
                  <w:pPr>
                    <w:pStyle w:val="32"/>
                    <w:bidi w:val="0"/>
                    <w:jc w:val="center"/>
                    <w:rPr>
                      <w:rFonts w:hint="eastAsia"/>
                      <w:lang w:val="en-US" w:eastAsia="zh-CN"/>
                    </w:rPr>
                  </w:pPr>
                </w:p>
              </w:tc>
              <w:tc>
                <w:tcPr>
                  <w:tcW w:w="690" w:type="pct"/>
                  <w:vMerge w:val="continue"/>
                  <w:vAlign w:val="center"/>
                </w:tcPr>
                <w:p w14:paraId="354E0275">
                  <w:pPr>
                    <w:pStyle w:val="32"/>
                    <w:bidi w:val="0"/>
                    <w:jc w:val="center"/>
                    <w:rPr>
                      <w:rFonts w:hint="eastAsia"/>
                      <w:lang w:val="en-US" w:eastAsia="zh-CN"/>
                    </w:rPr>
                  </w:pPr>
                </w:p>
              </w:tc>
              <w:tc>
                <w:tcPr>
                  <w:tcW w:w="903" w:type="pct"/>
                  <w:vAlign w:val="center"/>
                </w:tcPr>
                <w:p w14:paraId="0C16C027">
                  <w:pPr>
                    <w:pStyle w:val="32"/>
                    <w:bidi w:val="0"/>
                    <w:jc w:val="center"/>
                    <w:rPr>
                      <w:rFonts w:hint="default"/>
                      <w:lang w:val="en-US" w:eastAsia="zh-CN"/>
                    </w:rPr>
                  </w:pPr>
                  <w:r>
                    <w:rPr>
                      <w:rFonts w:hint="eastAsia"/>
                      <w:lang w:val="en-US" w:eastAsia="zh-CN"/>
                    </w:rPr>
                    <w:t>类大肠菌群</w:t>
                  </w:r>
                </w:p>
              </w:tc>
              <w:tc>
                <w:tcPr>
                  <w:tcW w:w="755" w:type="pct"/>
                  <w:vAlign w:val="center"/>
                </w:tcPr>
                <w:p w14:paraId="57274194">
                  <w:pPr>
                    <w:pStyle w:val="32"/>
                    <w:bidi w:val="0"/>
                    <w:jc w:val="center"/>
                    <w:rPr>
                      <w:rFonts w:hint="default"/>
                      <w:lang w:val="en-US" w:eastAsia="zh-CN"/>
                    </w:rPr>
                  </w:pPr>
                  <w:r>
                    <w:rPr>
                      <w:rFonts w:hint="eastAsia"/>
                      <w:lang w:val="en-US" w:eastAsia="zh-CN"/>
                    </w:rPr>
                    <w:t>3×10</w:t>
                  </w:r>
                  <w:r>
                    <w:rPr>
                      <w:rFonts w:hint="eastAsia"/>
                      <w:vertAlign w:val="superscript"/>
                      <w:lang w:val="en-US" w:eastAsia="zh-CN"/>
                    </w:rPr>
                    <w:t>8</w:t>
                  </w:r>
                  <w:r>
                    <w:rPr>
                      <w:rFonts w:hint="eastAsia"/>
                      <w:lang w:val="en-US" w:eastAsia="zh-CN"/>
                    </w:rPr>
                    <w:t>个/L</w:t>
                  </w:r>
                </w:p>
              </w:tc>
              <w:tc>
                <w:tcPr>
                  <w:tcW w:w="555" w:type="pct"/>
                  <w:vAlign w:val="center"/>
                </w:tcPr>
                <w:p w14:paraId="685AF247">
                  <w:pPr>
                    <w:pStyle w:val="32"/>
                    <w:bidi w:val="0"/>
                    <w:jc w:val="center"/>
                    <w:rPr>
                      <w:rFonts w:hint="default"/>
                      <w:lang w:val="en-US" w:eastAsia="zh-CN"/>
                    </w:rPr>
                  </w:pPr>
                  <w:r>
                    <w:rPr>
                      <w:rFonts w:hint="eastAsia"/>
                      <w:lang w:val="en-US" w:eastAsia="zh-CN"/>
                    </w:rPr>
                    <w:t>/</w:t>
                  </w:r>
                </w:p>
              </w:tc>
              <w:tc>
                <w:tcPr>
                  <w:tcW w:w="555" w:type="pct"/>
                  <w:vMerge w:val="continue"/>
                  <w:vAlign w:val="center"/>
                </w:tcPr>
                <w:p w14:paraId="1CA597B0">
                  <w:pPr>
                    <w:pStyle w:val="32"/>
                    <w:bidi w:val="0"/>
                    <w:jc w:val="center"/>
                    <w:rPr>
                      <w:rFonts w:hint="eastAsia"/>
                      <w:lang w:val="en-US" w:eastAsia="zh-CN"/>
                    </w:rPr>
                  </w:pPr>
                </w:p>
              </w:tc>
              <w:tc>
                <w:tcPr>
                  <w:tcW w:w="834" w:type="pct"/>
                  <w:vMerge w:val="continue"/>
                  <w:vAlign w:val="center"/>
                </w:tcPr>
                <w:p w14:paraId="26D1BE5C">
                  <w:pPr>
                    <w:pStyle w:val="32"/>
                    <w:bidi w:val="0"/>
                    <w:jc w:val="center"/>
                    <w:rPr>
                      <w:rFonts w:hint="default"/>
                      <w:lang w:val="en-US" w:eastAsia="zh-CN"/>
                    </w:rPr>
                  </w:pPr>
                </w:p>
              </w:tc>
            </w:tr>
          </w:tbl>
          <w:p w14:paraId="7B9795E0">
            <w:pPr>
              <w:bidi w:val="0"/>
              <w:jc w:val="both"/>
              <w:rPr>
                <w:rFonts w:hint="default"/>
                <w:b/>
                <w:bCs/>
                <w:lang w:val="en-US" w:eastAsia="zh-CN"/>
              </w:rPr>
            </w:pPr>
            <w:r>
              <w:rPr>
                <w:rFonts w:hint="eastAsia"/>
                <w:b/>
                <w:bCs/>
                <w:lang w:val="en-US" w:eastAsia="zh-CN"/>
              </w:rPr>
              <w:t>2、废水污染防治措施</w:t>
            </w:r>
          </w:p>
          <w:p w14:paraId="50DB0460">
            <w:pPr>
              <w:pStyle w:val="9"/>
              <w:jc w:val="both"/>
              <w:rPr>
                <w:rFonts w:hint="eastAsia"/>
                <w:b/>
                <w:bCs/>
                <w:lang w:val="en-US" w:eastAsia="zh-CN"/>
              </w:rPr>
            </w:pPr>
            <w:r>
              <w:rPr>
                <w:rFonts w:hint="eastAsia"/>
                <w:b/>
                <w:bCs/>
                <w:lang w:val="en-US" w:eastAsia="zh-CN"/>
              </w:rPr>
              <w:t>（1）污水处理工艺流程</w:t>
            </w:r>
          </w:p>
          <w:p w14:paraId="4D79C6F1">
            <w:pPr>
              <w:bidi w:val="0"/>
              <w:jc w:val="both"/>
              <w:rPr>
                <w:rFonts w:hint="eastAsia"/>
                <w:lang w:val="en-US" w:eastAsia="zh-CN"/>
              </w:rPr>
            </w:pPr>
            <w:r>
              <w:rPr>
                <w:rFonts w:hint="eastAsia"/>
                <w:lang w:val="en-US" w:eastAsia="zh-CN"/>
              </w:rPr>
              <w:t>根据</w:t>
            </w:r>
            <w:r>
              <w:rPr>
                <w:rFonts w:hint="eastAsia"/>
              </w:rPr>
              <w:t>《医疗机构污水处理工程技术标准》(GB51459—2024)</w:t>
            </w:r>
            <w:r>
              <w:rPr>
                <w:rFonts w:hint="eastAsia"/>
                <w:lang w:val="en-US" w:eastAsia="zh-CN"/>
              </w:rPr>
              <w:t>7.1.3 当非传染病医疗机构污水处理出水排入城镇污水管网，且管网终端建有正常运行的二级污水处理厂时，可采用一级强化处理工艺。本项目污水经自建污水处理站处理后进入山南污水处理厂处理，项目污水处理站采用</w:t>
            </w:r>
            <w:r>
              <w:rPr>
                <w:rFonts w:hint="eastAsia"/>
                <w:highlight w:val="none"/>
                <w:lang w:val="en-US" w:eastAsia="zh-CN"/>
              </w:rPr>
              <w:t>“</w:t>
            </w:r>
            <w:r>
              <w:rPr>
                <w:rFonts w:hint="eastAsia"/>
                <w:lang w:val="en-US" w:eastAsia="zh-CN"/>
              </w:rPr>
              <w:t>格栅十调节+水解酸化+缺氧+生物接触氧化十沉淀十消毒”处理工艺，属于二级处理+消毒工艺，污水处理工艺流程见下图。</w:t>
            </w:r>
          </w:p>
          <w:p w14:paraId="47C79B6F">
            <w:pPr>
              <w:pStyle w:val="9"/>
              <w:ind w:left="0" w:leftChars="0" w:firstLine="0" w:firstLineChars="0"/>
              <w:jc w:val="both"/>
              <w:rPr>
                <w:rFonts w:hint="default"/>
                <w:lang w:val="en-US" w:eastAsia="zh-CN"/>
              </w:rPr>
            </w:pPr>
            <w:r>
              <w:rPr>
                <w:rFonts w:hint="default"/>
                <w:lang w:val="en-US" w:eastAsia="zh-CN"/>
              </w:rPr>
              <w:drawing>
                <wp:inline distT="0" distB="0" distL="114300" distR="114300">
                  <wp:extent cx="5450205" cy="1504950"/>
                  <wp:effectExtent l="0" t="0" r="17145" b="0"/>
                  <wp:docPr id="12" name="图片 12" descr="173347489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3474893342"/>
                          <pic:cNvPicPr>
                            <a:picLocks noChangeAspect="1"/>
                          </pic:cNvPicPr>
                        </pic:nvPicPr>
                        <pic:blipFill>
                          <a:blip r:embed="rId26"/>
                          <a:stretch>
                            <a:fillRect/>
                          </a:stretch>
                        </pic:blipFill>
                        <pic:spPr>
                          <a:xfrm>
                            <a:off x="0" y="0"/>
                            <a:ext cx="5450205" cy="1504950"/>
                          </a:xfrm>
                          <a:prstGeom prst="rect">
                            <a:avLst/>
                          </a:prstGeom>
                        </pic:spPr>
                      </pic:pic>
                    </a:graphicData>
                  </a:graphic>
                </wp:inline>
              </w:drawing>
            </w:r>
          </w:p>
          <w:p w14:paraId="01A3BAF8">
            <w:pPr>
              <w:pStyle w:val="41"/>
              <w:bidi w:val="0"/>
              <w:rPr>
                <w:rFonts w:hint="eastAsia"/>
                <w:lang w:val="en-US" w:eastAsia="zh-CN"/>
              </w:rPr>
            </w:pPr>
            <w:r>
              <w:rPr>
                <w:rFonts w:hint="eastAsia"/>
                <w:lang w:val="en-US" w:eastAsia="zh-CN"/>
              </w:rPr>
              <w:t>图4-1  本项目污水处理工艺流程图</w:t>
            </w:r>
          </w:p>
          <w:p w14:paraId="5843C4CD">
            <w:pPr>
              <w:bidi w:val="0"/>
              <w:jc w:val="both"/>
              <w:rPr>
                <w:rFonts w:hint="default"/>
                <w:highlight w:val="none"/>
                <w:lang w:val="en-US" w:eastAsia="zh-CN"/>
              </w:rPr>
            </w:pPr>
            <w:r>
              <w:rPr>
                <w:rFonts w:hint="default"/>
                <w:lang w:val="en-US" w:eastAsia="zh-CN"/>
              </w:rPr>
              <w:t>本项目废水经格栅截留去除较大粒径的悬浮物和漂浮物后进入调节池，均化水质</w:t>
            </w:r>
            <w:r>
              <w:rPr>
                <w:rFonts w:hint="eastAsia"/>
                <w:lang w:val="en-US" w:eastAsia="zh-CN"/>
              </w:rPr>
              <w:t>，</w:t>
            </w:r>
            <w:r>
              <w:rPr>
                <w:rFonts w:hint="default"/>
                <w:lang w:val="en-US" w:eastAsia="zh-CN"/>
              </w:rPr>
              <w:t>然后由泵提升至水解酸化池</w:t>
            </w:r>
            <w:r>
              <w:rPr>
                <w:rFonts w:hint="eastAsia"/>
                <w:lang w:val="en-US" w:eastAsia="zh-CN"/>
              </w:rPr>
              <w:t>，</w:t>
            </w:r>
            <w:r>
              <w:rPr>
                <w:rFonts w:hint="default"/>
                <w:lang w:val="en-US" w:eastAsia="zh-CN"/>
              </w:rPr>
              <w:t>进行酸化水解和硝化反硝化降低有机物浓度，去除部分氨氮</w:t>
            </w:r>
            <w:r>
              <w:rPr>
                <w:rFonts w:hint="eastAsia"/>
                <w:lang w:val="en-US" w:eastAsia="zh-CN"/>
              </w:rPr>
              <w:t>，</w:t>
            </w:r>
            <w:r>
              <w:rPr>
                <w:rFonts w:hint="default"/>
                <w:lang w:val="en-US" w:eastAsia="zh-CN"/>
              </w:rPr>
              <w:t>然后</w:t>
            </w:r>
            <w:r>
              <w:rPr>
                <w:rFonts w:hint="eastAsia"/>
                <w:lang w:val="en-US" w:eastAsia="zh-CN"/>
              </w:rPr>
              <w:t>进入缺氧池进行反硝化，去除部分BOD5，之后进入</w:t>
            </w:r>
            <w:r>
              <w:rPr>
                <w:rFonts w:hint="default"/>
                <w:lang w:val="en-US" w:eastAsia="zh-CN"/>
              </w:rPr>
              <w:t>生物接触氧化池进行好氧生化反应在此绝大部分有机污染物通过生物氧化、吸附得以降解</w:t>
            </w:r>
            <w:r>
              <w:rPr>
                <w:rFonts w:hint="eastAsia"/>
                <w:lang w:val="en-US" w:eastAsia="zh-CN"/>
              </w:rPr>
              <w:t>，</w:t>
            </w:r>
            <w:r>
              <w:rPr>
                <w:rFonts w:hint="default"/>
                <w:lang w:val="en-US" w:eastAsia="zh-CN"/>
              </w:rPr>
              <w:t>经过二沉池沉淀的废水充至消毒池，为保证理想的消毒效果</w:t>
            </w:r>
            <w:r>
              <w:rPr>
                <w:rFonts w:hint="eastAsia"/>
                <w:lang w:val="en-US" w:eastAsia="zh-CN"/>
              </w:rPr>
              <w:t>，</w:t>
            </w:r>
            <w:r>
              <w:rPr>
                <w:rFonts w:hint="default"/>
                <w:lang w:val="en-US" w:eastAsia="zh-CN"/>
              </w:rPr>
              <w:t>经消毒剂(</w:t>
            </w:r>
            <w:r>
              <w:rPr>
                <w:rFonts w:hint="eastAsia"/>
                <w:lang w:val="en-US" w:eastAsia="zh-CN"/>
              </w:rPr>
              <w:t>次氯酸钠</w:t>
            </w:r>
            <w:r>
              <w:rPr>
                <w:rFonts w:hint="default"/>
                <w:lang w:val="en-US" w:eastAsia="zh-CN"/>
              </w:rPr>
              <w:t>)进行消毒处理后达标排放</w:t>
            </w:r>
            <w:r>
              <w:rPr>
                <w:rFonts w:hint="eastAsia"/>
                <w:lang w:val="en-US" w:eastAsia="zh-CN"/>
              </w:rPr>
              <w:t>，</w:t>
            </w:r>
            <w:r>
              <w:rPr>
                <w:rFonts w:hint="default"/>
                <w:lang w:val="en-US" w:eastAsia="zh-CN"/>
              </w:rPr>
              <w:t>产生的污泥定期消毒清运。污泥脱水方式采用</w:t>
            </w:r>
            <w:r>
              <w:rPr>
                <w:rFonts w:hint="eastAsia"/>
                <w:lang w:val="en-US" w:eastAsia="zh-CN"/>
              </w:rPr>
              <w:t>叠螺脱水机</w:t>
            </w:r>
            <w:r>
              <w:rPr>
                <w:rFonts w:hint="default"/>
                <w:lang w:val="en-US" w:eastAsia="zh-CN"/>
              </w:rPr>
              <w:t>脱水工艺</w:t>
            </w:r>
            <w:r>
              <w:rPr>
                <w:rFonts w:hint="eastAsia"/>
                <w:lang w:val="en-US" w:eastAsia="zh-CN"/>
              </w:rPr>
              <w:t>，</w:t>
            </w:r>
            <w:r>
              <w:rPr>
                <w:rFonts w:hint="default"/>
                <w:lang w:val="en-US" w:eastAsia="zh-CN"/>
              </w:rPr>
              <w:t>污泥含</w:t>
            </w:r>
            <w:r>
              <w:rPr>
                <w:rFonts w:hint="default"/>
                <w:highlight w:val="none"/>
                <w:lang w:val="en-US" w:eastAsia="zh-CN"/>
              </w:rPr>
              <w:t>水率</w:t>
            </w:r>
            <w:r>
              <w:rPr>
                <w:rFonts w:hint="eastAsia"/>
                <w:highlight w:val="none"/>
                <w:lang w:val="en-US" w:eastAsia="zh-CN"/>
              </w:rPr>
              <w:t>约为65%</w:t>
            </w:r>
            <w:r>
              <w:rPr>
                <w:rFonts w:hint="default"/>
                <w:highlight w:val="none"/>
                <w:lang w:val="en-US" w:eastAsia="zh-CN"/>
              </w:rPr>
              <w:t>。</w:t>
            </w:r>
          </w:p>
          <w:p w14:paraId="3A17C421">
            <w:pPr>
              <w:bidi w:val="0"/>
              <w:jc w:val="both"/>
              <w:rPr>
                <w:rFonts w:hint="default"/>
                <w:lang w:val="en-US" w:eastAsia="zh-CN"/>
              </w:rPr>
            </w:pPr>
            <w:r>
              <w:rPr>
                <w:rFonts w:hint="default"/>
                <w:lang w:val="en-US" w:eastAsia="zh-CN"/>
              </w:rPr>
              <w:t>生物接触氧化法是一种好氧生物膜污水处理方法，该系统由浸没于污水中的直料、填料表面的生物膜、曝气系统和池体构成。在有条件下</w:t>
            </w:r>
            <w:r>
              <w:rPr>
                <w:rFonts w:hint="eastAsia"/>
                <w:lang w:val="en-US" w:eastAsia="zh-CN"/>
              </w:rPr>
              <w:t>，</w:t>
            </w:r>
            <w:r>
              <w:rPr>
                <w:rFonts w:hint="default"/>
                <w:lang w:val="en-US" w:eastAsia="zh-CN"/>
              </w:rPr>
              <w:t>污水与固着在填料表面的生物膜充分接触，通过生物降解作用去除水中的有机物、营养盐等</w:t>
            </w:r>
            <w:r>
              <w:rPr>
                <w:rFonts w:hint="eastAsia"/>
                <w:lang w:val="en-US" w:eastAsia="zh-CN"/>
              </w:rPr>
              <w:t>，</w:t>
            </w:r>
            <w:r>
              <w:rPr>
                <w:rFonts w:hint="default"/>
                <w:lang w:val="en-US" w:eastAsia="zh-CN"/>
              </w:rPr>
              <w:t>使污水得到净化。</w:t>
            </w:r>
          </w:p>
          <w:p w14:paraId="05094AB5">
            <w:pPr>
              <w:bidi w:val="0"/>
              <w:jc w:val="both"/>
              <w:rPr>
                <w:rFonts w:hint="eastAsia"/>
                <w:lang w:val="en-US" w:eastAsia="zh-CN"/>
              </w:rPr>
            </w:pPr>
            <w:r>
              <w:rPr>
                <w:rFonts w:hint="eastAsia"/>
                <w:lang w:val="en-US" w:eastAsia="zh-CN"/>
              </w:rPr>
              <w:t>根据</w:t>
            </w:r>
            <w:r>
              <w:rPr>
                <w:rFonts w:hint="eastAsia"/>
              </w:rPr>
              <w:t>《医疗机构污水处理工程技术标准》(GB51459—2024)</w:t>
            </w:r>
            <w:r>
              <w:rPr>
                <w:rFonts w:hint="eastAsia"/>
                <w:lang w:val="en-US" w:eastAsia="zh-CN"/>
              </w:rPr>
              <w:t>4.1.3新建医疗机构污水处理工程设计处理水量可在实测或测算的基础上留有设计裕量，设计裕量宜取实测值或测算值的10%~20%，项目污水处理站设计水量为100m³/d，测算值为87.9762m³/d，设计裕量为为测算值的13.7%，满足标准要求。</w:t>
            </w:r>
          </w:p>
          <w:p w14:paraId="59421986">
            <w:pPr>
              <w:jc w:val="both"/>
              <w:rPr>
                <w:rFonts w:hint="eastAsia"/>
                <w:lang w:val="en-US" w:eastAsia="zh-CN"/>
              </w:rPr>
            </w:pPr>
            <w:r>
              <w:rPr>
                <w:rFonts w:hint="eastAsia"/>
                <w:lang w:val="en-US" w:eastAsia="zh-CN"/>
              </w:rPr>
              <w:t>根据</w:t>
            </w:r>
            <w:r>
              <w:rPr>
                <w:rFonts w:hint="eastAsia"/>
              </w:rPr>
              <w:t>《医疗机构污水处理工程技术标准》(GB51459—2024)</w:t>
            </w:r>
            <w:r>
              <w:rPr>
                <w:rFonts w:hint="eastAsia"/>
                <w:lang w:val="en-US" w:eastAsia="zh-CN"/>
              </w:rPr>
              <w:t>9.1.2 2 非传染病医疗机构污水处理工程应急事故池容积不应小于日排放量的30%，本项目废水排放量为87.9762m³/d，应设应急事故池容积为26.4m³。本项目</w:t>
            </w:r>
            <w:r>
              <w:rPr>
                <w:rFonts w:hint="eastAsia"/>
                <w:highlight w:val="none"/>
                <w:lang w:val="en-US" w:eastAsia="zh-CN"/>
              </w:rPr>
              <w:t>拟设置应急事故池30m³，</w:t>
            </w:r>
            <w:r>
              <w:rPr>
                <w:rFonts w:hint="eastAsia"/>
                <w:lang w:val="en-US" w:eastAsia="zh-CN"/>
              </w:rPr>
              <w:t>一旦出现事故情况，废水应全部排入应急事故池内，待污水处理站正常运行后进行处理达标排放。</w:t>
            </w:r>
          </w:p>
          <w:p w14:paraId="329F1BC4">
            <w:pPr>
              <w:numPr>
                <w:ilvl w:val="0"/>
                <w:numId w:val="2"/>
              </w:numPr>
              <w:bidi w:val="0"/>
              <w:jc w:val="both"/>
              <w:rPr>
                <w:rFonts w:hint="eastAsia"/>
                <w:b/>
                <w:bCs/>
                <w:lang w:val="en-US" w:eastAsia="zh-CN"/>
              </w:rPr>
            </w:pPr>
            <w:r>
              <w:rPr>
                <w:rFonts w:hint="eastAsia"/>
                <w:b/>
                <w:bCs/>
                <w:lang w:val="en-US" w:eastAsia="zh-CN"/>
              </w:rPr>
              <w:t>污水处理效率及处理工艺可行性分析</w:t>
            </w:r>
          </w:p>
          <w:p w14:paraId="03FB355E">
            <w:pPr>
              <w:bidi w:val="0"/>
              <w:jc w:val="both"/>
              <w:rPr>
                <w:rFonts w:hint="eastAsia"/>
                <w:lang w:val="en-US" w:eastAsia="zh-CN"/>
              </w:rPr>
            </w:pPr>
            <w:r>
              <w:rPr>
                <w:rFonts w:hint="eastAsia"/>
                <w:lang w:val="en-US" w:eastAsia="zh-CN"/>
              </w:rPr>
              <w:t>类比同类型的采用相同污水处理工艺的项目可知污水处理各单元对废水污染物的处理效率详见下表。</w:t>
            </w:r>
          </w:p>
          <w:p w14:paraId="4C677F35">
            <w:pPr>
              <w:pStyle w:val="27"/>
              <w:bidi w:val="0"/>
              <w:rPr>
                <w:rFonts w:hint="default" w:eastAsia="宋体"/>
                <w:vertAlign w:val="baseline"/>
                <w:lang w:val="en-US" w:eastAsia="zh-CN"/>
              </w:rPr>
            </w:pPr>
            <w:r>
              <w:rPr>
                <w:rFonts w:hint="eastAsia"/>
              </w:rPr>
              <w:t>表4-</w:t>
            </w:r>
            <w:r>
              <w:rPr>
                <w:rFonts w:hint="eastAsia"/>
                <w:lang w:val="en-US" w:eastAsia="zh-CN"/>
              </w:rPr>
              <w:t>11</w:t>
            </w:r>
            <w:r>
              <w:rPr>
                <w:rFonts w:hint="eastAsia"/>
              </w:rPr>
              <w:t xml:space="preserve"> </w:t>
            </w:r>
            <w:r>
              <w:rPr>
                <w:rFonts w:hint="eastAsia"/>
                <w:lang w:val="en-US" w:eastAsia="zh-CN"/>
              </w:rPr>
              <w:t xml:space="preserve"> 水污染处理效果一览表  单位mg/L，粪大肠菌群除外</w:t>
            </w:r>
          </w:p>
          <w:tbl>
            <w:tblPr>
              <w:tblStyle w:val="18"/>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8"/>
              <w:gridCol w:w="1983"/>
              <w:gridCol w:w="1150"/>
              <w:gridCol w:w="1167"/>
              <w:gridCol w:w="1150"/>
              <w:gridCol w:w="977"/>
              <w:gridCol w:w="1192"/>
            </w:tblGrid>
            <w:tr w14:paraId="4470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jc w:val="center"/>
              </w:trPr>
              <w:tc>
                <w:tcPr>
                  <w:tcW w:w="2981" w:type="dxa"/>
                  <w:gridSpan w:val="2"/>
                  <w:shd w:val="clear" w:color="auto" w:fill="auto"/>
                  <w:vAlign w:val="center"/>
                </w:tcPr>
                <w:p w14:paraId="3DF3B111">
                  <w:pPr>
                    <w:pStyle w:val="32"/>
                    <w:bidi w:val="0"/>
                    <w:jc w:val="center"/>
                    <w:rPr>
                      <w:rFonts w:hint="eastAsia"/>
                      <w:b/>
                      <w:bCs/>
                    </w:rPr>
                  </w:pPr>
                  <w:r>
                    <w:rPr>
                      <w:rFonts w:hint="eastAsia"/>
                      <w:b/>
                      <w:bCs/>
                      <w:lang w:val="en-US" w:eastAsia="zh-CN"/>
                    </w:rPr>
                    <w:t>项目</w:t>
                  </w:r>
                </w:p>
              </w:tc>
              <w:tc>
                <w:tcPr>
                  <w:tcW w:w="1150" w:type="dxa"/>
                  <w:shd w:val="clear" w:color="auto" w:fill="auto"/>
                  <w:vAlign w:val="center"/>
                </w:tcPr>
                <w:p w14:paraId="314801A7">
                  <w:pPr>
                    <w:pStyle w:val="32"/>
                    <w:bidi w:val="0"/>
                    <w:jc w:val="center"/>
                    <w:rPr>
                      <w:rFonts w:hint="default"/>
                      <w:b/>
                      <w:bCs/>
                    </w:rPr>
                  </w:pPr>
                  <w:r>
                    <w:rPr>
                      <w:rFonts w:hint="default"/>
                      <w:b/>
                      <w:bCs/>
                      <w:lang w:val="en-US" w:eastAsia="zh-CN"/>
                    </w:rPr>
                    <w:t>COD</w:t>
                  </w:r>
                  <w:r>
                    <w:rPr>
                      <w:b/>
                      <w:bCs/>
                      <w:lang w:val="en-US" w:eastAsia="zh-CN"/>
                    </w:rPr>
                    <w:t>cr</w:t>
                  </w:r>
                </w:p>
              </w:tc>
              <w:tc>
                <w:tcPr>
                  <w:tcW w:w="1167" w:type="dxa"/>
                  <w:shd w:val="clear" w:color="auto" w:fill="auto"/>
                  <w:vAlign w:val="center"/>
                </w:tcPr>
                <w:p w14:paraId="28192044">
                  <w:pPr>
                    <w:pStyle w:val="32"/>
                    <w:bidi w:val="0"/>
                    <w:jc w:val="center"/>
                    <w:rPr>
                      <w:rFonts w:hint="default"/>
                      <w:b/>
                      <w:bCs/>
                    </w:rPr>
                  </w:pPr>
                  <w:r>
                    <w:rPr>
                      <w:rFonts w:hint="default"/>
                      <w:b/>
                      <w:bCs/>
                      <w:lang w:val="en-US" w:eastAsia="zh-CN"/>
                    </w:rPr>
                    <w:t>NH</w:t>
                  </w:r>
                  <w:r>
                    <w:rPr>
                      <w:b/>
                      <w:bCs/>
                      <w:vertAlign w:val="subscript"/>
                      <w:lang w:val="en-US" w:eastAsia="zh-CN"/>
                    </w:rPr>
                    <w:t>3</w:t>
                  </w:r>
                  <w:r>
                    <w:rPr>
                      <w:b/>
                      <w:bCs/>
                      <w:lang w:val="en-US" w:eastAsia="zh-CN"/>
                    </w:rPr>
                    <w:t>-N</w:t>
                  </w:r>
                </w:p>
              </w:tc>
              <w:tc>
                <w:tcPr>
                  <w:tcW w:w="1150" w:type="dxa"/>
                  <w:shd w:val="clear" w:color="auto" w:fill="auto"/>
                  <w:vAlign w:val="center"/>
                </w:tcPr>
                <w:p w14:paraId="4B03F79F">
                  <w:pPr>
                    <w:pStyle w:val="32"/>
                    <w:bidi w:val="0"/>
                    <w:jc w:val="center"/>
                    <w:rPr>
                      <w:rFonts w:hint="default"/>
                      <w:b/>
                      <w:bCs/>
                    </w:rPr>
                  </w:pPr>
                  <w:r>
                    <w:rPr>
                      <w:rFonts w:hint="default"/>
                      <w:b/>
                      <w:bCs/>
                      <w:lang w:val="en-US" w:eastAsia="zh-CN"/>
                    </w:rPr>
                    <w:t>BOD</w:t>
                  </w:r>
                  <w:r>
                    <w:rPr>
                      <w:b/>
                      <w:bCs/>
                      <w:vertAlign w:val="subscript"/>
                      <w:lang w:val="en-US" w:eastAsia="zh-CN"/>
                    </w:rPr>
                    <w:t>5</w:t>
                  </w:r>
                </w:p>
              </w:tc>
              <w:tc>
                <w:tcPr>
                  <w:tcW w:w="977" w:type="dxa"/>
                  <w:shd w:val="clear" w:color="auto" w:fill="auto"/>
                  <w:vAlign w:val="center"/>
                </w:tcPr>
                <w:p w14:paraId="20D5E62E">
                  <w:pPr>
                    <w:pStyle w:val="32"/>
                    <w:bidi w:val="0"/>
                    <w:jc w:val="center"/>
                    <w:rPr>
                      <w:rFonts w:hint="default"/>
                      <w:b/>
                      <w:bCs/>
                    </w:rPr>
                  </w:pPr>
                  <w:r>
                    <w:rPr>
                      <w:rFonts w:hint="default"/>
                      <w:b/>
                      <w:bCs/>
                      <w:lang w:val="en-US" w:eastAsia="zh-CN"/>
                    </w:rPr>
                    <w:t>SS</w:t>
                  </w:r>
                </w:p>
              </w:tc>
              <w:tc>
                <w:tcPr>
                  <w:tcW w:w="1192" w:type="dxa"/>
                  <w:shd w:val="clear" w:color="auto" w:fill="auto"/>
                  <w:vAlign w:val="center"/>
                </w:tcPr>
                <w:p w14:paraId="6FF55BF4">
                  <w:pPr>
                    <w:pStyle w:val="32"/>
                    <w:bidi w:val="0"/>
                    <w:jc w:val="center"/>
                    <w:rPr>
                      <w:rFonts w:hint="eastAsia"/>
                      <w:b/>
                      <w:bCs/>
                    </w:rPr>
                  </w:pPr>
                  <w:r>
                    <w:rPr>
                      <w:rFonts w:hint="eastAsia"/>
                      <w:b/>
                      <w:bCs/>
                      <w:lang w:val="en-US" w:eastAsia="zh-CN"/>
                    </w:rPr>
                    <w:t>类大肠菌群</w:t>
                  </w:r>
                </w:p>
              </w:tc>
            </w:tr>
            <w:tr w14:paraId="1D20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2981" w:type="dxa"/>
                  <w:gridSpan w:val="2"/>
                  <w:shd w:val="clear" w:color="auto" w:fill="auto"/>
                  <w:vAlign w:val="center"/>
                </w:tcPr>
                <w:p w14:paraId="3FBCFE6F">
                  <w:pPr>
                    <w:pStyle w:val="32"/>
                    <w:bidi w:val="0"/>
                    <w:jc w:val="center"/>
                    <w:rPr>
                      <w:rFonts w:hint="eastAsia"/>
                    </w:rPr>
                  </w:pPr>
                  <w:r>
                    <w:rPr>
                      <w:rFonts w:hint="eastAsia"/>
                      <w:lang w:val="en-US" w:eastAsia="zh-CN"/>
                    </w:rPr>
                    <w:t>进水水质（</w:t>
                  </w:r>
                  <w:r>
                    <w:rPr>
                      <w:lang w:val="en-US" w:eastAsia="zh-CN"/>
                    </w:rPr>
                    <w:t>mg/L）</w:t>
                  </w:r>
                </w:p>
              </w:tc>
              <w:tc>
                <w:tcPr>
                  <w:tcW w:w="1150" w:type="dxa"/>
                  <w:shd w:val="clear" w:color="auto" w:fill="auto"/>
                  <w:vAlign w:val="center"/>
                </w:tcPr>
                <w:p w14:paraId="213D52AF">
                  <w:pPr>
                    <w:pStyle w:val="32"/>
                    <w:bidi w:val="0"/>
                    <w:jc w:val="center"/>
                    <w:rPr>
                      <w:rFonts w:hint="default"/>
                    </w:rPr>
                  </w:pPr>
                  <w:r>
                    <w:rPr>
                      <w:rFonts w:hint="default"/>
                      <w:lang w:val="en-US" w:eastAsia="zh-CN"/>
                    </w:rPr>
                    <w:t>300</w:t>
                  </w:r>
                </w:p>
              </w:tc>
              <w:tc>
                <w:tcPr>
                  <w:tcW w:w="1167" w:type="dxa"/>
                  <w:shd w:val="clear" w:color="auto" w:fill="auto"/>
                  <w:vAlign w:val="center"/>
                </w:tcPr>
                <w:p w14:paraId="0B479D77">
                  <w:pPr>
                    <w:pStyle w:val="32"/>
                    <w:bidi w:val="0"/>
                    <w:jc w:val="center"/>
                    <w:rPr>
                      <w:rFonts w:hint="default"/>
                    </w:rPr>
                  </w:pPr>
                  <w:r>
                    <w:rPr>
                      <w:rFonts w:hint="default"/>
                      <w:lang w:val="en-US" w:eastAsia="zh-CN"/>
                    </w:rPr>
                    <w:t>50</w:t>
                  </w:r>
                </w:p>
              </w:tc>
              <w:tc>
                <w:tcPr>
                  <w:tcW w:w="1150" w:type="dxa"/>
                  <w:shd w:val="clear" w:color="auto" w:fill="auto"/>
                  <w:vAlign w:val="center"/>
                </w:tcPr>
                <w:p w14:paraId="3C8D997B">
                  <w:pPr>
                    <w:pStyle w:val="32"/>
                    <w:bidi w:val="0"/>
                    <w:jc w:val="center"/>
                    <w:rPr>
                      <w:rFonts w:hint="default"/>
                    </w:rPr>
                  </w:pPr>
                  <w:r>
                    <w:rPr>
                      <w:rFonts w:hint="default"/>
                      <w:lang w:val="en-US" w:eastAsia="zh-CN"/>
                    </w:rPr>
                    <w:t>150</w:t>
                  </w:r>
                </w:p>
              </w:tc>
              <w:tc>
                <w:tcPr>
                  <w:tcW w:w="977" w:type="dxa"/>
                  <w:shd w:val="clear" w:color="auto" w:fill="auto"/>
                  <w:vAlign w:val="center"/>
                </w:tcPr>
                <w:p w14:paraId="2EEDE0DC">
                  <w:pPr>
                    <w:pStyle w:val="32"/>
                    <w:bidi w:val="0"/>
                    <w:jc w:val="center"/>
                    <w:rPr>
                      <w:rFonts w:hint="default"/>
                    </w:rPr>
                  </w:pPr>
                  <w:r>
                    <w:rPr>
                      <w:rFonts w:hint="default"/>
                      <w:lang w:val="en-US" w:eastAsia="zh-CN"/>
                    </w:rPr>
                    <w:t>120</w:t>
                  </w:r>
                </w:p>
              </w:tc>
              <w:tc>
                <w:tcPr>
                  <w:tcW w:w="1192" w:type="dxa"/>
                  <w:shd w:val="clear" w:color="auto" w:fill="auto"/>
                  <w:vAlign w:val="center"/>
                </w:tcPr>
                <w:p w14:paraId="49F82D63">
                  <w:pPr>
                    <w:pStyle w:val="32"/>
                    <w:bidi w:val="0"/>
                    <w:jc w:val="center"/>
                    <w:rPr>
                      <w:rFonts w:hint="default"/>
                    </w:rPr>
                  </w:pPr>
                  <w:r>
                    <w:rPr>
                      <w:rFonts w:hint="default"/>
                      <w:lang w:val="en-US" w:eastAsia="zh-CN"/>
                    </w:rPr>
                    <w:t>3</w:t>
                  </w:r>
                  <w:r>
                    <w:rPr>
                      <w:lang w:val="en-US" w:eastAsia="zh-CN"/>
                    </w:rPr>
                    <w:t>×10</w:t>
                  </w:r>
                  <w:r>
                    <w:rPr>
                      <w:vertAlign w:val="superscript"/>
                      <w:lang w:val="en-US" w:eastAsia="zh-CN"/>
                    </w:rPr>
                    <w:t>8</w:t>
                  </w:r>
                  <w:r>
                    <w:rPr>
                      <w:lang w:val="en-US" w:eastAsia="zh-CN"/>
                    </w:rPr>
                    <w:t>个/L</w:t>
                  </w:r>
                </w:p>
              </w:tc>
            </w:tr>
            <w:tr w14:paraId="0F3E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vMerge w:val="restart"/>
                  <w:shd w:val="clear" w:color="auto" w:fill="auto"/>
                  <w:vAlign w:val="center"/>
                </w:tcPr>
                <w:p w14:paraId="301B863C">
                  <w:pPr>
                    <w:pStyle w:val="32"/>
                    <w:bidi w:val="0"/>
                    <w:jc w:val="center"/>
                    <w:rPr>
                      <w:rFonts w:hint="eastAsia"/>
                    </w:rPr>
                  </w:pPr>
                  <w:r>
                    <w:rPr>
                      <w:rFonts w:hint="eastAsia"/>
                      <w:lang w:val="en-US" w:eastAsia="zh-CN"/>
                    </w:rPr>
                    <w:t>化粪池</w:t>
                  </w:r>
                </w:p>
              </w:tc>
              <w:tc>
                <w:tcPr>
                  <w:tcW w:w="1983" w:type="dxa"/>
                  <w:shd w:val="clear" w:color="auto" w:fill="auto"/>
                  <w:vAlign w:val="center"/>
                </w:tcPr>
                <w:p w14:paraId="0E4A6756">
                  <w:pPr>
                    <w:pStyle w:val="32"/>
                    <w:bidi w:val="0"/>
                    <w:jc w:val="center"/>
                    <w:rPr>
                      <w:rFonts w:hint="default"/>
                      <w:lang w:val="en-US" w:eastAsia="zh-CN"/>
                    </w:rPr>
                  </w:pPr>
                  <w:r>
                    <w:rPr>
                      <w:rFonts w:hint="eastAsia"/>
                      <w:lang w:val="en-US" w:eastAsia="zh-CN"/>
                    </w:rPr>
                    <w:t>去除率（%）</w:t>
                  </w:r>
                </w:p>
              </w:tc>
              <w:tc>
                <w:tcPr>
                  <w:tcW w:w="1150" w:type="dxa"/>
                  <w:shd w:val="clear" w:color="auto" w:fill="auto"/>
                  <w:vAlign w:val="center"/>
                </w:tcPr>
                <w:p w14:paraId="3AB40E72">
                  <w:pPr>
                    <w:pStyle w:val="32"/>
                    <w:bidi w:val="0"/>
                    <w:jc w:val="center"/>
                    <w:rPr>
                      <w:rFonts w:hint="default"/>
                    </w:rPr>
                  </w:pPr>
                  <w:r>
                    <w:rPr>
                      <w:rFonts w:hint="default"/>
                      <w:lang w:val="en-US" w:eastAsia="zh-CN"/>
                    </w:rPr>
                    <w:t>10</w:t>
                  </w:r>
                </w:p>
              </w:tc>
              <w:tc>
                <w:tcPr>
                  <w:tcW w:w="1167" w:type="dxa"/>
                  <w:shd w:val="clear" w:color="auto" w:fill="auto"/>
                  <w:vAlign w:val="center"/>
                </w:tcPr>
                <w:p w14:paraId="20668E8F">
                  <w:pPr>
                    <w:pStyle w:val="32"/>
                    <w:bidi w:val="0"/>
                    <w:jc w:val="center"/>
                    <w:rPr>
                      <w:rFonts w:hint="default"/>
                    </w:rPr>
                  </w:pPr>
                  <w:r>
                    <w:rPr>
                      <w:rFonts w:hint="default"/>
                      <w:lang w:val="en-US" w:eastAsia="zh-CN"/>
                    </w:rPr>
                    <w:t>0</w:t>
                  </w:r>
                </w:p>
              </w:tc>
              <w:tc>
                <w:tcPr>
                  <w:tcW w:w="1150" w:type="dxa"/>
                  <w:shd w:val="clear" w:color="auto" w:fill="auto"/>
                  <w:vAlign w:val="center"/>
                </w:tcPr>
                <w:p w14:paraId="478EDF9A">
                  <w:pPr>
                    <w:pStyle w:val="32"/>
                    <w:bidi w:val="0"/>
                    <w:jc w:val="center"/>
                    <w:rPr>
                      <w:rFonts w:hint="default"/>
                    </w:rPr>
                  </w:pPr>
                  <w:r>
                    <w:rPr>
                      <w:rFonts w:hint="default"/>
                      <w:lang w:val="en-US" w:eastAsia="zh-CN"/>
                    </w:rPr>
                    <w:t>10</w:t>
                  </w:r>
                </w:p>
              </w:tc>
              <w:tc>
                <w:tcPr>
                  <w:tcW w:w="977" w:type="dxa"/>
                  <w:shd w:val="clear" w:color="auto" w:fill="auto"/>
                  <w:vAlign w:val="center"/>
                </w:tcPr>
                <w:p w14:paraId="10308F28">
                  <w:pPr>
                    <w:pStyle w:val="32"/>
                    <w:bidi w:val="0"/>
                    <w:jc w:val="center"/>
                    <w:rPr>
                      <w:rFonts w:hint="default"/>
                    </w:rPr>
                  </w:pPr>
                  <w:r>
                    <w:rPr>
                      <w:rFonts w:hint="default"/>
                      <w:lang w:val="en-US" w:eastAsia="zh-CN"/>
                    </w:rPr>
                    <w:t>30</w:t>
                  </w:r>
                </w:p>
              </w:tc>
              <w:tc>
                <w:tcPr>
                  <w:tcW w:w="1192" w:type="dxa"/>
                  <w:shd w:val="clear" w:color="auto" w:fill="auto"/>
                  <w:vAlign w:val="center"/>
                </w:tcPr>
                <w:p w14:paraId="565092FD">
                  <w:pPr>
                    <w:pStyle w:val="32"/>
                    <w:bidi w:val="0"/>
                    <w:jc w:val="center"/>
                    <w:rPr>
                      <w:rFonts w:hint="default"/>
                    </w:rPr>
                  </w:pPr>
                  <w:r>
                    <w:rPr>
                      <w:rFonts w:hint="default"/>
                      <w:lang w:val="en-US" w:eastAsia="zh-CN"/>
                    </w:rPr>
                    <w:t>/</w:t>
                  </w:r>
                </w:p>
              </w:tc>
            </w:tr>
            <w:tr w14:paraId="33DF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998" w:type="dxa"/>
                  <w:vMerge w:val="continue"/>
                  <w:shd w:val="clear" w:color="auto" w:fill="auto"/>
                  <w:vAlign w:val="center"/>
                </w:tcPr>
                <w:p w14:paraId="06363616">
                  <w:pPr>
                    <w:pStyle w:val="32"/>
                    <w:bidi w:val="0"/>
                    <w:jc w:val="center"/>
                    <w:rPr>
                      <w:rFonts w:hint="default"/>
                    </w:rPr>
                  </w:pPr>
                </w:p>
              </w:tc>
              <w:tc>
                <w:tcPr>
                  <w:tcW w:w="1983" w:type="dxa"/>
                  <w:shd w:val="clear" w:color="auto" w:fill="auto"/>
                  <w:vAlign w:val="center"/>
                </w:tcPr>
                <w:p w14:paraId="4BE2CF2A">
                  <w:pPr>
                    <w:pStyle w:val="32"/>
                    <w:bidi w:val="0"/>
                    <w:jc w:val="center"/>
                    <w:rPr>
                      <w:rFonts w:hint="default" w:eastAsia="宋体"/>
                      <w:lang w:val="en-US" w:eastAsia="zh-CN"/>
                    </w:rPr>
                  </w:pPr>
                  <w:r>
                    <w:rPr>
                      <w:rFonts w:hint="eastAsia"/>
                      <w:lang w:val="en-US" w:eastAsia="zh-CN"/>
                    </w:rPr>
                    <w:t>出水浓度（mg/L）</w:t>
                  </w:r>
                </w:p>
              </w:tc>
              <w:tc>
                <w:tcPr>
                  <w:tcW w:w="1150" w:type="dxa"/>
                  <w:shd w:val="clear" w:color="auto" w:fill="auto"/>
                  <w:vAlign w:val="center"/>
                </w:tcPr>
                <w:p w14:paraId="194821A9">
                  <w:pPr>
                    <w:pStyle w:val="32"/>
                    <w:bidi w:val="0"/>
                    <w:jc w:val="center"/>
                    <w:rPr>
                      <w:rFonts w:hint="default"/>
                    </w:rPr>
                  </w:pPr>
                  <w:r>
                    <w:rPr>
                      <w:rFonts w:hint="default"/>
                      <w:lang w:val="en-US" w:eastAsia="zh-CN"/>
                    </w:rPr>
                    <w:t>270</w:t>
                  </w:r>
                </w:p>
              </w:tc>
              <w:tc>
                <w:tcPr>
                  <w:tcW w:w="1167" w:type="dxa"/>
                  <w:shd w:val="clear" w:color="auto" w:fill="auto"/>
                  <w:vAlign w:val="center"/>
                </w:tcPr>
                <w:p w14:paraId="388988A0">
                  <w:pPr>
                    <w:pStyle w:val="32"/>
                    <w:bidi w:val="0"/>
                    <w:jc w:val="center"/>
                    <w:rPr>
                      <w:rFonts w:hint="default"/>
                    </w:rPr>
                  </w:pPr>
                  <w:r>
                    <w:rPr>
                      <w:rFonts w:hint="default"/>
                      <w:lang w:val="en-US" w:eastAsia="zh-CN"/>
                    </w:rPr>
                    <w:t>50</w:t>
                  </w:r>
                </w:p>
              </w:tc>
              <w:tc>
                <w:tcPr>
                  <w:tcW w:w="1150" w:type="dxa"/>
                  <w:shd w:val="clear" w:color="auto" w:fill="auto"/>
                  <w:vAlign w:val="center"/>
                </w:tcPr>
                <w:p w14:paraId="25CB1A30">
                  <w:pPr>
                    <w:pStyle w:val="32"/>
                    <w:bidi w:val="0"/>
                    <w:jc w:val="center"/>
                    <w:rPr>
                      <w:rFonts w:hint="default"/>
                    </w:rPr>
                  </w:pPr>
                  <w:r>
                    <w:rPr>
                      <w:rFonts w:hint="default"/>
                      <w:lang w:val="en-US" w:eastAsia="zh-CN"/>
                    </w:rPr>
                    <w:t>135</w:t>
                  </w:r>
                </w:p>
              </w:tc>
              <w:tc>
                <w:tcPr>
                  <w:tcW w:w="977" w:type="dxa"/>
                  <w:shd w:val="clear" w:color="auto" w:fill="auto"/>
                  <w:vAlign w:val="center"/>
                </w:tcPr>
                <w:p w14:paraId="26810D54">
                  <w:pPr>
                    <w:pStyle w:val="32"/>
                    <w:bidi w:val="0"/>
                    <w:jc w:val="center"/>
                    <w:rPr>
                      <w:rFonts w:hint="default"/>
                    </w:rPr>
                  </w:pPr>
                  <w:r>
                    <w:rPr>
                      <w:rFonts w:hint="default"/>
                      <w:lang w:val="en-US" w:eastAsia="zh-CN"/>
                    </w:rPr>
                    <w:t>84</w:t>
                  </w:r>
                </w:p>
              </w:tc>
              <w:tc>
                <w:tcPr>
                  <w:tcW w:w="1192" w:type="dxa"/>
                  <w:shd w:val="clear" w:color="auto" w:fill="auto"/>
                  <w:vAlign w:val="center"/>
                </w:tcPr>
                <w:p w14:paraId="49206451">
                  <w:pPr>
                    <w:pStyle w:val="32"/>
                    <w:bidi w:val="0"/>
                    <w:jc w:val="center"/>
                    <w:rPr>
                      <w:rFonts w:hint="default"/>
                    </w:rPr>
                  </w:pPr>
                  <w:r>
                    <w:rPr>
                      <w:rFonts w:hint="default"/>
                      <w:lang w:val="en-US" w:eastAsia="zh-CN"/>
                    </w:rPr>
                    <w:t>3×10</w:t>
                  </w:r>
                  <w:r>
                    <w:rPr>
                      <w:rFonts w:hint="default"/>
                      <w:vertAlign w:val="superscript"/>
                      <w:lang w:val="en-US" w:eastAsia="zh-CN"/>
                    </w:rPr>
                    <w:t>8</w:t>
                  </w:r>
                  <w:r>
                    <w:rPr>
                      <w:lang w:val="en-US" w:eastAsia="zh-CN"/>
                    </w:rPr>
                    <w:t>个/L</w:t>
                  </w:r>
                </w:p>
              </w:tc>
            </w:tr>
            <w:tr w14:paraId="54C0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998" w:type="dxa"/>
                  <w:vMerge w:val="restart"/>
                  <w:shd w:val="clear" w:color="auto" w:fill="auto"/>
                  <w:vAlign w:val="center"/>
                </w:tcPr>
                <w:p w14:paraId="239BD464">
                  <w:pPr>
                    <w:pStyle w:val="32"/>
                    <w:bidi w:val="0"/>
                    <w:jc w:val="center"/>
                    <w:rPr>
                      <w:rFonts w:hint="eastAsia"/>
                    </w:rPr>
                  </w:pPr>
                  <w:r>
                    <w:rPr>
                      <w:rFonts w:hint="eastAsia"/>
                      <w:lang w:val="en-US" w:eastAsia="zh-CN"/>
                    </w:rPr>
                    <w:t>水解酸化池</w:t>
                  </w:r>
                </w:p>
              </w:tc>
              <w:tc>
                <w:tcPr>
                  <w:tcW w:w="1983" w:type="dxa"/>
                  <w:shd w:val="clear" w:color="auto" w:fill="auto"/>
                  <w:vAlign w:val="center"/>
                </w:tcPr>
                <w:p w14:paraId="745A16B8">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去除率（%）</w:t>
                  </w:r>
                </w:p>
              </w:tc>
              <w:tc>
                <w:tcPr>
                  <w:tcW w:w="1150" w:type="dxa"/>
                  <w:shd w:val="clear" w:color="auto" w:fill="auto"/>
                  <w:vAlign w:val="center"/>
                </w:tcPr>
                <w:p w14:paraId="6A681061">
                  <w:pPr>
                    <w:pStyle w:val="32"/>
                    <w:bidi w:val="0"/>
                    <w:jc w:val="center"/>
                    <w:rPr>
                      <w:rFonts w:hint="default"/>
                    </w:rPr>
                  </w:pPr>
                  <w:r>
                    <w:rPr>
                      <w:rFonts w:hint="default"/>
                      <w:lang w:val="en-US" w:eastAsia="zh-CN"/>
                    </w:rPr>
                    <w:t>35</w:t>
                  </w:r>
                </w:p>
              </w:tc>
              <w:tc>
                <w:tcPr>
                  <w:tcW w:w="1167" w:type="dxa"/>
                  <w:shd w:val="clear" w:color="auto" w:fill="auto"/>
                  <w:vAlign w:val="center"/>
                </w:tcPr>
                <w:p w14:paraId="45EE13F8">
                  <w:pPr>
                    <w:pStyle w:val="32"/>
                    <w:bidi w:val="0"/>
                    <w:jc w:val="center"/>
                    <w:rPr>
                      <w:rFonts w:hint="default"/>
                    </w:rPr>
                  </w:pPr>
                  <w:r>
                    <w:rPr>
                      <w:rFonts w:hint="default"/>
                      <w:lang w:val="en-US" w:eastAsia="zh-CN"/>
                    </w:rPr>
                    <w:t>25</w:t>
                  </w:r>
                </w:p>
              </w:tc>
              <w:tc>
                <w:tcPr>
                  <w:tcW w:w="1150" w:type="dxa"/>
                  <w:shd w:val="clear" w:color="auto" w:fill="auto"/>
                  <w:vAlign w:val="center"/>
                </w:tcPr>
                <w:p w14:paraId="512A29D5">
                  <w:pPr>
                    <w:pStyle w:val="32"/>
                    <w:bidi w:val="0"/>
                    <w:jc w:val="center"/>
                    <w:rPr>
                      <w:rFonts w:hint="default"/>
                    </w:rPr>
                  </w:pPr>
                  <w:r>
                    <w:rPr>
                      <w:rFonts w:hint="default"/>
                      <w:lang w:val="en-US" w:eastAsia="zh-CN"/>
                    </w:rPr>
                    <w:t>35</w:t>
                  </w:r>
                </w:p>
              </w:tc>
              <w:tc>
                <w:tcPr>
                  <w:tcW w:w="977" w:type="dxa"/>
                  <w:shd w:val="clear" w:color="auto" w:fill="auto"/>
                  <w:vAlign w:val="center"/>
                </w:tcPr>
                <w:p w14:paraId="413A2503">
                  <w:pPr>
                    <w:pStyle w:val="32"/>
                    <w:bidi w:val="0"/>
                    <w:jc w:val="center"/>
                    <w:rPr>
                      <w:rFonts w:hint="default"/>
                    </w:rPr>
                  </w:pPr>
                  <w:r>
                    <w:rPr>
                      <w:rFonts w:hint="default"/>
                      <w:lang w:val="en-US" w:eastAsia="zh-CN"/>
                    </w:rPr>
                    <w:t>30</w:t>
                  </w:r>
                </w:p>
              </w:tc>
              <w:tc>
                <w:tcPr>
                  <w:tcW w:w="1192" w:type="dxa"/>
                  <w:shd w:val="clear" w:color="auto" w:fill="auto"/>
                  <w:noWrap/>
                  <w:vAlign w:val="center"/>
                </w:tcPr>
                <w:p w14:paraId="2B47C5EF">
                  <w:pPr>
                    <w:pStyle w:val="32"/>
                    <w:bidi w:val="0"/>
                    <w:jc w:val="center"/>
                    <w:rPr>
                      <w:rFonts w:hint="eastAsia"/>
                    </w:rPr>
                  </w:pPr>
                  <w:r>
                    <w:rPr>
                      <w:rFonts w:hint="eastAsia"/>
                      <w:lang w:val="en-US" w:eastAsia="zh-CN"/>
                    </w:rPr>
                    <w:t>/</w:t>
                  </w:r>
                </w:p>
              </w:tc>
            </w:tr>
            <w:tr w14:paraId="124E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vMerge w:val="continue"/>
                  <w:shd w:val="clear" w:color="auto" w:fill="auto"/>
                  <w:vAlign w:val="center"/>
                </w:tcPr>
                <w:p w14:paraId="0AC19117">
                  <w:pPr>
                    <w:pStyle w:val="32"/>
                    <w:bidi w:val="0"/>
                    <w:jc w:val="center"/>
                    <w:rPr>
                      <w:rFonts w:hint="default"/>
                    </w:rPr>
                  </w:pPr>
                </w:p>
              </w:tc>
              <w:tc>
                <w:tcPr>
                  <w:tcW w:w="1983" w:type="dxa"/>
                  <w:shd w:val="clear" w:color="auto" w:fill="auto"/>
                  <w:vAlign w:val="center"/>
                </w:tcPr>
                <w:p w14:paraId="6BAC4A84">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出水浓度（mg/L）</w:t>
                  </w:r>
                </w:p>
              </w:tc>
              <w:tc>
                <w:tcPr>
                  <w:tcW w:w="1150" w:type="dxa"/>
                  <w:shd w:val="clear" w:color="auto" w:fill="auto"/>
                  <w:vAlign w:val="center"/>
                </w:tcPr>
                <w:p w14:paraId="76CD1025">
                  <w:pPr>
                    <w:pStyle w:val="32"/>
                    <w:bidi w:val="0"/>
                    <w:jc w:val="center"/>
                    <w:rPr>
                      <w:rFonts w:hint="default"/>
                    </w:rPr>
                  </w:pPr>
                  <w:r>
                    <w:rPr>
                      <w:rFonts w:hint="default"/>
                      <w:lang w:val="en-US" w:eastAsia="zh-CN"/>
                    </w:rPr>
                    <w:t>175.5</w:t>
                  </w:r>
                </w:p>
              </w:tc>
              <w:tc>
                <w:tcPr>
                  <w:tcW w:w="1167" w:type="dxa"/>
                  <w:shd w:val="clear" w:color="auto" w:fill="auto"/>
                  <w:vAlign w:val="center"/>
                </w:tcPr>
                <w:p w14:paraId="53DD4586">
                  <w:pPr>
                    <w:pStyle w:val="32"/>
                    <w:bidi w:val="0"/>
                    <w:jc w:val="center"/>
                    <w:rPr>
                      <w:rFonts w:hint="default"/>
                    </w:rPr>
                  </w:pPr>
                  <w:r>
                    <w:rPr>
                      <w:rFonts w:hint="default"/>
                      <w:lang w:val="en-US" w:eastAsia="zh-CN"/>
                    </w:rPr>
                    <w:t>37.5</w:t>
                  </w:r>
                </w:p>
              </w:tc>
              <w:tc>
                <w:tcPr>
                  <w:tcW w:w="1150" w:type="dxa"/>
                  <w:shd w:val="clear" w:color="auto" w:fill="auto"/>
                  <w:vAlign w:val="center"/>
                </w:tcPr>
                <w:p w14:paraId="10AA8571">
                  <w:pPr>
                    <w:pStyle w:val="32"/>
                    <w:bidi w:val="0"/>
                    <w:jc w:val="center"/>
                    <w:rPr>
                      <w:rFonts w:hint="default"/>
                    </w:rPr>
                  </w:pPr>
                  <w:r>
                    <w:rPr>
                      <w:rFonts w:hint="default"/>
                      <w:lang w:val="en-US" w:eastAsia="zh-CN"/>
                    </w:rPr>
                    <w:t>87.75</w:t>
                  </w:r>
                </w:p>
              </w:tc>
              <w:tc>
                <w:tcPr>
                  <w:tcW w:w="977" w:type="dxa"/>
                  <w:shd w:val="clear" w:color="auto" w:fill="auto"/>
                  <w:vAlign w:val="center"/>
                </w:tcPr>
                <w:p w14:paraId="5BDCC031">
                  <w:pPr>
                    <w:pStyle w:val="32"/>
                    <w:bidi w:val="0"/>
                    <w:jc w:val="center"/>
                    <w:rPr>
                      <w:rFonts w:hint="default"/>
                    </w:rPr>
                  </w:pPr>
                  <w:r>
                    <w:rPr>
                      <w:rFonts w:hint="default"/>
                      <w:lang w:val="en-US" w:eastAsia="zh-CN"/>
                    </w:rPr>
                    <w:t>58.8</w:t>
                  </w:r>
                </w:p>
              </w:tc>
              <w:tc>
                <w:tcPr>
                  <w:tcW w:w="1192" w:type="dxa"/>
                  <w:shd w:val="clear" w:color="auto" w:fill="auto"/>
                  <w:vAlign w:val="center"/>
                </w:tcPr>
                <w:p w14:paraId="66F33A3A">
                  <w:pPr>
                    <w:pStyle w:val="32"/>
                    <w:bidi w:val="0"/>
                    <w:jc w:val="center"/>
                    <w:rPr>
                      <w:rFonts w:hint="default"/>
                    </w:rPr>
                  </w:pPr>
                  <w:r>
                    <w:rPr>
                      <w:rFonts w:hint="default"/>
                      <w:lang w:val="en-US" w:eastAsia="zh-CN"/>
                    </w:rPr>
                    <w:t>3×10</w:t>
                  </w:r>
                  <w:r>
                    <w:rPr>
                      <w:rFonts w:hint="default"/>
                      <w:vertAlign w:val="superscript"/>
                      <w:lang w:val="en-US" w:eastAsia="zh-CN"/>
                    </w:rPr>
                    <w:t>8</w:t>
                  </w:r>
                  <w:r>
                    <w:rPr>
                      <w:rFonts w:hint="default"/>
                      <w:lang w:val="en-US" w:eastAsia="zh-CN"/>
                    </w:rPr>
                    <w:t>个/L</w:t>
                  </w:r>
                </w:p>
              </w:tc>
            </w:tr>
            <w:tr w14:paraId="3621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98" w:type="dxa"/>
                  <w:vMerge w:val="restart"/>
                  <w:shd w:val="clear" w:color="auto" w:fill="auto"/>
                  <w:vAlign w:val="center"/>
                </w:tcPr>
                <w:p w14:paraId="2C17EF84">
                  <w:pPr>
                    <w:pStyle w:val="32"/>
                    <w:bidi w:val="0"/>
                    <w:jc w:val="center"/>
                    <w:rPr>
                      <w:rFonts w:hint="eastAsia"/>
                    </w:rPr>
                  </w:pPr>
                  <w:r>
                    <w:rPr>
                      <w:rFonts w:hint="eastAsia"/>
                      <w:lang w:val="en-US" w:eastAsia="zh-CN"/>
                    </w:rPr>
                    <w:t>缺氧池</w:t>
                  </w:r>
                </w:p>
              </w:tc>
              <w:tc>
                <w:tcPr>
                  <w:tcW w:w="1983" w:type="dxa"/>
                  <w:shd w:val="clear" w:color="auto" w:fill="auto"/>
                  <w:vAlign w:val="center"/>
                </w:tcPr>
                <w:p w14:paraId="4A529402">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去除率（%）</w:t>
                  </w:r>
                </w:p>
              </w:tc>
              <w:tc>
                <w:tcPr>
                  <w:tcW w:w="1150" w:type="dxa"/>
                  <w:shd w:val="clear" w:color="auto" w:fill="auto"/>
                  <w:vAlign w:val="center"/>
                </w:tcPr>
                <w:p w14:paraId="4C832906">
                  <w:pPr>
                    <w:pStyle w:val="32"/>
                    <w:bidi w:val="0"/>
                    <w:jc w:val="center"/>
                    <w:rPr>
                      <w:rFonts w:hint="default"/>
                    </w:rPr>
                  </w:pPr>
                  <w:r>
                    <w:rPr>
                      <w:rFonts w:hint="default"/>
                      <w:lang w:val="en-US" w:eastAsia="zh-CN"/>
                    </w:rPr>
                    <w:t>50</w:t>
                  </w:r>
                </w:p>
              </w:tc>
              <w:tc>
                <w:tcPr>
                  <w:tcW w:w="1167" w:type="dxa"/>
                  <w:shd w:val="clear" w:color="auto" w:fill="auto"/>
                  <w:vAlign w:val="center"/>
                </w:tcPr>
                <w:p w14:paraId="1FAFC58E">
                  <w:pPr>
                    <w:pStyle w:val="32"/>
                    <w:bidi w:val="0"/>
                    <w:jc w:val="center"/>
                    <w:rPr>
                      <w:rFonts w:hint="default"/>
                    </w:rPr>
                  </w:pPr>
                  <w:r>
                    <w:rPr>
                      <w:rFonts w:hint="default"/>
                      <w:lang w:val="en-US" w:eastAsia="zh-CN"/>
                    </w:rPr>
                    <w:t>35</w:t>
                  </w:r>
                </w:p>
              </w:tc>
              <w:tc>
                <w:tcPr>
                  <w:tcW w:w="1150" w:type="dxa"/>
                  <w:shd w:val="clear" w:color="auto" w:fill="auto"/>
                  <w:vAlign w:val="center"/>
                </w:tcPr>
                <w:p w14:paraId="509B5BFC">
                  <w:pPr>
                    <w:pStyle w:val="32"/>
                    <w:bidi w:val="0"/>
                    <w:jc w:val="center"/>
                    <w:rPr>
                      <w:rFonts w:hint="default"/>
                    </w:rPr>
                  </w:pPr>
                  <w:r>
                    <w:rPr>
                      <w:rFonts w:hint="default"/>
                      <w:lang w:val="en-US" w:eastAsia="zh-CN"/>
                    </w:rPr>
                    <w:t>50</w:t>
                  </w:r>
                </w:p>
              </w:tc>
              <w:tc>
                <w:tcPr>
                  <w:tcW w:w="977" w:type="dxa"/>
                  <w:shd w:val="clear" w:color="auto" w:fill="auto"/>
                  <w:vAlign w:val="center"/>
                </w:tcPr>
                <w:p w14:paraId="35AA7FCC">
                  <w:pPr>
                    <w:pStyle w:val="32"/>
                    <w:bidi w:val="0"/>
                    <w:jc w:val="center"/>
                    <w:rPr>
                      <w:rFonts w:hint="default"/>
                    </w:rPr>
                  </w:pPr>
                  <w:r>
                    <w:rPr>
                      <w:rFonts w:hint="default"/>
                      <w:lang w:val="en-US" w:eastAsia="zh-CN"/>
                    </w:rPr>
                    <w:t>50</w:t>
                  </w:r>
                </w:p>
              </w:tc>
              <w:tc>
                <w:tcPr>
                  <w:tcW w:w="1192" w:type="dxa"/>
                  <w:shd w:val="clear" w:color="auto" w:fill="auto"/>
                  <w:vAlign w:val="center"/>
                </w:tcPr>
                <w:p w14:paraId="75E907BB">
                  <w:pPr>
                    <w:pStyle w:val="32"/>
                    <w:bidi w:val="0"/>
                    <w:jc w:val="center"/>
                    <w:rPr>
                      <w:rFonts w:hint="default"/>
                    </w:rPr>
                  </w:pPr>
                  <w:r>
                    <w:rPr>
                      <w:rFonts w:hint="default"/>
                      <w:lang w:val="en-US" w:eastAsia="zh-CN"/>
                    </w:rPr>
                    <w:t>/</w:t>
                  </w:r>
                </w:p>
              </w:tc>
            </w:tr>
            <w:tr w14:paraId="16BC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998" w:type="dxa"/>
                  <w:vMerge w:val="continue"/>
                  <w:shd w:val="clear" w:color="auto" w:fill="auto"/>
                  <w:vAlign w:val="center"/>
                </w:tcPr>
                <w:p w14:paraId="2B160715">
                  <w:pPr>
                    <w:pStyle w:val="32"/>
                    <w:bidi w:val="0"/>
                    <w:jc w:val="center"/>
                    <w:rPr>
                      <w:rFonts w:hint="default"/>
                    </w:rPr>
                  </w:pPr>
                </w:p>
              </w:tc>
              <w:tc>
                <w:tcPr>
                  <w:tcW w:w="1983" w:type="dxa"/>
                  <w:shd w:val="clear" w:color="auto" w:fill="auto"/>
                  <w:vAlign w:val="center"/>
                </w:tcPr>
                <w:p w14:paraId="077FB23B">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出水浓度（mg/L）</w:t>
                  </w:r>
                </w:p>
              </w:tc>
              <w:tc>
                <w:tcPr>
                  <w:tcW w:w="1150" w:type="dxa"/>
                  <w:shd w:val="clear" w:color="auto" w:fill="auto"/>
                  <w:vAlign w:val="center"/>
                </w:tcPr>
                <w:p w14:paraId="570326E9">
                  <w:pPr>
                    <w:pStyle w:val="32"/>
                    <w:bidi w:val="0"/>
                    <w:jc w:val="center"/>
                    <w:rPr>
                      <w:rFonts w:hint="default"/>
                    </w:rPr>
                  </w:pPr>
                  <w:r>
                    <w:rPr>
                      <w:rFonts w:hint="default"/>
                      <w:lang w:val="en-US" w:eastAsia="zh-CN"/>
                    </w:rPr>
                    <w:t>87.75</w:t>
                  </w:r>
                </w:p>
              </w:tc>
              <w:tc>
                <w:tcPr>
                  <w:tcW w:w="1167" w:type="dxa"/>
                  <w:shd w:val="clear" w:color="auto" w:fill="auto"/>
                  <w:vAlign w:val="center"/>
                </w:tcPr>
                <w:p w14:paraId="562DAC6D">
                  <w:pPr>
                    <w:pStyle w:val="32"/>
                    <w:bidi w:val="0"/>
                    <w:jc w:val="center"/>
                    <w:rPr>
                      <w:rFonts w:hint="default"/>
                    </w:rPr>
                  </w:pPr>
                  <w:r>
                    <w:rPr>
                      <w:rFonts w:hint="default"/>
                      <w:lang w:val="en-US" w:eastAsia="zh-CN"/>
                    </w:rPr>
                    <w:t>24.375</w:t>
                  </w:r>
                </w:p>
              </w:tc>
              <w:tc>
                <w:tcPr>
                  <w:tcW w:w="1150" w:type="dxa"/>
                  <w:shd w:val="clear" w:color="auto" w:fill="auto"/>
                  <w:vAlign w:val="center"/>
                </w:tcPr>
                <w:p w14:paraId="44AEAD59">
                  <w:pPr>
                    <w:pStyle w:val="32"/>
                    <w:bidi w:val="0"/>
                    <w:jc w:val="center"/>
                    <w:rPr>
                      <w:rFonts w:hint="default"/>
                    </w:rPr>
                  </w:pPr>
                  <w:r>
                    <w:rPr>
                      <w:rFonts w:hint="default"/>
                      <w:lang w:val="en-US" w:eastAsia="zh-CN"/>
                    </w:rPr>
                    <w:t>43.875</w:t>
                  </w:r>
                </w:p>
              </w:tc>
              <w:tc>
                <w:tcPr>
                  <w:tcW w:w="977" w:type="dxa"/>
                  <w:shd w:val="clear" w:color="auto" w:fill="auto"/>
                  <w:vAlign w:val="center"/>
                </w:tcPr>
                <w:p w14:paraId="5E70EDC6">
                  <w:pPr>
                    <w:pStyle w:val="32"/>
                    <w:bidi w:val="0"/>
                    <w:jc w:val="center"/>
                    <w:rPr>
                      <w:rFonts w:hint="default"/>
                    </w:rPr>
                  </w:pPr>
                  <w:r>
                    <w:rPr>
                      <w:rFonts w:hint="default"/>
                      <w:lang w:val="en-US" w:eastAsia="zh-CN"/>
                    </w:rPr>
                    <w:t>29.4</w:t>
                  </w:r>
                </w:p>
              </w:tc>
              <w:tc>
                <w:tcPr>
                  <w:tcW w:w="1192" w:type="dxa"/>
                  <w:shd w:val="clear" w:color="auto" w:fill="auto"/>
                  <w:vAlign w:val="center"/>
                </w:tcPr>
                <w:p w14:paraId="593B88D5">
                  <w:pPr>
                    <w:pStyle w:val="32"/>
                    <w:bidi w:val="0"/>
                    <w:jc w:val="center"/>
                    <w:rPr>
                      <w:rFonts w:hint="default"/>
                    </w:rPr>
                  </w:pPr>
                  <w:r>
                    <w:rPr>
                      <w:rFonts w:hint="default"/>
                      <w:lang w:val="en-US" w:eastAsia="zh-CN"/>
                    </w:rPr>
                    <w:t>3×10</w:t>
                  </w:r>
                  <w:r>
                    <w:rPr>
                      <w:rFonts w:hint="default"/>
                      <w:vertAlign w:val="superscript"/>
                      <w:lang w:val="en-US" w:eastAsia="zh-CN"/>
                    </w:rPr>
                    <w:t>8</w:t>
                  </w:r>
                  <w:r>
                    <w:rPr>
                      <w:rFonts w:hint="default"/>
                      <w:lang w:val="en-US" w:eastAsia="zh-CN"/>
                    </w:rPr>
                    <w:t>个/L</w:t>
                  </w:r>
                </w:p>
              </w:tc>
            </w:tr>
            <w:tr w14:paraId="50FF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998" w:type="dxa"/>
                  <w:vMerge w:val="restart"/>
                  <w:shd w:val="clear" w:color="auto" w:fill="auto"/>
                  <w:vAlign w:val="center"/>
                </w:tcPr>
                <w:p w14:paraId="217B0CD6">
                  <w:pPr>
                    <w:pStyle w:val="32"/>
                    <w:bidi w:val="0"/>
                    <w:jc w:val="center"/>
                    <w:rPr>
                      <w:rFonts w:hint="eastAsia"/>
                    </w:rPr>
                  </w:pPr>
                  <w:r>
                    <w:rPr>
                      <w:rFonts w:hint="eastAsia"/>
                      <w:lang w:val="en-US" w:eastAsia="zh-CN"/>
                    </w:rPr>
                    <w:t>接触氧化池</w:t>
                  </w:r>
                </w:p>
              </w:tc>
              <w:tc>
                <w:tcPr>
                  <w:tcW w:w="1983" w:type="dxa"/>
                  <w:shd w:val="clear" w:color="auto" w:fill="auto"/>
                  <w:vAlign w:val="center"/>
                </w:tcPr>
                <w:p w14:paraId="7BA77F9D">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去除率（%）</w:t>
                  </w:r>
                </w:p>
              </w:tc>
              <w:tc>
                <w:tcPr>
                  <w:tcW w:w="1150" w:type="dxa"/>
                  <w:shd w:val="clear" w:color="auto" w:fill="auto"/>
                  <w:vAlign w:val="center"/>
                </w:tcPr>
                <w:p w14:paraId="5F13C24C">
                  <w:pPr>
                    <w:pStyle w:val="32"/>
                    <w:bidi w:val="0"/>
                    <w:jc w:val="center"/>
                    <w:rPr>
                      <w:rFonts w:hint="default"/>
                    </w:rPr>
                  </w:pPr>
                  <w:r>
                    <w:rPr>
                      <w:rFonts w:hint="default"/>
                      <w:lang w:val="en-US" w:eastAsia="zh-CN"/>
                    </w:rPr>
                    <w:t>40</w:t>
                  </w:r>
                </w:p>
              </w:tc>
              <w:tc>
                <w:tcPr>
                  <w:tcW w:w="1167" w:type="dxa"/>
                  <w:shd w:val="clear" w:color="auto" w:fill="auto"/>
                  <w:vAlign w:val="center"/>
                </w:tcPr>
                <w:p w14:paraId="15E03B8A">
                  <w:pPr>
                    <w:pStyle w:val="32"/>
                    <w:bidi w:val="0"/>
                    <w:jc w:val="center"/>
                    <w:rPr>
                      <w:rFonts w:hint="default"/>
                    </w:rPr>
                  </w:pPr>
                  <w:r>
                    <w:rPr>
                      <w:rFonts w:hint="default"/>
                      <w:lang w:val="en-US" w:eastAsia="zh-CN"/>
                    </w:rPr>
                    <w:t>40</w:t>
                  </w:r>
                </w:p>
              </w:tc>
              <w:tc>
                <w:tcPr>
                  <w:tcW w:w="1150" w:type="dxa"/>
                  <w:shd w:val="clear" w:color="auto" w:fill="auto"/>
                  <w:vAlign w:val="center"/>
                </w:tcPr>
                <w:p w14:paraId="6957D749">
                  <w:pPr>
                    <w:pStyle w:val="32"/>
                    <w:bidi w:val="0"/>
                    <w:jc w:val="center"/>
                    <w:rPr>
                      <w:rFonts w:hint="default"/>
                    </w:rPr>
                  </w:pPr>
                  <w:r>
                    <w:rPr>
                      <w:rFonts w:hint="default"/>
                      <w:lang w:val="en-US" w:eastAsia="zh-CN"/>
                    </w:rPr>
                    <w:t>60</w:t>
                  </w:r>
                </w:p>
              </w:tc>
              <w:tc>
                <w:tcPr>
                  <w:tcW w:w="977" w:type="dxa"/>
                  <w:shd w:val="clear" w:color="auto" w:fill="auto"/>
                  <w:vAlign w:val="center"/>
                </w:tcPr>
                <w:p w14:paraId="778BBD7E">
                  <w:pPr>
                    <w:pStyle w:val="32"/>
                    <w:bidi w:val="0"/>
                    <w:jc w:val="center"/>
                    <w:rPr>
                      <w:rFonts w:hint="default"/>
                    </w:rPr>
                  </w:pPr>
                  <w:r>
                    <w:rPr>
                      <w:rFonts w:hint="default"/>
                      <w:lang w:val="en-US" w:eastAsia="zh-CN"/>
                    </w:rPr>
                    <w:t>20</w:t>
                  </w:r>
                </w:p>
              </w:tc>
              <w:tc>
                <w:tcPr>
                  <w:tcW w:w="1192" w:type="dxa"/>
                  <w:shd w:val="clear" w:color="auto" w:fill="auto"/>
                  <w:vAlign w:val="center"/>
                </w:tcPr>
                <w:p w14:paraId="7561BAD7">
                  <w:pPr>
                    <w:pStyle w:val="32"/>
                    <w:bidi w:val="0"/>
                    <w:jc w:val="center"/>
                    <w:rPr>
                      <w:rFonts w:hint="default"/>
                    </w:rPr>
                  </w:pPr>
                  <w:r>
                    <w:rPr>
                      <w:rFonts w:hint="default"/>
                      <w:lang w:val="en-US" w:eastAsia="zh-CN"/>
                    </w:rPr>
                    <w:t>/</w:t>
                  </w:r>
                </w:p>
              </w:tc>
            </w:tr>
            <w:tr w14:paraId="2686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998" w:type="dxa"/>
                  <w:vMerge w:val="continue"/>
                  <w:shd w:val="clear" w:color="auto" w:fill="auto"/>
                  <w:vAlign w:val="center"/>
                </w:tcPr>
                <w:p w14:paraId="3F561364">
                  <w:pPr>
                    <w:pStyle w:val="32"/>
                    <w:bidi w:val="0"/>
                    <w:jc w:val="center"/>
                    <w:rPr>
                      <w:rFonts w:hint="default"/>
                    </w:rPr>
                  </w:pPr>
                </w:p>
              </w:tc>
              <w:tc>
                <w:tcPr>
                  <w:tcW w:w="1983" w:type="dxa"/>
                  <w:shd w:val="clear" w:color="auto" w:fill="auto"/>
                  <w:vAlign w:val="center"/>
                </w:tcPr>
                <w:p w14:paraId="68ADAA02">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出水浓度（mg/L）</w:t>
                  </w:r>
                </w:p>
              </w:tc>
              <w:tc>
                <w:tcPr>
                  <w:tcW w:w="1150" w:type="dxa"/>
                  <w:shd w:val="clear" w:color="auto" w:fill="auto"/>
                  <w:vAlign w:val="center"/>
                </w:tcPr>
                <w:p w14:paraId="21F570DB">
                  <w:pPr>
                    <w:pStyle w:val="32"/>
                    <w:bidi w:val="0"/>
                    <w:jc w:val="center"/>
                    <w:rPr>
                      <w:rFonts w:hint="default"/>
                    </w:rPr>
                  </w:pPr>
                  <w:r>
                    <w:rPr>
                      <w:rFonts w:hint="default"/>
                      <w:lang w:val="en-US" w:eastAsia="zh-CN"/>
                    </w:rPr>
                    <w:t>52.65</w:t>
                  </w:r>
                </w:p>
              </w:tc>
              <w:tc>
                <w:tcPr>
                  <w:tcW w:w="1167" w:type="dxa"/>
                  <w:shd w:val="clear" w:color="auto" w:fill="auto"/>
                  <w:vAlign w:val="center"/>
                </w:tcPr>
                <w:p w14:paraId="09D1977C">
                  <w:pPr>
                    <w:pStyle w:val="32"/>
                    <w:bidi w:val="0"/>
                    <w:jc w:val="center"/>
                    <w:rPr>
                      <w:rFonts w:hint="default"/>
                    </w:rPr>
                  </w:pPr>
                  <w:r>
                    <w:rPr>
                      <w:rFonts w:hint="default"/>
                      <w:lang w:val="en-US" w:eastAsia="zh-CN"/>
                    </w:rPr>
                    <w:t>14.625</w:t>
                  </w:r>
                </w:p>
              </w:tc>
              <w:tc>
                <w:tcPr>
                  <w:tcW w:w="1150" w:type="dxa"/>
                  <w:shd w:val="clear" w:color="auto" w:fill="auto"/>
                  <w:vAlign w:val="center"/>
                </w:tcPr>
                <w:p w14:paraId="24EB9A2E">
                  <w:pPr>
                    <w:pStyle w:val="32"/>
                    <w:bidi w:val="0"/>
                    <w:jc w:val="center"/>
                    <w:rPr>
                      <w:rFonts w:hint="default"/>
                    </w:rPr>
                  </w:pPr>
                  <w:r>
                    <w:rPr>
                      <w:rFonts w:hint="default"/>
                      <w:lang w:val="en-US" w:eastAsia="zh-CN"/>
                    </w:rPr>
                    <w:t>17.55</w:t>
                  </w:r>
                </w:p>
              </w:tc>
              <w:tc>
                <w:tcPr>
                  <w:tcW w:w="977" w:type="dxa"/>
                  <w:shd w:val="clear" w:color="auto" w:fill="auto"/>
                  <w:vAlign w:val="center"/>
                </w:tcPr>
                <w:p w14:paraId="435DACB2">
                  <w:pPr>
                    <w:pStyle w:val="32"/>
                    <w:bidi w:val="0"/>
                    <w:jc w:val="center"/>
                    <w:rPr>
                      <w:rFonts w:hint="default"/>
                    </w:rPr>
                  </w:pPr>
                  <w:r>
                    <w:rPr>
                      <w:rFonts w:hint="default"/>
                      <w:lang w:val="en-US" w:eastAsia="zh-CN"/>
                    </w:rPr>
                    <w:t>23.52</w:t>
                  </w:r>
                </w:p>
              </w:tc>
              <w:tc>
                <w:tcPr>
                  <w:tcW w:w="1192" w:type="dxa"/>
                  <w:shd w:val="clear" w:color="auto" w:fill="auto"/>
                  <w:vAlign w:val="center"/>
                </w:tcPr>
                <w:p w14:paraId="52BA809E">
                  <w:pPr>
                    <w:pStyle w:val="32"/>
                    <w:bidi w:val="0"/>
                    <w:jc w:val="center"/>
                    <w:rPr>
                      <w:rFonts w:hint="default"/>
                    </w:rPr>
                  </w:pPr>
                  <w:r>
                    <w:rPr>
                      <w:rFonts w:hint="default"/>
                      <w:lang w:val="en-US" w:eastAsia="zh-CN"/>
                    </w:rPr>
                    <w:t>3×10</w:t>
                  </w:r>
                  <w:r>
                    <w:rPr>
                      <w:rFonts w:hint="default"/>
                      <w:vertAlign w:val="superscript"/>
                      <w:lang w:val="en-US" w:eastAsia="zh-CN"/>
                    </w:rPr>
                    <w:t>8</w:t>
                  </w:r>
                  <w:r>
                    <w:rPr>
                      <w:rFonts w:hint="default"/>
                      <w:lang w:val="en-US" w:eastAsia="zh-CN"/>
                    </w:rPr>
                    <w:t>个/L</w:t>
                  </w:r>
                </w:p>
              </w:tc>
            </w:tr>
            <w:tr w14:paraId="3D42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998" w:type="dxa"/>
                  <w:vMerge w:val="restart"/>
                  <w:shd w:val="clear" w:color="auto" w:fill="auto"/>
                  <w:vAlign w:val="center"/>
                </w:tcPr>
                <w:p w14:paraId="762BA10E">
                  <w:pPr>
                    <w:pStyle w:val="32"/>
                    <w:bidi w:val="0"/>
                    <w:jc w:val="center"/>
                    <w:rPr>
                      <w:rFonts w:hint="eastAsia"/>
                    </w:rPr>
                  </w:pPr>
                  <w:r>
                    <w:rPr>
                      <w:rFonts w:hint="eastAsia"/>
                      <w:lang w:val="en-US" w:eastAsia="zh-CN"/>
                    </w:rPr>
                    <w:t>沉淀池</w:t>
                  </w:r>
                </w:p>
              </w:tc>
              <w:tc>
                <w:tcPr>
                  <w:tcW w:w="1983" w:type="dxa"/>
                  <w:shd w:val="clear" w:color="auto" w:fill="auto"/>
                  <w:vAlign w:val="center"/>
                </w:tcPr>
                <w:p w14:paraId="6E0338EC">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去除率（%）</w:t>
                  </w:r>
                </w:p>
              </w:tc>
              <w:tc>
                <w:tcPr>
                  <w:tcW w:w="1150" w:type="dxa"/>
                  <w:shd w:val="clear" w:color="auto" w:fill="auto"/>
                  <w:vAlign w:val="center"/>
                </w:tcPr>
                <w:p w14:paraId="52415905">
                  <w:pPr>
                    <w:pStyle w:val="32"/>
                    <w:bidi w:val="0"/>
                    <w:jc w:val="center"/>
                    <w:rPr>
                      <w:rFonts w:hint="default"/>
                    </w:rPr>
                  </w:pPr>
                  <w:r>
                    <w:rPr>
                      <w:rFonts w:hint="default"/>
                      <w:lang w:val="en-US" w:eastAsia="zh-CN"/>
                    </w:rPr>
                    <w:t>0</w:t>
                  </w:r>
                </w:p>
              </w:tc>
              <w:tc>
                <w:tcPr>
                  <w:tcW w:w="1167" w:type="dxa"/>
                  <w:shd w:val="clear" w:color="auto" w:fill="auto"/>
                  <w:vAlign w:val="center"/>
                </w:tcPr>
                <w:p w14:paraId="0FD98A32">
                  <w:pPr>
                    <w:pStyle w:val="32"/>
                    <w:bidi w:val="0"/>
                    <w:jc w:val="center"/>
                    <w:rPr>
                      <w:rFonts w:hint="default"/>
                    </w:rPr>
                  </w:pPr>
                  <w:r>
                    <w:rPr>
                      <w:rFonts w:hint="default"/>
                      <w:lang w:val="en-US" w:eastAsia="zh-CN"/>
                    </w:rPr>
                    <w:t>0</w:t>
                  </w:r>
                </w:p>
              </w:tc>
              <w:tc>
                <w:tcPr>
                  <w:tcW w:w="1150" w:type="dxa"/>
                  <w:shd w:val="clear" w:color="auto" w:fill="auto"/>
                  <w:vAlign w:val="center"/>
                </w:tcPr>
                <w:p w14:paraId="5A858231">
                  <w:pPr>
                    <w:pStyle w:val="32"/>
                    <w:bidi w:val="0"/>
                    <w:jc w:val="center"/>
                    <w:rPr>
                      <w:rFonts w:hint="default"/>
                    </w:rPr>
                  </w:pPr>
                  <w:r>
                    <w:rPr>
                      <w:rFonts w:hint="default"/>
                      <w:lang w:val="en-US" w:eastAsia="zh-CN"/>
                    </w:rPr>
                    <w:t>0</w:t>
                  </w:r>
                </w:p>
              </w:tc>
              <w:tc>
                <w:tcPr>
                  <w:tcW w:w="977" w:type="dxa"/>
                  <w:shd w:val="clear" w:color="auto" w:fill="auto"/>
                  <w:vAlign w:val="center"/>
                </w:tcPr>
                <w:p w14:paraId="0F277B11">
                  <w:pPr>
                    <w:pStyle w:val="32"/>
                    <w:bidi w:val="0"/>
                    <w:jc w:val="center"/>
                    <w:rPr>
                      <w:rFonts w:hint="default"/>
                    </w:rPr>
                  </w:pPr>
                  <w:r>
                    <w:rPr>
                      <w:rFonts w:hint="default"/>
                      <w:lang w:val="en-US" w:eastAsia="zh-CN"/>
                    </w:rPr>
                    <w:t>40</w:t>
                  </w:r>
                </w:p>
              </w:tc>
              <w:tc>
                <w:tcPr>
                  <w:tcW w:w="1192" w:type="dxa"/>
                  <w:shd w:val="clear" w:color="auto" w:fill="auto"/>
                  <w:vAlign w:val="center"/>
                </w:tcPr>
                <w:p w14:paraId="447F1E26">
                  <w:pPr>
                    <w:pStyle w:val="32"/>
                    <w:bidi w:val="0"/>
                    <w:jc w:val="center"/>
                    <w:rPr>
                      <w:rFonts w:hint="eastAsia" w:eastAsia="宋体"/>
                      <w:lang w:val="en-US" w:eastAsia="zh-CN"/>
                    </w:rPr>
                  </w:pPr>
                  <w:r>
                    <w:rPr>
                      <w:rFonts w:hint="eastAsia"/>
                      <w:lang w:val="en-US" w:eastAsia="zh-CN"/>
                    </w:rPr>
                    <w:t>/</w:t>
                  </w:r>
                </w:p>
              </w:tc>
            </w:tr>
            <w:tr w14:paraId="5CBB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vMerge w:val="continue"/>
                  <w:shd w:val="clear" w:color="auto" w:fill="auto"/>
                  <w:vAlign w:val="center"/>
                </w:tcPr>
                <w:p w14:paraId="752AE109">
                  <w:pPr>
                    <w:pStyle w:val="32"/>
                    <w:bidi w:val="0"/>
                    <w:jc w:val="center"/>
                    <w:rPr>
                      <w:rFonts w:hint="default"/>
                    </w:rPr>
                  </w:pPr>
                </w:p>
              </w:tc>
              <w:tc>
                <w:tcPr>
                  <w:tcW w:w="1983" w:type="dxa"/>
                  <w:shd w:val="clear" w:color="auto" w:fill="auto"/>
                  <w:vAlign w:val="center"/>
                </w:tcPr>
                <w:p w14:paraId="4D52CEA1">
                  <w:pPr>
                    <w:pStyle w:val="32"/>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出水浓度（mg/L）</w:t>
                  </w:r>
                </w:p>
              </w:tc>
              <w:tc>
                <w:tcPr>
                  <w:tcW w:w="1150" w:type="dxa"/>
                  <w:shd w:val="clear" w:color="auto" w:fill="auto"/>
                  <w:vAlign w:val="center"/>
                </w:tcPr>
                <w:p w14:paraId="10FFDEA7">
                  <w:pPr>
                    <w:pStyle w:val="32"/>
                    <w:bidi w:val="0"/>
                    <w:jc w:val="center"/>
                    <w:rPr>
                      <w:rFonts w:hint="default"/>
                    </w:rPr>
                  </w:pPr>
                  <w:r>
                    <w:rPr>
                      <w:rFonts w:hint="default"/>
                      <w:lang w:val="en-US" w:eastAsia="zh-CN"/>
                    </w:rPr>
                    <w:t>52.65</w:t>
                  </w:r>
                </w:p>
              </w:tc>
              <w:tc>
                <w:tcPr>
                  <w:tcW w:w="1167" w:type="dxa"/>
                  <w:shd w:val="clear" w:color="auto" w:fill="auto"/>
                  <w:vAlign w:val="center"/>
                </w:tcPr>
                <w:p w14:paraId="7D21E46A">
                  <w:pPr>
                    <w:pStyle w:val="32"/>
                    <w:bidi w:val="0"/>
                    <w:jc w:val="center"/>
                    <w:rPr>
                      <w:rFonts w:hint="default"/>
                    </w:rPr>
                  </w:pPr>
                  <w:r>
                    <w:rPr>
                      <w:rFonts w:hint="default"/>
                      <w:lang w:val="en-US" w:eastAsia="zh-CN"/>
                    </w:rPr>
                    <w:t>14.625</w:t>
                  </w:r>
                </w:p>
              </w:tc>
              <w:tc>
                <w:tcPr>
                  <w:tcW w:w="1150" w:type="dxa"/>
                  <w:shd w:val="clear" w:color="auto" w:fill="auto"/>
                  <w:vAlign w:val="center"/>
                </w:tcPr>
                <w:p w14:paraId="0822E028">
                  <w:pPr>
                    <w:pStyle w:val="32"/>
                    <w:bidi w:val="0"/>
                    <w:jc w:val="center"/>
                    <w:rPr>
                      <w:rFonts w:hint="default"/>
                    </w:rPr>
                  </w:pPr>
                  <w:r>
                    <w:rPr>
                      <w:rFonts w:hint="default"/>
                      <w:lang w:val="en-US" w:eastAsia="zh-CN"/>
                    </w:rPr>
                    <w:t>17.55</w:t>
                  </w:r>
                </w:p>
              </w:tc>
              <w:tc>
                <w:tcPr>
                  <w:tcW w:w="977" w:type="dxa"/>
                  <w:shd w:val="clear" w:color="auto" w:fill="auto"/>
                  <w:vAlign w:val="center"/>
                </w:tcPr>
                <w:p w14:paraId="09D561C4">
                  <w:pPr>
                    <w:pStyle w:val="32"/>
                    <w:bidi w:val="0"/>
                    <w:jc w:val="center"/>
                    <w:rPr>
                      <w:rFonts w:hint="default"/>
                    </w:rPr>
                  </w:pPr>
                  <w:r>
                    <w:rPr>
                      <w:rFonts w:hint="default"/>
                      <w:lang w:val="en-US" w:eastAsia="zh-CN"/>
                    </w:rPr>
                    <w:t>14.112</w:t>
                  </w:r>
                </w:p>
              </w:tc>
              <w:tc>
                <w:tcPr>
                  <w:tcW w:w="1192" w:type="dxa"/>
                  <w:shd w:val="clear" w:color="auto" w:fill="auto"/>
                  <w:vAlign w:val="center"/>
                </w:tcPr>
                <w:p w14:paraId="361AA754">
                  <w:pPr>
                    <w:pStyle w:val="32"/>
                    <w:bidi w:val="0"/>
                    <w:jc w:val="center"/>
                    <w:rPr>
                      <w:rFonts w:hint="default"/>
                    </w:rPr>
                  </w:pPr>
                  <w:r>
                    <w:rPr>
                      <w:rFonts w:hint="default"/>
                      <w:lang w:val="en-US" w:eastAsia="zh-CN"/>
                    </w:rPr>
                    <w:t>3×10</w:t>
                  </w:r>
                  <w:r>
                    <w:rPr>
                      <w:rFonts w:hint="default"/>
                      <w:vertAlign w:val="superscript"/>
                      <w:lang w:val="en-US" w:eastAsia="zh-CN"/>
                    </w:rPr>
                    <w:t>8</w:t>
                  </w:r>
                  <w:r>
                    <w:rPr>
                      <w:rFonts w:hint="default"/>
                      <w:lang w:val="en-US" w:eastAsia="zh-CN"/>
                    </w:rPr>
                    <w:t>个/L</w:t>
                  </w:r>
                </w:p>
              </w:tc>
            </w:tr>
            <w:tr w14:paraId="41F9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998" w:type="dxa"/>
                  <w:vMerge w:val="restart"/>
                  <w:shd w:val="clear" w:color="auto" w:fill="auto"/>
                  <w:vAlign w:val="center"/>
                </w:tcPr>
                <w:p w14:paraId="2A698778">
                  <w:pPr>
                    <w:pStyle w:val="32"/>
                    <w:bidi w:val="0"/>
                    <w:jc w:val="center"/>
                    <w:rPr>
                      <w:rFonts w:hint="eastAsia"/>
                    </w:rPr>
                  </w:pPr>
                  <w:r>
                    <w:rPr>
                      <w:rFonts w:hint="eastAsia"/>
                      <w:lang w:val="en-US" w:eastAsia="zh-CN"/>
                    </w:rPr>
                    <w:t>消毒池</w:t>
                  </w:r>
                </w:p>
              </w:tc>
              <w:tc>
                <w:tcPr>
                  <w:tcW w:w="1983" w:type="dxa"/>
                  <w:shd w:val="clear" w:color="auto" w:fill="auto"/>
                  <w:vAlign w:val="center"/>
                </w:tcPr>
                <w:p w14:paraId="2C147E24">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去除率（%）</w:t>
                  </w:r>
                </w:p>
              </w:tc>
              <w:tc>
                <w:tcPr>
                  <w:tcW w:w="1150" w:type="dxa"/>
                  <w:shd w:val="clear" w:color="auto" w:fill="auto"/>
                  <w:vAlign w:val="center"/>
                </w:tcPr>
                <w:p w14:paraId="03980B9E">
                  <w:pPr>
                    <w:pStyle w:val="32"/>
                    <w:bidi w:val="0"/>
                    <w:jc w:val="center"/>
                    <w:rPr>
                      <w:rFonts w:hint="default"/>
                    </w:rPr>
                  </w:pPr>
                  <w:r>
                    <w:rPr>
                      <w:rFonts w:hint="default"/>
                      <w:lang w:val="en-US" w:eastAsia="zh-CN"/>
                    </w:rPr>
                    <w:t>/</w:t>
                  </w:r>
                </w:p>
              </w:tc>
              <w:tc>
                <w:tcPr>
                  <w:tcW w:w="1167" w:type="dxa"/>
                  <w:shd w:val="clear" w:color="auto" w:fill="auto"/>
                  <w:vAlign w:val="center"/>
                </w:tcPr>
                <w:p w14:paraId="280C3A8B">
                  <w:pPr>
                    <w:pStyle w:val="32"/>
                    <w:bidi w:val="0"/>
                    <w:jc w:val="center"/>
                    <w:rPr>
                      <w:rFonts w:hint="default"/>
                    </w:rPr>
                  </w:pPr>
                  <w:r>
                    <w:rPr>
                      <w:rFonts w:hint="default"/>
                      <w:lang w:val="en-US" w:eastAsia="zh-CN"/>
                    </w:rPr>
                    <w:t>/</w:t>
                  </w:r>
                </w:p>
              </w:tc>
              <w:tc>
                <w:tcPr>
                  <w:tcW w:w="1150" w:type="dxa"/>
                  <w:shd w:val="clear" w:color="auto" w:fill="auto"/>
                  <w:vAlign w:val="center"/>
                </w:tcPr>
                <w:p w14:paraId="1742D756">
                  <w:pPr>
                    <w:pStyle w:val="32"/>
                    <w:bidi w:val="0"/>
                    <w:jc w:val="center"/>
                    <w:rPr>
                      <w:rFonts w:hint="default"/>
                    </w:rPr>
                  </w:pPr>
                  <w:r>
                    <w:rPr>
                      <w:rFonts w:hint="default"/>
                      <w:lang w:val="en-US" w:eastAsia="zh-CN"/>
                    </w:rPr>
                    <w:t>/</w:t>
                  </w:r>
                </w:p>
              </w:tc>
              <w:tc>
                <w:tcPr>
                  <w:tcW w:w="977" w:type="dxa"/>
                  <w:shd w:val="clear" w:color="auto" w:fill="auto"/>
                  <w:vAlign w:val="center"/>
                </w:tcPr>
                <w:p w14:paraId="2331379D">
                  <w:pPr>
                    <w:pStyle w:val="32"/>
                    <w:bidi w:val="0"/>
                    <w:jc w:val="center"/>
                    <w:rPr>
                      <w:rFonts w:hint="default"/>
                    </w:rPr>
                  </w:pPr>
                  <w:r>
                    <w:rPr>
                      <w:rFonts w:hint="default"/>
                      <w:lang w:val="en-US" w:eastAsia="zh-CN"/>
                    </w:rPr>
                    <w:t>/</w:t>
                  </w:r>
                </w:p>
              </w:tc>
              <w:tc>
                <w:tcPr>
                  <w:tcW w:w="1192" w:type="dxa"/>
                  <w:shd w:val="clear" w:color="auto" w:fill="auto"/>
                  <w:vAlign w:val="center"/>
                </w:tcPr>
                <w:p w14:paraId="15DFEC4B">
                  <w:pPr>
                    <w:pStyle w:val="32"/>
                    <w:bidi w:val="0"/>
                    <w:jc w:val="center"/>
                    <w:rPr>
                      <w:rFonts w:hint="default"/>
                    </w:rPr>
                  </w:pPr>
                  <w:r>
                    <w:rPr>
                      <w:rFonts w:hint="default"/>
                      <w:lang w:val="en-US" w:eastAsia="zh-CN"/>
                    </w:rPr>
                    <w:t>99.99</w:t>
                  </w:r>
                </w:p>
              </w:tc>
            </w:tr>
            <w:tr w14:paraId="4D5C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998" w:type="dxa"/>
                  <w:vMerge w:val="continue"/>
                  <w:shd w:val="clear" w:color="auto" w:fill="auto"/>
                  <w:vAlign w:val="center"/>
                </w:tcPr>
                <w:p w14:paraId="67C9E401">
                  <w:pPr>
                    <w:pStyle w:val="32"/>
                    <w:bidi w:val="0"/>
                    <w:jc w:val="center"/>
                    <w:rPr>
                      <w:rFonts w:hint="eastAsia"/>
                    </w:rPr>
                  </w:pPr>
                </w:p>
              </w:tc>
              <w:tc>
                <w:tcPr>
                  <w:tcW w:w="1983" w:type="dxa"/>
                  <w:shd w:val="clear" w:color="auto" w:fill="auto"/>
                  <w:vAlign w:val="center"/>
                </w:tcPr>
                <w:p w14:paraId="04F15B19">
                  <w:pPr>
                    <w:pStyle w:val="32"/>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出水浓度（mg/L）</w:t>
                  </w:r>
                </w:p>
              </w:tc>
              <w:tc>
                <w:tcPr>
                  <w:tcW w:w="1150" w:type="dxa"/>
                  <w:shd w:val="clear" w:color="auto" w:fill="auto"/>
                  <w:vAlign w:val="center"/>
                </w:tcPr>
                <w:p w14:paraId="0CF39D98">
                  <w:pPr>
                    <w:pStyle w:val="32"/>
                    <w:bidi w:val="0"/>
                    <w:jc w:val="center"/>
                    <w:rPr>
                      <w:rFonts w:hint="default"/>
                    </w:rPr>
                  </w:pPr>
                  <w:r>
                    <w:rPr>
                      <w:rFonts w:hint="default"/>
                      <w:lang w:val="en-US" w:eastAsia="zh-CN"/>
                    </w:rPr>
                    <w:t>52.65</w:t>
                  </w:r>
                </w:p>
              </w:tc>
              <w:tc>
                <w:tcPr>
                  <w:tcW w:w="1167" w:type="dxa"/>
                  <w:shd w:val="clear" w:color="auto" w:fill="auto"/>
                  <w:vAlign w:val="center"/>
                </w:tcPr>
                <w:p w14:paraId="78EE2BB7">
                  <w:pPr>
                    <w:pStyle w:val="32"/>
                    <w:bidi w:val="0"/>
                    <w:jc w:val="center"/>
                    <w:rPr>
                      <w:rFonts w:hint="default"/>
                    </w:rPr>
                  </w:pPr>
                  <w:r>
                    <w:rPr>
                      <w:rFonts w:hint="default"/>
                      <w:lang w:val="en-US" w:eastAsia="zh-CN"/>
                    </w:rPr>
                    <w:t>14.625</w:t>
                  </w:r>
                </w:p>
              </w:tc>
              <w:tc>
                <w:tcPr>
                  <w:tcW w:w="1150" w:type="dxa"/>
                  <w:shd w:val="clear" w:color="auto" w:fill="auto"/>
                  <w:vAlign w:val="center"/>
                </w:tcPr>
                <w:p w14:paraId="51CAC217">
                  <w:pPr>
                    <w:pStyle w:val="32"/>
                    <w:bidi w:val="0"/>
                    <w:jc w:val="center"/>
                    <w:rPr>
                      <w:rFonts w:hint="default"/>
                    </w:rPr>
                  </w:pPr>
                  <w:r>
                    <w:rPr>
                      <w:rFonts w:hint="default"/>
                      <w:lang w:val="en-US" w:eastAsia="zh-CN"/>
                    </w:rPr>
                    <w:t>17.55</w:t>
                  </w:r>
                </w:p>
              </w:tc>
              <w:tc>
                <w:tcPr>
                  <w:tcW w:w="977" w:type="dxa"/>
                  <w:shd w:val="clear" w:color="auto" w:fill="auto"/>
                  <w:vAlign w:val="center"/>
                </w:tcPr>
                <w:p w14:paraId="63EE28DD">
                  <w:pPr>
                    <w:pStyle w:val="32"/>
                    <w:bidi w:val="0"/>
                    <w:jc w:val="center"/>
                    <w:rPr>
                      <w:rFonts w:hint="default"/>
                    </w:rPr>
                  </w:pPr>
                  <w:r>
                    <w:rPr>
                      <w:rFonts w:hint="default"/>
                      <w:lang w:val="en-US" w:eastAsia="zh-CN"/>
                    </w:rPr>
                    <w:t>14.112</w:t>
                  </w:r>
                </w:p>
              </w:tc>
              <w:tc>
                <w:tcPr>
                  <w:tcW w:w="1192" w:type="dxa"/>
                  <w:shd w:val="clear" w:color="auto" w:fill="auto"/>
                  <w:vAlign w:val="center"/>
                </w:tcPr>
                <w:p w14:paraId="7931A913">
                  <w:pPr>
                    <w:pStyle w:val="32"/>
                    <w:bidi w:val="0"/>
                    <w:jc w:val="center"/>
                    <w:rPr>
                      <w:rFonts w:hint="default"/>
                    </w:rPr>
                  </w:pPr>
                  <w:r>
                    <w:rPr>
                      <w:rFonts w:hint="default"/>
                      <w:lang w:val="en-US" w:eastAsia="zh-CN"/>
                    </w:rPr>
                    <w:t>3000</w:t>
                  </w:r>
                </w:p>
              </w:tc>
            </w:tr>
            <w:tr w14:paraId="1451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981" w:type="dxa"/>
                  <w:gridSpan w:val="2"/>
                  <w:shd w:val="clear" w:color="auto" w:fill="auto"/>
                  <w:vAlign w:val="center"/>
                </w:tcPr>
                <w:p w14:paraId="2FA3F421">
                  <w:pPr>
                    <w:pStyle w:val="32"/>
                    <w:bidi w:val="0"/>
                    <w:ind w:firstLine="0" w:firstLineChars="0"/>
                    <w:jc w:val="center"/>
                    <w:rPr>
                      <w:rFonts w:hint="default"/>
                      <w:lang w:val="en-US" w:eastAsia="zh-CN"/>
                    </w:rPr>
                  </w:pPr>
                  <w:r>
                    <w:rPr>
                      <w:rFonts w:hint="eastAsia"/>
                      <w:lang w:val="en-US" w:eastAsia="zh-CN"/>
                    </w:rPr>
                    <w:t>总排水量t/a</w:t>
                  </w:r>
                </w:p>
              </w:tc>
              <w:tc>
                <w:tcPr>
                  <w:tcW w:w="5636" w:type="dxa"/>
                  <w:gridSpan w:val="5"/>
                  <w:shd w:val="clear" w:color="auto" w:fill="auto"/>
                  <w:vAlign w:val="center"/>
                </w:tcPr>
                <w:p w14:paraId="5C94F6B1">
                  <w:pPr>
                    <w:pStyle w:val="32"/>
                    <w:bidi w:val="0"/>
                    <w:jc w:val="center"/>
                    <w:rPr>
                      <w:rFonts w:hint="default"/>
                      <w:lang w:val="en-US" w:eastAsia="zh-CN"/>
                    </w:rPr>
                  </w:pPr>
                  <w:r>
                    <w:rPr>
                      <w:rFonts w:hint="eastAsia"/>
                      <w:lang w:val="en-US" w:eastAsia="zh-CN"/>
                    </w:rPr>
                    <w:t>32095.76</w:t>
                  </w:r>
                </w:p>
              </w:tc>
            </w:tr>
            <w:tr w14:paraId="3926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81" w:type="dxa"/>
                  <w:gridSpan w:val="2"/>
                  <w:shd w:val="clear" w:color="auto" w:fill="auto"/>
                  <w:vAlign w:val="center"/>
                </w:tcPr>
                <w:p w14:paraId="0BB2561A">
                  <w:pPr>
                    <w:pStyle w:val="32"/>
                    <w:bidi w:val="0"/>
                    <w:ind w:firstLine="0" w:firstLineChars="0"/>
                    <w:jc w:val="center"/>
                    <w:rPr>
                      <w:rFonts w:hint="default"/>
                      <w:lang w:val="en-US" w:eastAsia="zh-CN"/>
                    </w:rPr>
                  </w:pPr>
                  <w:r>
                    <w:rPr>
                      <w:rFonts w:hint="eastAsia"/>
                      <w:lang w:val="en-US" w:eastAsia="zh-CN"/>
                    </w:rPr>
                    <w:t>各污染物排放量t/a</w:t>
                  </w:r>
                </w:p>
              </w:tc>
              <w:tc>
                <w:tcPr>
                  <w:tcW w:w="1150" w:type="dxa"/>
                  <w:shd w:val="clear" w:color="auto" w:fill="auto"/>
                  <w:vAlign w:val="center"/>
                </w:tcPr>
                <w:p w14:paraId="40D96D45">
                  <w:pPr>
                    <w:pStyle w:val="32"/>
                    <w:bidi w:val="0"/>
                    <w:jc w:val="center"/>
                    <w:rPr>
                      <w:rFonts w:hint="default"/>
                      <w:lang w:val="en-US" w:eastAsia="zh-CN"/>
                    </w:rPr>
                  </w:pPr>
                  <w:r>
                    <w:rPr>
                      <w:rFonts w:hint="eastAsia"/>
                      <w:lang w:val="en-US" w:eastAsia="zh-CN"/>
                    </w:rPr>
                    <w:t>1.6898</w:t>
                  </w:r>
                </w:p>
              </w:tc>
              <w:tc>
                <w:tcPr>
                  <w:tcW w:w="1167" w:type="dxa"/>
                  <w:shd w:val="clear" w:color="auto" w:fill="auto"/>
                  <w:vAlign w:val="center"/>
                </w:tcPr>
                <w:p w14:paraId="7D034B80">
                  <w:pPr>
                    <w:pStyle w:val="32"/>
                    <w:bidi w:val="0"/>
                    <w:jc w:val="center"/>
                    <w:rPr>
                      <w:rFonts w:hint="default"/>
                      <w:lang w:val="en-US" w:eastAsia="zh-CN"/>
                    </w:rPr>
                  </w:pPr>
                  <w:r>
                    <w:rPr>
                      <w:rFonts w:hint="eastAsia"/>
                      <w:lang w:val="en-US" w:eastAsia="zh-CN"/>
                    </w:rPr>
                    <w:t>0.4694</w:t>
                  </w:r>
                </w:p>
              </w:tc>
              <w:tc>
                <w:tcPr>
                  <w:tcW w:w="1150" w:type="dxa"/>
                  <w:shd w:val="clear" w:color="auto" w:fill="auto"/>
                  <w:vAlign w:val="center"/>
                </w:tcPr>
                <w:p w14:paraId="279F7ECB">
                  <w:pPr>
                    <w:pStyle w:val="32"/>
                    <w:bidi w:val="0"/>
                    <w:jc w:val="center"/>
                    <w:rPr>
                      <w:rFonts w:hint="default"/>
                      <w:lang w:val="en-US" w:eastAsia="zh-CN"/>
                    </w:rPr>
                  </w:pPr>
                  <w:r>
                    <w:rPr>
                      <w:rFonts w:hint="eastAsia"/>
                      <w:lang w:val="en-US" w:eastAsia="zh-CN"/>
                    </w:rPr>
                    <w:t>0.5633</w:t>
                  </w:r>
                </w:p>
              </w:tc>
              <w:tc>
                <w:tcPr>
                  <w:tcW w:w="977" w:type="dxa"/>
                  <w:shd w:val="clear" w:color="auto" w:fill="auto"/>
                  <w:vAlign w:val="center"/>
                </w:tcPr>
                <w:p w14:paraId="120FB891">
                  <w:pPr>
                    <w:pStyle w:val="32"/>
                    <w:bidi w:val="0"/>
                    <w:jc w:val="center"/>
                    <w:rPr>
                      <w:rFonts w:hint="default"/>
                      <w:lang w:val="en-US" w:eastAsia="zh-CN"/>
                    </w:rPr>
                  </w:pPr>
                  <w:r>
                    <w:rPr>
                      <w:rFonts w:hint="eastAsia"/>
                      <w:lang w:val="en-US" w:eastAsia="zh-CN"/>
                    </w:rPr>
                    <w:t>0.4529</w:t>
                  </w:r>
                </w:p>
              </w:tc>
              <w:tc>
                <w:tcPr>
                  <w:tcW w:w="1192" w:type="dxa"/>
                  <w:shd w:val="clear" w:color="auto" w:fill="auto"/>
                  <w:vAlign w:val="center"/>
                </w:tcPr>
                <w:p w14:paraId="55E3CE2B">
                  <w:pPr>
                    <w:pStyle w:val="32"/>
                    <w:bidi w:val="0"/>
                    <w:jc w:val="center"/>
                    <w:rPr>
                      <w:rFonts w:hint="default"/>
                      <w:lang w:val="en-US" w:eastAsia="zh-CN"/>
                    </w:rPr>
                  </w:pPr>
                  <w:r>
                    <w:rPr>
                      <w:rFonts w:hint="eastAsia"/>
                      <w:lang w:val="en-US" w:eastAsia="zh-CN"/>
                    </w:rPr>
                    <w:t>/</w:t>
                  </w:r>
                </w:p>
              </w:tc>
            </w:tr>
            <w:tr w14:paraId="68F6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81" w:type="dxa"/>
                  <w:gridSpan w:val="2"/>
                  <w:shd w:val="clear" w:color="auto" w:fill="auto"/>
                  <w:vAlign w:val="center"/>
                </w:tcPr>
                <w:p w14:paraId="4A05619E">
                  <w:pPr>
                    <w:pStyle w:val="32"/>
                    <w:bidi w:val="0"/>
                    <w:jc w:val="center"/>
                    <w:rPr>
                      <w:rFonts w:hint="eastAsia"/>
                    </w:rPr>
                  </w:pPr>
                  <w:r>
                    <w:rPr>
                      <w:rFonts w:hint="eastAsia"/>
                      <w:lang w:val="en-US" w:eastAsia="zh-CN"/>
                    </w:rPr>
                    <w:t>总去除率（%）</w:t>
                  </w:r>
                </w:p>
              </w:tc>
              <w:tc>
                <w:tcPr>
                  <w:tcW w:w="1150" w:type="dxa"/>
                  <w:shd w:val="clear" w:color="auto" w:fill="auto"/>
                  <w:vAlign w:val="center"/>
                </w:tcPr>
                <w:p w14:paraId="304B10AC">
                  <w:pPr>
                    <w:pStyle w:val="32"/>
                    <w:bidi w:val="0"/>
                    <w:jc w:val="center"/>
                    <w:rPr>
                      <w:rFonts w:hint="default"/>
                    </w:rPr>
                  </w:pPr>
                  <w:r>
                    <w:rPr>
                      <w:rFonts w:hint="default"/>
                      <w:lang w:val="en-US" w:eastAsia="zh-CN"/>
                    </w:rPr>
                    <w:t>82.45</w:t>
                  </w:r>
                </w:p>
              </w:tc>
              <w:tc>
                <w:tcPr>
                  <w:tcW w:w="1167" w:type="dxa"/>
                  <w:shd w:val="clear" w:color="auto" w:fill="auto"/>
                  <w:vAlign w:val="center"/>
                </w:tcPr>
                <w:p w14:paraId="52093218">
                  <w:pPr>
                    <w:pStyle w:val="32"/>
                    <w:bidi w:val="0"/>
                    <w:jc w:val="center"/>
                    <w:rPr>
                      <w:rFonts w:hint="default"/>
                    </w:rPr>
                  </w:pPr>
                  <w:r>
                    <w:rPr>
                      <w:rFonts w:hint="default"/>
                      <w:lang w:val="en-US" w:eastAsia="zh-CN"/>
                    </w:rPr>
                    <w:t>70.75</w:t>
                  </w:r>
                </w:p>
              </w:tc>
              <w:tc>
                <w:tcPr>
                  <w:tcW w:w="1150" w:type="dxa"/>
                  <w:shd w:val="clear" w:color="auto" w:fill="auto"/>
                  <w:vAlign w:val="center"/>
                </w:tcPr>
                <w:p w14:paraId="2AB4CBEB">
                  <w:pPr>
                    <w:pStyle w:val="32"/>
                    <w:bidi w:val="0"/>
                    <w:jc w:val="center"/>
                    <w:rPr>
                      <w:rFonts w:hint="default"/>
                    </w:rPr>
                  </w:pPr>
                  <w:r>
                    <w:rPr>
                      <w:rFonts w:hint="default"/>
                      <w:lang w:val="en-US" w:eastAsia="zh-CN"/>
                    </w:rPr>
                    <w:t>88.3</w:t>
                  </w:r>
                </w:p>
              </w:tc>
              <w:tc>
                <w:tcPr>
                  <w:tcW w:w="977" w:type="dxa"/>
                  <w:shd w:val="clear" w:color="auto" w:fill="auto"/>
                  <w:vAlign w:val="center"/>
                </w:tcPr>
                <w:p w14:paraId="5C8314F0">
                  <w:pPr>
                    <w:pStyle w:val="32"/>
                    <w:bidi w:val="0"/>
                    <w:jc w:val="center"/>
                    <w:rPr>
                      <w:rFonts w:hint="default"/>
                    </w:rPr>
                  </w:pPr>
                  <w:r>
                    <w:rPr>
                      <w:rFonts w:hint="default"/>
                      <w:lang w:val="en-US" w:eastAsia="zh-CN"/>
                    </w:rPr>
                    <w:t>88.24</w:t>
                  </w:r>
                </w:p>
              </w:tc>
              <w:tc>
                <w:tcPr>
                  <w:tcW w:w="1192" w:type="dxa"/>
                  <w:shd w:val="clear" w:color="auto" w:fill="auto"/>
                  <w:vAlign w:val="center"/>
                </w:tcPr>
                <w:p w14:paraId="4DF16C0F">
                  <w:pPr>
                    <w:pStyle w:val="32"/>
                    <w:bidi w:val="0"/>
                    <w:jc w:val="center"/>
                    <w:rPr>
                      <w:rFonts w:hint="default"/>
                    </w:rPr>
                  </w:pPr>
                  <w:r>
                    <w:rPr>
                      <w:rFonts w:hint="default"/>
                      <w:lang w:val="en-US" w:eastAsia="zh-CN"/>
                    </w:rPr>
                    <w:t>99.99</w:t>
                  </w:r>
                </w:p>
              </w:tc>
            </w:tr>
            <w:tr w14:paraId="77F9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81" w:type="dxa"/>
                  <w:gridSpan w:val="2"/>
                  <w:shd w:val="clear" w:color="auto" w:fill="auto"/>
                  <w:vAlign w:val="center"/>
                </w:tcPr>
                <w:p w14:paraId="7C03F0CB">
                  <w:pPr>
                    <w:pStyle w:val="32"/>
                    <w:bidi w:val="0"/>
                    <w:jc w:val="center"/>
                    <w:rPr>
                      <w:rFonts w:hint="eastAsia"/>
                      <w:lang w:val="en-US" w:eastAsia="zh-CN"/>
                    </w:rPr>
                  </w:pPr>
                  <w:r>
                    <w:rPr>
                      <w:rFonts w:hint="eastAsia" w:cs="Times New Roman"/>
                      <w:color w:val="auto"/>
                      <w:lang w:val="en-US" w:eastAsia="zh-CN"/>
                    </w:rPr>
                    <w:t>《医疗机构水污染物排放标准》(GB 18466-2005)表2中“预处理标准”和《污水排入城镇下水道水质标准》(GB/T31962-2015)B 级标准</w:t>
                  </w:r>
                </w:p>
              </w:tc>
              <w:tc>
                <w:tcPr>
                  <w:tcW w:w="1150" w:type="dxa"/>
                  <w:shd w:val="clear" w:color="auto" w:fill="auto"/>
                  <w:vAlign w:val="center"/>
                </w:tcPr>
                <w:p w14:paraId="67A1A8F4">
                  <w:pPr>
                    <w:pStyle w:val="32"/>
                    <w:bidi w:val="0"/>
                    <w:jc w:val="center"/>
                    <w:rPr>
                      <w:rFonts w:hint="default"/>
                      <w:lang w:val="en-US" w:eastAsia="zh-CN"/>
                    </w:rPr>
                  </w:pPr>
                  <w:r>
                    <w:rPr>
                      <w:rFonts w:hint="eastAsia"/>
                      <w:lang w:val="en-US" w:eastAsia="zh-CN"/>
                    </w:rPr>
                    <w:t>500</w:t>
                  </w:r>
                </w:p>
              </w:tc>
              <w:tc>
                <w:tcPr>
                  <w:tcW w:w="1167" w:type="dxa"/>
                  <w:shd w:val="clear" w:color="auto" w:fill="auto"/>
                  <w:vAlign w:val="center"/>
                </w:tcPr>
                <w:p w14:paraId="7DE42D23">
                  <w:pPr>
                    <w:pStyle w:val="32"/>
                    <w:bidi w:val="0"/>
                    <w:jc w:val="center"/>
                    <w:rPr>
                      <w:rFonts w:hint="default"/>
                      <w:lang w:val="en-US" w:eastAsia="zh-CN"/>
                    </w:rPr>
                  </w:pPr>
                  <w:r>
                    <w:rPr>
                      <w:rFonts w:hint="eastAsia"/>
                      <w:lang w:val="en-US" w:eastAsia="zh-CN"/>
                    </w:rPr>
                    <w:t>45</w:t>
                  </w:r>
                </w:p>
              </w:tc>
              <w:tc>
                <w:tcPr>
                  <w:tcW w:w="1150" w:type="dxa"/>
                  <w:shd w:val="clear" w:color="auto" w:fill="auto"/>
                  <w:vAlign w:val="center"/>
                </w:tcPr>
                <w:p w14:paraId="6BA96DE3">
                  <w:pPr>
                    <w:pStyle w:val="32"/>
                    <w:bidi w:val="0"/>
                    <w:jc w:val="center"/>
                    <w:rPr>
                      <w:rFonts w:hint="default"/>
                      <w:lang w:val="en-US" w:eastAsia="zh-CN"/>
                    </w:rPr>
                  </w:pPr>
                  <w:r>
                    <w:rPr>
                      <w:rFonts w:hint="eastAsia"/>
                      <w:lang w:val="en-US" w:eastAsia="zh-CN"/>
                    </w:rPr>
                    <w:t>350</w:t>
                  </w:r>
                </w:p>
              </w:tc>
              <w:tc>
                <w:tcPr>
                  <w:tcW w:w="977" w:type="dxa"/>
                  <w:shd w:val="clear" w:color="auto" w:fill="auto"/>
                  <w:vAlign w:val="center"/>
                </w:tcPr>
                <w:p w14:paraId="42020325">
                  <w:pPr>
                    <w:pStyle w:val="32"/>
                    <w:bidi w:val="0"/>
                    <w:jc w:val="center"/>
                    <w:rPr>
                      <w:rFonts w:hint="default"/>
                      <w:lang w:val="en-US" w:eastAsia="zh-CN"/>
                    </w:rPr>
                  </w:pPr>
                  <w:r>
                    <w:rPr>
                      <w:rFonts w:hint="eastAsia"/>
                      <w:lang w:val="en-US" w:eastAsia="zh-CN"/>
                    </w:rPr>
                    <w:t>60</w:t>
                  </w:r>
                </w:p>
              </w:tc>
              <w:tc>
                <w:tcPr>
                  <w:tcW w:w="1192" w:type="dxa"/>
                  <w:shd w:val="clear" w:color="auto" w:fill="auto"/>
                  <w:vAlign w:val="center"/>
                </w:tcPr>
                <w:p w14:paraId="29E71042">
                  <w:pPr>
                    <w:pStyle w:val="32"/>
                    <w:bidi w:val="0"/>
                    <w:jc w:val="center"/>
                    <w:rPr>
                      <w:rFonts w:hint="default"/>
                      <w:lang w:val="en-US" w:eastAsia="zh-CN"/>
                    </w:rPr>
                  </w:pPr>
                  <w:r>
                    <w:rPr>
                      <w:rFonts w:hint="eastAsia"/>
                      <w:lang w:val="en-US" w:eastAsia="zh-CN"/>
                    </w:rPr>
                    <w:t>5000</w:t>
                  </w:r>
                </w:p>
              </w:tc>
            </w:tr>
            <w:tr w14:paraId="5CCF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81" w:type="dxa"/>
                  <w:gridSpan w:val="2"/>
                  <w:shd w:val="clear" w:color="auto" w:fill="auto"/>
                  <w:vAlign w:val="center"/>
                </w:tcPr>
                <w:p w14:paraId="51144A6A">
                  <w:pPr>
                    <w:pStyle w:val="32"/>
                    <w:bidi w:val="0"/>
                    <w:jc w:val="center"/>
                    <w:rPr>
                      <w:rFonts w:hint="default" w:cs="Times New Roman"/>
                      <w:color w:val="auto"/>
                      <w:lang w:val="en-US" w:eastAsia="zh-CN"/>
                    </w:rPr>
                  </w:pPr>
                  <w:r>
                    <w:rPr>
                      <w:rFonts w:hint="eastAsia" w:cs="Times New Roman"/>
                      <w:color w:val="auto"/>
                      <w:lang w:val="en-US" w:eastAsia="zh-CN"/>
                    </w:rPr>
                    <w:t>达标情况</w:t>
                  </w:r>
                </w:p>
              </w:tc>
              <w:tc>
                <w:tcPr>
                  <w:tcW w:w="1150" w:type="dxa"/>
                  <w:shd w:val="clear" w:color="auto" w:fill="auto"/>
                  <w:vAlign w:val="center"/>
                </w:tcPr>
                <w:p w14:paraId="7377568A">
                  <w:pPr>
                    <w:pStyle w:val="32"/>
                    <w:bidi w:val="0"/>
                    <w:jc w:val="center"/>
                    <w:rPr>
                      <w:rFonts w:hint="default"/>
                      <w:lang w:val="en-US" w:eastAsia="zh-CN"/>
                    </w:rPr>
                  </w:pPr>
                  <w:r>
                    <w:rPr>
                      <w:rFonts w:hint="eastAsia"/>
                      <w:lang w:val="en-US" w:eastAsia="zh-CN"/>
                    </w:rPr>
                    <w:t>达标</w:t>
                  </w:r>
                </w:p>
              </w:tc>
              <w:tc>
                <w:tcPr>
                  <w:tcW w:w="1167" w:type="dxa"/>
                  <w:shd w:val="clear" w:color="auto" w:fill="auto"/>
                  <w:vAlign w:val="center"/>
                </w:tcPr>
                <w:p w14:paraId="4FA86035">
                  <w:pPr>
                    <w:pStyle w:val="32"/>
                    <w:bidi w:val="0"/>
                    <w:jc w:val="center"/>
                    <w:rPr>
                      <w:rFonts w:hint="default"/>
                      <w:lang w:val="en-US" w:eastAsia="zh-CN"/>
                    </w:rPr>
                  </w:pPr>
                  <w:r>
                    <w:rPr>
                      <w:rFonts w:hint="eastAsia"/>
                      <w:lang w:val="en-US" w:eastAsia="zh-CN"/>
                    </w:rPr>
                    <w:t>达标</w:t>
                  </w:r>
                </w:p>
              </w:tc>
              <w:tc>
                <w:tcPr>
                  <w:tcW w:w="1150" w:type="dxa"/>
                  <w:shd w:val="clear" w:color="auto" w:fill="auto"/>
                  <w:vAlign w:val="center"/>
                </w:tcPr>
                <w:p w14:paraId="7E38754F">
                  <w:pPr>
                    <w:pStyle w:val="32"/>
                    <w:bidi w:val="0"/>
                    <w:jc w:val="center"/>
                    <w:rPr>
                      <w:rFonts w:hint="default"/>
                      <w:lang w:val="en-US" w:eastAsia="zh-CN"/>
                    </w:rPr>
                  </w:pPr>
                  <w:r>
                    <w:rPr>
                      <w:rFonts w:hint="eastAsia"/>
                      <w:lang w:val="en-US" w:eastAsia="zh-CN"/>
                    </w:rPr>
                    <w:t>达标</w:t>
                  </w:r>
                </w:p>
              </w:tc>
              <w:tc>
                <w:tcPr>
                  <w:tcW w:w="977" w:type="dxa"/>
                  <w:shd w:val="clear" w:color="auto" w:fill="auto"/>
                  <w:vAlign w:val="center"/>
                </w:tcPr>
                <w:p w14:paraId="7E3FBB05">
                  <w:pPr>
                    <w:pStyle w:val="32"/>
                    <w:bidi w:val="0"/>
                    <w:jc w:val="center"/>
                    <w:rPr>
                      <w:rFonts w:hint="default"/>
                      <w:lang w:val="en-US" w:eastAsia="zh-CN"/>
                    </w:rPr>
                  </w:pPr>
                  <w:r>
                    <w:rPr>
                      <w:rFonts w:hint="eastAsia"/>
                      <w:lang w:val="en-US" w:eastAsia="zh-CN"/>
                    </w:rPr>
                    <w:t>达标</w:t>
                  </w:r>
                </w:p>
              </w:tc>
              <w:tc>
                <w:tcPr>
                  <w:tcW w:w="1192" w:type="dxa"/>
                  <w:shd w:val="clear" w:color="auto" w:fill="auto"/>
                  <w:vAlign w:val="center"/>
                </w:tcPr>
                <w:p w14:paraId="382D437D">
                  <w:pPr>
                    <w:pStyle w:val="32"/>
                    <w:bidi w:val="0"/>
                    <w:jc w:val="center"/>
                    <w:rPr>
                      <w:rFonts w:hint="default"/>
                      <w:lang w:val="en-US" w:eastAsia="zh-CN"/>
                    </w:rPr>
                  </w:pPr>
                  <w:r>
                    <w:rPr>
                      <w:rFonts w:hint="eastAsia"/>
                      <w:lang w:val="en-US" w:eastAsia="zh-CN"/>
                    </w:rPr>
                    <w:t>达标</w:t>
                  </w:r>
                </w:p>
              </w:tc>
            </w:tr>
          </w:tbl>
          <w:p w14:paraId="296BDFB6">
            <w:pPr>
              <w:bidi w:val="0"/>
              <w:jc w:val="both"/>
              <w:rPr>
                <w:rFonts w:hint="default"/>
                <w:lang w:val="en-US" w:eastAsia="zh-CN"/>
              </w:rPr>
            </w:pPr>
            <w:r>
              <w:rPr>
                <w:rFonts w:hint="eastAsia"/>
                <w:lang w:val="en-US" w:eastAsia="zh-CN"/>
              </w:rPr>
              <w:t>由上表可知，本项目医院综合废水经化粪池、污水处理站预处理后能够达到</w:t>
            </w:r>
            <w:r>
              <w:rPr>
                <w:rFonts w:hint="eastAsia" w:cs="Times New Roman"/>
                <w:color w:val="auto"/>
                <w:lang w:val="en-US" w:eastAsia="zh-CN"/>
              </w:rPr>
              <w:t>《医疗机构水污染物排放标准》(GB 18466-2005)表2中“预处理标准”和《污水排入城镇下水道水质标准》(GB/T31962-2015)B 级标准，因此，本项目污水处理工艺可行。</w:t>
            </w:r>
          </w:p>
          <w:p w14:paraId="01720760">
            <w:pPr>
              <w:bidi w:val="0"/>
              <w:jc w:val="both"/>
              <w:rPr>
                <w:rFonts w:hint="default"/>
                <w:lang w:val="en-US" w:eastAsia="zh-CN"/>
              </w:rPr>
            </w:pPr>
            <w:r>
              <w:rPr>
                <w:rFonts w:hint="default"/>
                <w:lang w:val="en-US" w:eastAsia="zh-CN"/>
              </w:rPr>
              <w:t>根据《排污许可证与核发技术规范</w:t>
            </w:r>
            <w:r>
              <w:rPr>
                <w:rFonts w:hint="eastAsia"/>
                <w:lang w:val="en-US" w:eastAsia="zh-CN"/>
              </w:rPr>
              <w:t xml:space="preserve"> </w:t>
            </w:r>
            <w:r>
              <w:rPr>
                <w:rFonts w:hint="default"/>
                <w:lang w:val="en-US" w:eastAsia="zh-CN"/>
              </w:rPr>
              <w:t>医疗机构》</w:t>
            </w:r>
            <w:r>
              <w:rPr>
                <w:rFonts w:hint="eastAsia"/>
                <w:lang w:val="en-US" w:eastAsia="zh-CN"/>
              </w:rPr>
              <w:t>表A.2医疗机构排污单位污水治理可行技术参照表</w:t>
            </w:r>
            <w:r>
              <w:rPr>
                <w:rFonts w:hint="default"/>
                <w:lang w:val="en-US" w:eastAsia="zh-CN"/>
              </w:rPr>
              <w:t>相关要求，对本项目废水类别、排放形式及污染治理设施进行符合性分析，具体见下表。</w:t>
            </w:r>
          </w:p>
          <w:p w14:paraId="51E8D7F2">
            <w:pPr>
              <w:pStyle w:val="41"/>
              <w:bidi w:val="0"/>
              <w:rPr>
                <w:rFonts w:hint="eastAsia"/>
                <w:lang w:val="en-US" w:eastAsia="zh-CN"/>
              </w:rPr>
            </w:pPr>
          </w:p>
          <w:p w14:paraId="0DB8CDF3">
            <w:pPr>
              <w:pStyle w:val="41"/>
              <w:bidi w:val="0"/>
              <w:rPr>
                <w:rFonts w:hint="eastAsia"/>
                <w:lang w:val="en-US" w:eastAsia="zh-CN"/>
              </w:rPr>
            </w:pPr>
          </w:p>
          <w:p w14:paraId="042C9462">
            <w:pPr>
              <w:pStyle w:val="41"/>
              <w:bidi w:val="0"/>
              <w:rPr>
                <w:rFonts w:hint="eastAsia"/>
                <w:lang w:val="en-US" w:eastAsia="zh-CN"/>
              </w:rPr>
            </w:pPr>
            <w:r>
              <w:rPr>
                <w:rFonts w:hint="eastAsia"/>
                <w:lang w:val="en-US" w:eastAsia="zh-CN"/>
              </w:rPr>
              <w:t xml:space="preserve">表4-12  本项目废水排放与排污许可技术规范符合性分析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217"/>
              <w:gridCol w:w="700"/>
              <w:gridCol w:w="2517"/>
              <w:gridCol w:w="1783"/>
              <w:gridCol w:w="739"/>
            </w:tblGrid>
            <w:tr w14:paraId="4E1E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0ACF26A0">
                  <w:pPr>
                    <w:pStyle w:val="42"/>
                    <w:jc w:val="center"/>
                    <w:rPr>
                      <w:rFonts w:hint="default"/>
                      <w:b/>
                      <w:bCs/>
                      <w:vertAlign w:val="baseline"/>
                      <w:lang w:val="en-US" w:eastAsia="zh-CN"/>
                    </w:rPr>
                  </w:pPr>
                  <w:r>
                    <w:rPr>
                      <w:rFonts w:hint="eastAsia"/>
                      <w:b/>
                      <w:bCs/>
                      <w:vertAlign w:val="baseline"/>
                      <w:lang w:val="en-US" w:eastAsia="zh-CN"/>
                    </w:rPr>
                    <w:t>污水类别</w:t>
                  </w:r>
                </w:p>
              </w:tc>
              <w:tc>
                <w:tcPr>
                  <w:tcW w:w="2217" w:type="dxa"/>
                  <w:vAlign w:val="center"/>
                </w:tcPr>
                <w:p w14:paraId="2562EC23">
                  <w:pPr>
                    <w:pStyle w:val="42"/>
                    <w:jc w:val="center"/>
                    <w:rPr>
                      <w:rFonts w:hint="default"/>
                      <w:b/>
                      <w:bCs/>
                      <w:vertAlign w:val="baseline"/>
                      <w:lang w:val="en-US" w:eastAsia="zh-CN"/>
                    </w:rPr>
                  </w:pPr>
                  <w:r>
                    <w:rPr>
                      <w:rFonts w:hint="eastAsia"/>
                      <w:b/>
                      <w:bCs/>
                      <w:vertAlign w:val="baseline"/>
                      <w:lang w:val="en-US" w:eastAsia="zh-CN"/>
                    </w:rPr>
                    <w:t>污染物种类</w:t>
                  </w:r>
                </w:p>
              </w:tc>
              <w:tc>
                <w:tcPr>
                  <w:tcW w:w="700" w:type="dxa"/>
                  <w:vAlign w:val="center"/>
                </w:tcPr>
                <w:p w14:paraId="7A07DDCE">
                  <w:pPr>
                    <w:pStyle w:val="42"/>
                    <w:jc w:val="center"/>
                    <w:rPr>
                      <w:rFonts w:hint="default"/>
                      <w:b/>
                      <w:bCs/>
                      <w:vertAlign w:val="baseline"/>
                      <w:lang w:val="en-US" w:eastAsia="zh-CN"/>
                    </w:rPr>
                  </w:pPr>
                  <w:r>
                    <w:rPr>
                      <w:rFonts w:hint="eastAsia"/>
                      <w:b/>
                      <w:bCs/>
                      <w:vertAlign w:val="baseline"/>
                      <w:lang w:val="en-US" w:eastAsia="zh-CN"/>
                    </w:rPr>
                    <w:t>排放去向</w:t>
                  </w:r>
                </w:p>
              </w:tc>
              <w:tc>
                <w:tcPr>
                  <w:tcW w:w="2517" w:type="dxa"/>
                  <w:vAlign w:val="center"/>
                </w:tcPr>
                <w:p w14:paraId="0A62D28E">
                  <w:pPr>
                    <w:pStyle w:val="42"/>
                    <w:jc w:val="center"/>
                    <w:rPr>
                      <w:rFonts w:hint="default"/>
                      <w:b/>
                      <w:bCs/>
                      <w:vertAlign w:val="baseline"/>
                      <w:lang w:val="en-US" w:eastAsia="zh-CN"/>
                    </w:rPr>
                  </w:pPr>
                  <w:r>
                    <w:rPr>
                      <w:rFonts w:hint="eastAsia"/>
                      <w:b/>
                      <w:bCs/>
                      <w:vertAlign w:val="baseline"/>
                      <w:lang w:val="en-US" w:eastAsia="zh-CN"/>
                    </w:rPr>
                    <w:t>可行技术</w:t>
                  </w:r>
                </w:p>
              </w:tc>
              <w:tc>
                <w:tcPr>
                  <w:tcW w:w="1783" w:type="dxa"/>
                  <w:vAlign w:val="center"/>
                </w:tcPr>
                <w:p w14:paraId="469E9ED5">
                  <w:pPr>
                    <w:pStyle w:val="42"/>
                    <w:jc w:val="center"/>
                    <w:rPr>
                      <w:rFonts w:hint="default"/>
                      <w:b/>
                      <w:bCs/>
                      <w:vertAlign w:val="baseline"/>
                      <w:lang w:val="en-US" w:eastAsia="zh-CN"/>
                    </w:rPr>
                  </w:pPr>
                  <w:r>
                    <w:rPr>
                      <w:rFonts w:hint="eastAsia"/>
                      <w:b/>
                      <w:bCs/>
                      <w:vertAlign w:val="baseline"/>
                      <w:lang w:val="en-US" w:eastAsia="zh-CN"/>
                    </w:rPr>
                    <w:t>本项目采取措施</w:t>
                  </w:r>
                </w:p>
              </w:tc>
              <w:tc>
                <w:tcPr>
                  <w:tcW w:w="739" w:type="dxa"/>
                  <w:vAlign w:val="center"/>
                </w:tcPr>
                <w:p w14:paraId="5EB1B3AB">
                  <w:pPr>
                    <w:pStyle w:val="42"/>
                    <w:jc w:val="center"/>
                    <w:rPr>
                      <w:rFonts w:hint="default"/>
                      <w:b/>
                      <w:bCs/>
                      <w:vertAlign w:val="baseline"/>
                      <w:lang w:val="en-US" w:eastAsia="zh-CN"/>
                    </w:rPr>
                  </w:pPr>
                  <w:r>
                    <w:rPr>
                      <w:rFonts w:hint="eastAsia"/>
                      <w:b/>
                      <w:bCs/>
                      <w:vertAlign w:val="baseline"/>
                      <w:lang w:val="en-US" w:eastAsia="zh-CN"/>
                    </w:rPr>
                    <w:t>是否可行</w:t>
                  </w:r>
                </w:p>
              </w:tc>
            </w:tr>
            <w:tr w14:paraId="3DC1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5B62FF4F">
                  <w:pPr>
                    <w:pStyle w:val="42"/>
                    <w:jc w:val="center"/>
                    <w:rPr>
                      <w:rFonts w:hint="default"/>
                      <w:vertAlign w:val="baseline"/>
                      <w:lang w:val="en-US" w:eastAsia="zh-CN"/>
                    </w:rPr>
                  </w:pPr>
                  <w:r>
                    <w:rPr>
                      <w:rFonts w:hint="eastAsia"/>
                      <w:vertAlign w:val="baseline"/>
                      <w:lang w:val="en-US" w:eastAsia="zh-CN"/>
                    </w:rPr>
                    <w:t>医疗废水</w:t>
                  </w:r>
                </w:p>
              </w:tc>
              <w:tc>
                <w:tcPr>
                  <w:tcW w:w="2217" w:type="dxa"/>
                  <w:vAlign w:val="center"/>
                </w:tcPr>
                <w:p w14:paraId="270A4203">
                  <w:pPr>
                    <w:pStyle w:val="42"/>
                    <w:jc w:val="center"/>
                    <w:rPr>
                      <w:rFonts w:hint="default"/>
                      <w:vertAlign w:val="baseline"/>
                      <w:lang w:val="en-US" w:eastAsia="zh-CN"/>
                    </w:rPr>
                  </w:pPr>
                  <w:r>
                    <w:rPr>
                      <w:rFonts w:hint="default"/>
                      <w:vertAlign w:val="baseline"/>
                      <w:lang w:val="en-US" w:eastAsia="zh-CN"/>
                    </w:rPr>
                    <w:t>粪大肠菌群数、肠道致病菌、肠道病毒、化学需氧量、氨氦、</w:t>
                  </w:r>
                  <w:r>
                    <w:rPr>
                      <w:rFonts w:hint="eastAsia"/>
                      <w:vertAlign w:val="baseline"/>
                      <w:lang w:val="en-US" w:eastAsia="zh-CN"/>
                    </w:rPr>
                    <w:t>p</w:t>
                  </w:r>
                  <w:r>
                    <w:rPr>
                      <w:rFonts w:hint="default"/>
                      <w:vertAlign w:val="baseline"/>
                      <w:lang w:val="en-US" w:eastAsia="zh-CN"/>
                    </w:rPr>
                    <w:t>H 值、悬浮物、五日生化需氧量、动植物油、石油类、阴离子表面活性剂、挥发酚、色度、总氰化物、总余氯</w:t>
                  </w:r>
                </w:p>
              </w:tc>
              <w:tc>
                <w:tcPr>
                  <w:tcW w:w="700" w:type="dxa"/>
                  <w:vAlign w:val="center"/>
                </w:tcPr>
                <w:p w14:paraId="54F9DEC0">
                  <w:pPr>
                    <w:pStyle w:val="42"/>
                    <w:jc w:val="center"/>
                    <w:rPr>
                      <w:rFonts w:hint="default"/>
                      <w:vertAlign w:val="baseline"/>
                      <w:lang w:val="en-US" w:eastAsia="zh-CN"/>
                    </w:rPr>
                  </w:pPr>
                  <w:r>
                    <w:rPr>
                      <w:rFonts w:hint="eastAsia"/>
                      <w:vertAlign w:val="baseline"/>
                      <w:lang w:val="en-US" w:eastAsia="zh-CN"/>
                    </w:rPr>
                    <w:t>排入城镇污水处理厂</w:t>
                  </w:r>
                </w:p>
              </w:tc>
              <w:tc>
                <w:tcPr>
                  <w:tcW w:w="2517" w:type="dxa"/>
                  <w:vAlign w:val="center"/>
                </w:tcPr>
                <w:p w14:paraId="383059F5">
                  <w:pPr>
                    <w:pStyle w:val="42"/>
                    <w:jc w:val="center"/>
                    <w:rPr>
                      <w:rFonts w:hint="default"/>
                      <w:vertAlign w:val="baseline"/>
                      <w:lang w:val="en-US" w:eastAsia="zh-CN"/>
                    </w:rPr>
                  </w:pPr>
                  <w:r>
                    <w:rPr>
                      <w:rFonts w:hint="default"/>
                      <w:vertAlign w:val="baseline"/>
                      <w:lang w:val="en-US" w:eastAsia="zh-CN"/>
                    </w:rPr>
                    <w:t>一级处理/一级强化处理+消毒工艺。一级处理包括:筛滤法:沉淀法:气浮法:预曝气法。</w:t>
                  </w:r>
                </w:p>
                <w:p w14:paraId="180991F8">
                  <w:pPr>
                    <w:pStyle w:val="42"/>
                    <w:jc w:val="center"/>
                    <w:rPr>
                      <w:rFonts w:hint="default"/>
                      <w:vertAlign w:val="baseline"/>
                      <w:lang w:val="en-US" w:eastAsia="zh-CN"/>
                    </w:rPr>
                  </w:pPr>
                  <w:r>
                    <w:rPr>
                      <w:rFonts w:hint="default"/>
                      <w:vertAlign w:val="baseline"/>
                      <w:lang w:val="en-US" w:eastAsia="zh-CN"/>
                    </w:rPr>
                    <w:t>一级强化处理包括:化学混凝处理、机械过滤或不完全生物处理。</w:t>
                  </w:r>
                </w:p>
                <w:p w14:paraId="286A70B7">
                  <w:pPr>
                    <w:pStyle w:val="42"/>
                    <w:jc w:val="center"/>
                    <w:rPr>
                      <w:rFonts w:hint="default"/>
                      <w:vertAlign w:val="baseline"/>
                      <w:lang w:val="en-US" w:eastAsia="zh-CN"/>
                    </w:rPr>
                  </w:pPr>
                  <w:r>
                    <w:rPr>
                      <w:rFonts w:hint="default"/>
                      <w:vertAlign w:val="baseline"/>
                      <w:lang w:val="en-US" w:eastAsia="zh-CN"/>
                    </w:rPr>
                    <w:t>消毒工艺:加氯消毒，臭氧法消毒，次氯酸钠法、二氧化氯法消毒、紫外线消毒等。</w:t>
                  </w:r>
                </w:p>
              </w:tc>
              <w:tc>
                <w:tcPr>
                  <w:tcW w:w="1783" w:type="dxa"/>
                  <w:vAlign w:val="center"/>
                </w:tcPr>
                <w:p w14:paraId="1137499F">
                  <w:pPr>
                    <w:pStyle w:val="42"/>
                    <w:jc w:val="center"/>
                    <w:rPr>
                      <w:rFonts w:hint="default"/>
                      <w:vertAlign w:val="baseline"/>
                      <w:lang w:val="en-US" w:eastAsia="zh-CN"/>
                    </w:rPr>
                  </w:pPr>
                  <w:r>
                    <w:rPr>
                      <w:rFonts w:hint="eastAsia"/>
                      <w:vertAlign w:val="baseline"/>
                      <w:lang w:val="en-US" w:eastAsia="zh-CN"/>
                    </w:rPr>
                    <w:t>本项目采取</w:t>
                  </w:r>
                  <w:r>
                    <w:rPr>
                      <w:rFonts w:hint="eastAsia"/>
                      <w:highlight w:val="none"/>
                      <w:lang w:val="en-US" w:eastAsia="zh-CN"/>
                    </w:rPr>
                    <w:t>“</w:t>
                  </w:r>
                  <w:r>
                    <w:rPr>
                      <w:rFonts w:hint="eastAsia"/>
                      <w:lang w:val="en-US" w:eastAsia="zh-CN"/>
                    </w:rPr>
                    <w:t>格栅十调节+水解酸化+缺氧+生物接触氧化十沉淀十消毒”处理工艺，属于二级处理+消毒工艺；消毒工艺采用次氯酸钠消毒法</w:t>
                  </w:r>
                </w:p>
              </w:tc>
              <w:tc>
                <w:tcPr>
                  <w:tcW w:w="739" w:type="dxa"/>
                  <w:vAlign w:val="center"/>
                </w:tcPr>
                <w:p w14:paraId="34C6CB76">
                  <w:pPr>
                    <w:pStyle w:val="42"/>
                    <w:jc w:val="center"/>
                    <w:rPr>
                      <w:rFonts w:hint="default"/>
                      <w:vertAlign w:val="baseline"/>
                      <w:lang w:val="en-US" w:eastAsia="zh-CN"/>
                    </w:rPr>
                  </w:pPr>
                  <w:r>
                    <w:rPr>
                      <w:rFonts w:hint="eastAsia"/>
                      <w:vertAlign w:val="baseline"/>
                      <w:lang w:val="en-US" w:eastAsia="zh-CN"/>
                    </w:rPr>
                    <w:t>可行</w:t>
                  </w:r>
                </w:p>
              </w:tc>
            </w:tr>
          </w:tbl>
          <w:p w14:paraId="1474E4ED">
            <w:pPr>
              <w:bidi w:val="0"/>
              <w:jc w:val="both"/>
              <w:rPr>
                <w:rFonts w:hint="default"/>
                <w:lang w:val="en-US" w:eastAsia="zh-CN"/>
              </w:rPr>
            </w:pPr>
            <w:r>
              <w:rPr>
                <w:rFonts w:hint="eastAsia"/>
                <w:lang w:val="en-US" w:eastAsia="zh-CN"/>
              </w:rPr>
              <w:t>由上表可知，本项目医疗废水处理工艺可行。</w:t>
            </w:r>
          </w:p>
          <w:p w14:paraId="0DE69AE5">
            <w:pPr>
              <w:ind w:firstLine="482"/>
              <w:jc w:val="both"/>
              <w:rPr>
                <w:b/>
                <w:bCs/>
              </w:rPr>
            </w:pPr>
            <w:r>
              <w:rPr>
                <w:rFonts w:hint="eastAsia"/>
                <w:b/>
                <w:bCs/>
                <w:lang w:val="en-US" w:eastAsia="zh-CN"/>
              </w:rPr>
              <w:t>3、</w:t>
            </w:r>
            <w:r>
              <w:rPr>
                <w:b/>
                <w:bCs/>
              </w:rPr>
              <w:t>废水类别、污染物及污染治理设施信息</w:t>
            </w:r>
          </w:p>
          <w:p w14:paraId="3173DA3E">
            <w:pPr>
              <w:ind w:firstLine="480"/>
              <w:jc w:val="both"/>
            </w:pPr>
            <w:r>
              <w:rPr>
                <w:rFonts w:hint="eastAsia"/>
                <w:lang w:val="en-US" w:eastAsia="zh-CN"/>
              </w:rPr>
              <w:t>本项目</w:t>
            </w:r>
            <w:r>
              <w:t>废水类别、污染物及污染治理设施信息表见表</w:t>
            </w:r>
            <w:r>
              <w:rPr>
                <w:rFonts w:hint="eastAsia"/>
              </w:rPr>
              <w:t>4-</w:t>
            </w:r>
            <w:r>
              <w:rPr>
                <w:rFonts w:hint="eastAsia"/>
                <w:lang w:val="en-US" w:eastAsia="zh-CN"/>
              </w:rPr>
              <w:t>13</w:t>
            </w:r>
            <w:r>
              <w:t>。</w:t>
            </w:r>
          </w:p>
          <w:p w14:paraId="40EAB896">
            <w:pPr>
              <w:pStyle w:val="41"/>
              <w:rPr>
                <w:rFonts w:hint="default"/>
              </w:rPr>
            </w:pPr>
            <w:r>
              <w:t>表4</w:t>
            </w:r>
            <w:r>
              <w:rPr>
                <w:rFonts w:hint="eastAsia"/>
                <w:lang w:val="en-US" w:eastAsia="zh-CN"/>
              </w:rPr>
              <w:t xml:space="preserve">-13  </w:t>
            </w:r>
            <w:r>
              <w:t>废水类别、污染物及污染治理设施信息表</w:t>
            </w:r>
          </w:p>
          <w:tbl>
            <w:tblPr>
              <w:tblStyle w:val="18"/>
              <w:tblW w:w="8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816"/>
              <w:gridCol w:w="1568"/>
              <w:gridCol w:w="1124"/>
              <w:gridCol w:w="931"/>
              <w:gridCol w:w="971"/>
              <w:gridCol w:w="971"/>
              <w:gridCol w:w="890"/>
              <w:gridCol w:w="749"/>
            </w:tblGrid>
            <w:tr w14:paraId="36DC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dxa"/>
                  <w:vMerge w:val="restart"/>
                  <w:noWrap/>
                  <w:vAlign w:val="center"/>
                </w:tcPr>
                <w:p w14:paraId="12BD60D5">
                  <w:pPr>
                    <w:pStyle w:val="39"/>
                    <w:bidi w:val="0"/>
                    <w:rPr>
                      <w:b/>
                      <w:bCs/>
                    </w:rPr>
                  </w:pPr>
                  <w:r>
                    <w:rPr>
                      <w:b/>
                      <w:bCs/>
                    </w:rPr>
                    <w:t>序号</w:t>
                  </w:r>
                </w:p>
              </w:tc>
              <w:tc>
                <w:tcPr>
                  <w:tcW w:w="816" w:type="dxa"/>
                  <w:vMerge w:val="restart"/>
                  <w:noWrap/>
                  <w:vAlign w:val="center"/>
                </w:tcPr>
                <w:p w14:paraId="17711286">
                  <w:pPr>
                    <w:pStyle w:val="39"/>
                    <w:bidi w:val="0"/>
                    <w:rPr>
                      <w:b/>
                      <w:bCs/>
                    </w:rPr>
                  </w:pPr>
                  <w:r>
                    <w:rPr>
                      <w:b/>
                      <w:bCs/>
                    </w:rPr>
                    <w:t>废水</w:t>
                  </w:r>
                </w:p>
                <w:p w14:paraId="2A0D0CE3">
                  <w:pPr>
                    <w:pStyle w:val="39"/>
                    <w:bidi w:val="0"/>
                    <w:rPr>
                      <w:b/>
                      <w:bCs/>
                    </w:rPr>
                  </w:pPr>
                  <w:r>
                    <w:rPr>
                      <w:b/>
                      <w:bCs/>
                    </w:rPr>
                    <w:t>类别</w:t>
                  </w:r>
                </w:p>
              </w:tc>
              <w:tc>
                <w:tcPr>
                  <w:tcW w:w="1568" w:type="dxa"/>
                  <w:vMerge w:val="restart"/>
                  <w:noWrap/>
                  <w:vAlign w:val="center"/>
                </w:tcPr>
                <w:p w14:paraId="44DEBBA0">
                  <w:pPr>
                    <w:pStyle w:val="39"/>
                    <w:bidi w:val="0"/>
                    <w:rPr>
                      <w:b/>
                      <w:bCs/>
                    </w:rPr>
                  </w:pPr>
                  <w:r>
                    <w:rPr>
                      <w:b/>
                      <w:bCs/>
                    </w:rPr>
                    <w:t>污染物</w:t>
                  </w:r>
                </w:p>
                <w:p w14:paraId="018DA72E">
                  <w:pPr>
                    <w:pStyle w:val="39"/>
                    <w:bidi w:val="0"/>
                    <w:rPr>
                      <w:b/>
                      <w:bCs/>
                    </w:rPr>
                  </w:pPr>
                  <w:r>
                    <w:rPr>
                      <w:b/>
                      <w:bCs/>
                    </w:rPr>
                    <w:t>种类</w:t>
                  </w:r>
                </w:p>
              </w:tc>
              <w:tc>
                <w:tcPr>
                  <w:tcW w:w="1124" w:type="dxa"/>
                  <w:vMerge w:val="restart"/>
                  <w:noWrap/>
                  <w:vAlign w:val="center"/>
                </w:tcPr>
                <w:p w14:paraId="66375F5A">
                  <w:pPr>
                    <w:pStyle w:val="39"/>
                    <w:bidi w:val="0"/>
                    <w:rPr>
                      <w:b/>
                      <w:bCs/>
                    </w:rPr>
                  </w:pPr>
                  <w:r>
                    <w:rPr>
                      <w:b/>
                      <w:bCs/>
                    </w:rPr>
                    <w:t>排放去向</w:t>
                  </w:r>
                </w:p>
              </w:tc>
              <w:tc>
                <w:tcPr>
                  <w:tcW w:w="931" w:type="dxa"/>
                  <w:vMerge w:val="restart"/>
                  <w:noWrap/>
                  <w:vAlign w:val="center"/>
                </w:tcPr>
                <w:p w14:paraId="36282F93">
                  <w:pPr>
                    <w:pStyle w:val="39"/>
                    <w:bidi w:val="0"/>
                    <w:rPr>
                      <w:b/>
                      <w:bCs/>
                    </w:rPr>
                  </w:pPr>
                  <w:r>
                    <w:rPr>
                      <w:b/>
                      <w:bCs/>
                    </w:rPr>
                    <w:t>排放</w:t>
                  </w:r>
                </w:p>
                <w:p w14:paraId="55836A0B">
                  <w:pPr>
                    <w:pStyle w:val="39"/>
                    <w:bidi w:val="0"/>
                    <w:rPr>
                      <w:b/>
                      <w:bCs/>
                    </w:rPr>
                  </w:pPr>
                  <w:r>
                    <w:rPr>
                      <w:b/>
                      <w:bCs/>
                    </w:rPr>
                    <w:t>规律</w:t>
                  </w:r>
                </w:p>
              </w:tc>
              <w:tc>
                <w:tcPr>
                  <w:tcW w:w="2832" w:type="dxa"/>
                  <w:gridSpan w:val="3"/>
                  <w:noWrap/>
                  <w:vAlign w:val="center"/>
                </w:tcPr>
                <w:p w14:paraId="31052D13">
                  <w:pPr>
                    <w:pStyle w:val="39"/>
                    <w:bidi w:val="0"/>
                    <w:rPr>
                      <w:b/>
                      <w:bCs/>
                    </w:rPr>
                  </w:pPr>
                  <w:r>
                    <w:rPr>
                      <w:b/>
                      <w:bCs/>
                    </w:rPr>
                    <w:t>污染治理设施</w:t>
                  </w:r>
                </w:p>
              </w:tc>
              <w:tc>
                <w:tcPr>
                  <w:tcW w:w="749" w:type="dxa"/>
                  <w:vMerge w:val="restart"/>
                  <w:noWrap/>
                  <w:vAlign w:val="center"/>
                </w:tcPr>
                <w:p w14:paraId="6058E62F">
                  <w:pPr>
                    <w:pStyle w:val="39"/>
                    <w:bidi w:val="0"/>
                  </w:pPr>
                  <w:r>
                    <w:rPr>
                      <w:b/>
                      <w:bCs/>
                    </w:rPr>
                    <w:t>排放口类型</w:t>
                  </w:r>
                </w:p>
              </w:tc>
            </w:tr>
            <w:tr w14:paraId="2940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dxa"/>
                  <w:vMerge w:val="continue"/>
                  <w:noWrap/>
                  <w:vAlign w:val="center"/>
                </w:tcPr>
                <w:p w14:paraId="4E5B9AEF">
                  <w:pPr>
                    <w:pStyle w:val="39"/>
                    <w:bidi w:val="0"/>
                    <w:rPr>
                      <w:b/>
                      <w:bCs/>
                    </w:rPr>
                  </w:pPr>
                </w:p>
              </w:tc>
              <w:tc>
                <w:tcPr>
                  <w:tcW w:w="816" w:type="dxa"/>
                  <w:vMerge w:val="continue"/>
                  <w:noWrap/>
                  <w:vAlign w:val="center"/>
                </w:tcPr>
                <w:p w14:paraId="34933618">
                  <w:pPr>
                    <w:pStyle w:val="39"/>
                    <w:bidi w:val="0"/>
                    <w:rPr>
                      <w:b/>
                      <w:bCs/>
                    </w:rPr>
                  </w:pPr>
                </w:p>
              </w:tc>
              <w:tc>
                <w:tcPr>
                  <w:tcW w:w="1568" w:type="dxa"/>
                  <w:vMerge w:val="continue"/>
                  <w:noWrap/>
                  <w:vAlign w:val="center"/>
                </w:tcPr>
                <w:p w14:paraId="46468907">
                  <w:pPr>
                    <w:pStyle w:val="39"/>
                    <w:bidi w:val="0"/>
                    <w:rPr>
                      <w:b/>
                      <w:bCs/>
                    </w:rPr>
                  </w:pPr>
                </w:p>
              </w:tc>
              <w:tc>
                <w:tcPr>
                  <w:tcW w:w="1124" w:type="dxa"/>
                  <w:vMerge w:val="continue"/>
                  <w:noWrap/>
                  <w:vAlign w:val="center"/>
                </w:tcPr>
                <w:p w14:paraId="1ACD001C">
                  <w:pPr>
                    <w:pStyle w:val="39"/>
                    <w:bidi w:val="0"/>
                    <w:rPr>
                      <w:b/>
                      <w:bCs/>
                    </w:rPr>
                  </w:pPr>
                </w:p>
              </w:tc>
              <w:tc>
                <w:tcPr>
                  <w:tcW w:w="931" w:type="dxa"/>
                  <w:vMerge w:val="continue"/>
                  <w:noWrap/>
                  <w:vAlign w:val="center"/>
                </w:tcPr>
                <w:p w14:paraId="5D9CFA9A">
                  <w:pPr>
                    <w:pStyle w:val="39"/>
                    <w:bidi w:val="0"/>
                    <w:rPr>
                      <w:b/>
                      <w:bCs/>
                    </w:rPr>
                  </w:pPr>
                </w:p>
              </w:tc>
              <w:tc>
                <w:tcPr>
                  <w:tcW w:w="971" w:type="dxa"/>
                  <w:noWrap/>
                  <w:vAlign w:val="center"/>
                </w:tcPr>
                <w:p w14:paraId="66C33411">
                  <w:pPr>
                    <w:pStyle w:val="39"/>
                    <w:bidi w:val="0"/>
                    <w:rPr>
                      <w:b/>
                      <w:bCs/>
                    </w:rPr>
                  </w:pPr>
                  <w:r>
                    <w:rPr>
                      <w:b/>
                      <w:bCs/>
                    </w:rPr>
                    <w:t>污染治理设施名称</w:t>
                  </w:r>
                </w:p>
              </w:tc>
              <w:tc>
                <w:tcPr>
                  <w:tcW w:w="971" w:type="dxa"/>
                  <w:noWrap/>
                  <w:vAlign w:val="center"/>
                </w:tcPr>
                <w:p w14:paraId="470243DB">
                  <w:pPr>
                    <w:pStyle w:val="39"/>
                    <w:bidi w:val="0"/>
                    <w:rPr>
                      <w:b/>
                      <w:bCs/>
                    </w:rPr>
                  </w:pPr>
                  <w:r>
                    <w:rPr>
                      <w:b/>
                      <w:bCs/>
                    </w:rPr>
                    <w:t>污染治理设施工艺</w:t>
                  </w:r>
                </w:p>
              </w:tc>
              <w:tc>
                <w:tcPr>
                  <w:tcW w:w="890" w:type="dxa"/>
                  <w:noWrap/>
                  <w:vAlign w:val="center"/>
                </w:tcPr>
                <w:p w14:paraId="466A18B8">
                  <w:pPr>
                    <w:pStyle w:val="39"/>
                    <w:bidi w:val="0"/>
                    <w:rPr>
                      <w:b/>
                      <w:bCs/>
                    </w:rPr>
                  </w:pPr>
                  <w:r>
                    <w:rPr>
                      <w:b/>
                      <w:bCs/>
                    </w:rPr>
                    <w:t>是否为可行技术</w:t>
                  </w:r>
                </w:p>
              </w:tc>
              <w:tc>
                <w:tcPr>
                  <w:tcW w:w="749" w:type="dxa"/>
                  <w:vMerge w:val="continue"/>
                  <w:noWrap/>
                  <w:vAlign w:val="center"/>
                </w:tcPr>
                <w:p w14:paraId="4C6E56AA">
                  <w:pPr>
                    <w:pStyle w:val="39"/>
                    <w:bidi w:val="0"/>
                  </w:pPr>
                </w:p>
              </w:tc>
            </w:tr>
            <w:tr w14:paraId="2A8E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dxa"/>
                  <w:noWrap/>
                  <w:vAlign w:val="center"/>
                </w:tcPr>
                <w:p w14:paraId="5361EA82">
                  <w:pPr>
                    <w:pStyle w:val="39"/>
                    <w:bidi w:val="0"/>
                  </w:pPr>
                  <w:r>
                    <w:t>1</w:t>
                  </w:r>
                </w:p>
              </w:tc>
              <w:tc>
                <w:tcPr>
                  <w:tcW w:w="816" w:type="dxa"/>
                  <w:noWrap/>
                  <w:vAlign w:val="center"/>
                </w:tcPr>
                <w:p w14:paraId="2D2CEB6F">
                  <w:pPr>
                    <w:pStyle w:val="39"/>
                    <w:bidi w:val="0"/>
                    <w:rPr>
                      <w:rFonts w:hint="default" w:eastAsia="宋体"/>
                      <w:lang w:val="en-US" w:eastAsia="zh-CN"/>
                    </w:rPr>
                  </w:pPr>
                  <w:r>
                    <w:rPr>
                      <w:rFonts w:hint="eastAsia"/>
                      <w:lang w:val="en-US" w:eastAsia="zh-CN"/>
                    </w:rPr>
                    <w:t>医疗废水</w:t>
                  </w:r>
                </w:p>
              </w:tc>
              <w:tc>
                <w:tcPr>
                  <w:tcW w:w="1568" w:type="dxa"/>
                  <w:noWrap/>
                  <w:vAlign w:val="center"/>
                </w:tcPr>
                <w:p w14:paraId="236E6AA7">
                  <w:pPr>
                    <w:pStyle w:val="39"/>
                    <w:bidi w:val="0"/>
                    <w:rPr>
                      <w:rFonts w:hint="default"/>
                      <w:lang w:val="en-US" w:eastAsia="zh-CN"/>
                    </w:rPr>
                  </w:pPr>
                  <w:r>
                    <w:rPr>
                      <w:rFonts w:hint="default"/>
                      <w:vertAlign w:val="baseline"/>
                      <w:lang w:val="en-US" w:eastAsia="zh-CN"/>
                    </w:rPr>
                    <w:t>粪大肠菌群数、肠道致病菌、肠道病毒、化学需氧量、氨氦、</w:t>
                  </w:r>
                  <w:r>
                    <w:rPr>
                      <w:rFonts w:hint="eastAsia"/>
                      <w:vertAlign w:val="baseline"/>
                      <w:lang w:val="en-US" w:eastAsia="zh-CN"/>
                    </w:rPr>
                    <w:t>p</w:t>
                  </w:r>
                  <w:r>
                    <w:rPr>
                      <w:rFonts w:hint="default"/>
                      <w:vertAlign w:val="baseline"/>
                      <w:lang w:val="en-US" w:eastAsia="zh-CN"/>
                    </w:rPr>
                    <w:t>H 值、悬浮物、五日生化需氧量、动植物油、总余氯</w:t>
                  </w:r>
                </w:p>
              </w:tc>
              <w:tc>
                <w:tcPr>
                  <w:tcW w:w="1124" w:type="dxa"/>
                  <w:noWrap/>
                  <w:vAlign w:val="center"/>
                </w:tcPr>
                <w:p w14:paraId="4E1FCE6B">
                  <w:pPr>
                    <w:pStyle w:val="39"/>
                    <w:bidi w:val="0"/>
                    <w:rPr>
                      <w:rFonts w:hint="default"/>
                      <w:lang w:val="en-US"/>
                    </w:rPr>
                  </w:pPr>
                  <w:r>
                    <w:rPr>
                      <w:rFonts w:hint="eastAsia"/>
                      <w:lang w:val="en-US" w:eastAsia="zh-CN"/>
                    </w:rPr>
                    <w:t>山南新区污水处理厂</w:t>
                  </w:r>
                </w:p>
              </w:tc>
              <w:tc>
                <w:tcPr>
                  <w:tcW w:w="931" w:type="dxa"/>
                  <w:noWrap/>
                  <w:vAlign w:val="center"/>
                </w:tcPr>
                <w:p w14:paraId="3352C549">
                  <w:pPr>
                    <w:pStyle w:val="39"/>
                    <w:bidi w:val="0"/>
                  </w:pPr>
                  <w:r>
                    <w:rPr>
                      <w:rFonts w:hint="eastAsia"/>
                    </w:rPr>
                    <w:t>间断性排放</w:t>
                  </w:r>
                </w:p>
              </w:tc>
              <w:tc>
                <w:tcPr>
                  <w:tcW w:w="971" w:type="dxa"/>
                  <w:noWrap/>
                  <w:vAlign w:val="center"/>
                </w:tcPr>
                <w:p w14:paraId="04084C54">
                  <w:pPr>
                    <w:pStyle w:val="39"/>
                    <w:bidi w:val="0"/>
                    <w:rPr>
                      <w:rFonts w:hint="default" w:eastAsia="宋体"/>
                      <w:lang w:val="en-US" w:eastAsia="zh-CN"/>
                    </w:rPr>
                  </w:pPr>
                  <w:r>
                    <w:t>化粪池</w:t>
                  </w:r>
                  <w:r>
                    <w:rPr>
                      <w:rFonts w:hint="eastAsia"/>
                      <w:lang w:val="en-US" w:eastAsia="zh-CN"/>
                    </w:rPr>
                    <w:t>+自建污水处理站</w:t>
                  </w:r>
                </w:p>
              </w:tc>
              <w:tc>
                <w:tcPr>
                  <w:tcW w:w="971" w:type="dxa"/>
                  <w:noWrap/>
                  <w:vAlign w:val="center"/>
                </w:tcPr>
                <w:p w14:paraId="27061010">
                  <w:pPr>
                    <w:pStyle w:val="39"/>
                    <w:bidi w:val="0"/>
                    <w:rPr>
                      <w:rFonts w:hint="eastAsia" w:eastAsia="宋体"/>
                      <w:lang w:val="en-US" w:eastAsia="zh-CN"/>
                    </w:rPr>
                  </w:pPr>
                  <w:r>
                    <w:rPr>
                      <w:rFonts w:hint="eastAsia"/>
                    </w:rPr>
                    <w:t>沉淀</w:t>
                  </w:r>
                  <w:r>
                    <w:rPr>
                      <w:rFonts w:hint="eastAsia"/>
                      <w:lang w:val="en-US" w:eastAsia="zh-CN"/>
                    </w:rPr>
                    <w:t>+二级处理+消毒工艺</w:t>
                  </w:r>
                </w:p>
              </w:tc>
              <w:tc>
                <w:tcPr>
                  <w:tcW w:w="890" w:type="dxa"/>
                  <w:noWrap/>
                  <w:vAlign w:val="center"/>
                </w:tcPr>
                <w:p w14:paraId="38114B89">
                  <w:pPr>
                    <w:pStyle w:val="39"/>
                    <w:bidi w:val="0"/>
                  </w:pPr>
                  <w:r>
                    <w:t>可行</w:t>
                  </w:r>
                </w:p>
              </w:tc>
              <w:tc>
                <w:tcPr>
                  <w:tcW w:w="749" w:type="dxa"/>
                  <w:noWrap/>
                  <w:vAlign w:val="center"/>
                </w:tcPr>
                <w:p w14:paraId="09F14917">
                  <w:pPr>
                    <w:pStyle w:val="39"/>
                    <w:bidi w:val="0"/>
                  </w:pPr>
                  <w:r>
                    <w:rPr>
                      <w:rFonts w:hint="eastAsia"/>
                    </w:rPr>
                    <w:t>一般排放口</w:t>
                  </w:r>
                </w:p>
              </w:tc>
            </w:tr>
          </w:tbl>
          <w:p w14:paraId="1A71ADB7">
            <w:pPr>
              <w:pStyle w:val="41"/>
              <w:rPr>
                <w:rFonts w:hint="default"/>
              </w:rPr>
            </w:pPr>
            <w:r>
              <w:t>表4-</w:t>
            </w:r>
            <w:r>
              <w:rPr>
                <w:rFonts w:hint="eastAsia"/>
                <w:lang w:val="en-US" w:eastAsia="zh-CN"/>
              </w:rPr>
              <w:t xml:space="preserve">14 </w:t>
            </w:r>
            <w:r>
              <w:t xml:space="preserve"> 废水排放口基本情况表</w:t>
            </w:r>
          </w:p>
          <w:tbl>
            <w:tblPr>
              <w:tblStyle w:val="18"/>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759"/>
              <w:gridCol w:w="1053"/>
              <w:gridCol w:w="1051"/>
              <w:gridCol w:w="750"/>
              <w:gridCol w:w="854"/>
              <w:gridCol w:w="668"/>
              <w:gridCol w:w="959"/>
              <w:gridCol w:w="1596"/>
            </w:tblGrid>
            <w:tr w14:paraId="6A0D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noWrap/>
                  <w:vAlign w:val="center"/>
                </w:tcPr>
                <w:p w14:paraId="02286B1C">
                  <w:pPr>
                    <w:pStyle w:val="39"/>
                    <w:bidi w:val="0"/>
                    <w:rPr>
                      <w:b/>
                      <w:bCs/>
                    </w:rPr>
                  </w:pPr>
                  <w:r>
                    <w:rPr>
                      <w:rFonts w:hint="eastAsia"/>
                      <w:b/>
                      <w:bCs/>
                    </w:rPr>
                    <w:t>排放口编号</w:t>
                  </w:r>
                </w:p>
              </w:tc>
              <w:tc>
                <w:tcPr>
                  <w:tcW w:w="444" w:type="pct"/>
                  <w:noWrap/>
                  <w:vAlign w:val="center"/>
                </w:tcPr>
                <w:p w14:paraId="71B575C3">
                  <w:pPr>
                    <w:pStyle w:val="39"/>
                    <w:bidi w:val="0"/>
                    <w:rPr>
                      <w:b/>
                      <w:bCs/>
                    </w:rPr>
                  </w:pPr>
                  <w:r>
                    <w:rPr>
                      <w:rFonts w:hint="eastAsia"/>
                      <w:b/>
                      <w:bCs/>
                    </w:rPr>
                    <w:t>排放口名称</w:t>
                  </w:r>
                </w:p>
              </w:tc>
              <w:tc>
                <w:tcPr>
                  <w:tcW w:w="616" w:type="pct"/>
                  <w:noWrap/>
                  <w:vAlign w:val="center"/>
                </w:tcPr>
                <w:p w14:paraId="39E6A770">
                  <w:pPr>
                    <w:pStyle w:val="39"/>
                    <w:bidi w:val="0"/>
                    <w:rPr>
                      <w:b/>
                      <w:bCs/>
                    </w:rPr>
                  </w:pPr>
                  <w:r>
                    <w:rPr>
                      <w:rFonts w:hint="eastAsia"/>
                      <w:b/>
                      <w:bCs/>
                    </w:rPr>
                    <w:t>排放口地理坐标</w:t>
                  </w:r>
                </w:p>
              </w:tc>
              <w:tc>
                <w:tcPr>
                  <w:tcW w:w="615" w:type="pct"/>
                  <w:noWrap/>
                  <w:vAlign w:val="center"/>
                </w:tcPr>
                <w:p w14:paraId="41D3A969">
                  <w:pPr>
                    <w:pStyle w:val="39"/>
                    <w:bidi w:val="0"/>
                    <w:rPr>
                      <w:b/>
                      <w:bCs/>
                    </w:rPr>
                  </w:pPr>
                  <w:r>
                    <w:rPr>
                      <w:rFonts w:hint="eastAsia"/>
                      <w:b/>
                      <w:bCs/>
                    </w:rPr>
                    <w:t>污染物</w:t>
                  </w:r>
                </w:p>
              </w:tc>
              <w:tc>
                <w:tcPr>
                  <w:tcW w:w="439" w:type="pct"/>
                  <w:noWrap/>
                  <w:vAlign w:val="center"/>
                </w:tcPr>
                <w:p w14:paraId="4FFB77A2">
                  <w:pPr>
                    <w:pStyle w:val="39"/>
                    <w:bidi w:val="0"/>
                    <w:rPr>
                      <w:b/>
                      <w:bCs/>
                    </w:rPr>
                  </w:pPr>
                  <w:r>
                    <w:rPr>
                      <w:rFonts w:hint="eastAsia"/>
                      <w:b/>
                      <w:bCs/>
                    </w:rPr>
                    <w:t>排放方式</w:t>
                  </w:r>
                </w:p>
              </w:tc>
              <w:tc>
                <w:tcPr>
                  <w:tcW w:w="500" w:type="pct"/>
                  <w:noWrap/>
                  <w:vAlign w:val="center"/>
                </w:tcPr>
                <w:p w14:paraId="151CF280">
                  <w:pPr>
                    <w:pStyle w:val="39"/>
                    <w:bidi w:val="0"/>
                    <w:rPr>
                      <w:b/>
                      <w:bCs/>
                    </w:rPr>
                  </w:pPr>
                  <w:r>
                    <w:rPr>
                      <w:rFonts w:hint="eastAsia"/>
                      <w:b/>
                      <w:bCs/>
                    </w:rPr>
                    <w:t>排放去向</w:t>
                  </w:r>
                </w:p>
              </w:tc>
              <w:tc>
                <w:tcPr>
                  <w:tcW w:w="391" w:type="pct"/>
                  <w:noWrap/>
                  <w:vAlign w:val="center"/>
                </w:tcPr>
                <w:p w14:paraId="5A5D9506">
                  <w:pPr>
                    <w:pStyle w:val="39"/>
                    <w:bidi w:val="0"/>
                    <w:rPr>
                      <w:b/>
                      <w:bCs/>
                    </w:rPr>
                  </w:pPr>
                  <w:r>
                    <w:rPr>
                      <w:rFonts w:hint="eastAsia"/>
                      <w:b/>
                      <w:bCs/>
                    </w:rPr>
                    <w:t>排放规律</w:t>
                  </w:r>
                </w:p>
              </w:tc>
              <w:tc>
                <w:tcPr>
                  <w:tcW w:w="561" w:type="pct"/>
                  <w:noWrap/>
                  <w:vAlign w:val="center"/>
                </w:tcPr>
                <w:p w14:paraId="75BE96CA">
                  <w:pPr>
                    <w:pStyle w:val="39"/>
                    <w:bidi w:val="0"/>
                    <w:rPr>
                      <w:b/>
                      <w:bCs/>
                    </w:rPr>
                  </w:pPr>
                  <w:r>
                    <w:rPr>
                      <w:rFonts w:hint="eastAsia"/>
                      <w:b/>
                      <w:bCs/>
                    </w:rPr>
                    <w:t>排放口类型</w:t>
                  </w:r>
                </w:p>
              </w:tc>
              <w:tc>
                <w:tcPr>
                  <w:tcW w:w="934" w:type="pct"/>
                  <w:noWrap/>
                  <w:vAlign w:val="center"/>
                </w:tcPr>
                <w:p w14:paraId="3CAD0390">
                  <w:pPr>
                    <w:pStyle w:val="39"/>
                    <w:bidi w:val="0"/>
                    <w:rPr>
                      <w:b/>
                      <w:bCs/>
                    </w:rPr>
                  </w:pPr>
                  <w:r>
                    <w:rPr>
                      <w:rFonts w:hint="eastAsia"/>
                      <w:b/>
                      <w:bCs/>
                    </w:rPr>
                    <w:t>排放标准</w:t>
                  </w:r>
                </w:p>
              </w:tc>
            </w:tr>
            <w:tr w14:paraId="41D6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noWrap/>
                  <w:vAlign w:val="center"/>
                </w:tcPr>
                <w:p w14:paraId="20A4313B">
                  <w:pPr>
                    <w:pStyle w:val="39"/>
                    <w:bidi w:val="0"/>
                  </w:pPr>
                  <w:r>
                    <w:t>DW001</w:t>
                  </w:r>
                </w:p>
              </w:tc>
              <w:tc>
                <w:tcPr>
                  <w:tcW w:w="444" w:type="pct"/>
                  <w:noWrap/>
                  <w:vAlign w:val="center"/>
                </w:tcPr>
                <w:p w14:paraId="165FC155">
                  <w:pPr>
                    <w:pStyle w:val="39"/>
                    <w:bidi w:val="0"/>
                  </w:pPr>
                  <w:r>
                    <w:t>废水总排口</w:t>
                  </w:r>
                </w:p>
              </w:tc>
              <w:tc>
                <w:tcPr>
                  <w:tcW w:w="616" w:type="pct"/>
                  <w:noWrap/>
                  <w:vAlign w:val="center"/>
                </w:tcPr>
                <w:p w14:paraId="2A252876">
                  <w:pPr>
                    <w:pStyle w:val="32"/>
                    <w:bidi w:val="0"/>
                    <w:rPr>
                      <w:rFonts w:hint="eastAsia" w:eastAsia="宋体"/>
                      <w:lang w:val="en-US" w:eastAsia="zh-CN"/>
                    </w:rPr>
                  </w:pPr>
                  <w:r>
                    <w:rPr>
                      <w:rFonts w:hint="eastAsia"/>
                    </w:rPr>
                    <w:t>116.973155</w:t>
                  </w:r>
                  <w:r>
                    <w:rPr>
                      <w:rFonts w:hint="eastAsia"/>
                      <w:lang w:eastAsia="zh-CN"/>
                    </w:rPr>
                    <w:t>，</w:t>
                  </w:r>
                  <w:r>
                    <w:rPr>
                      <w:rFonts w:hint="eastAsia"/>
                    </w:rPr>
                    <w:t>32.59385</w:t>
                  </w:r>
                  <w:r>
                    <w:rPr>
                      <w:rFonts w:hint="eastAsia"/>
                      <w:lang w:val="en-US" w:eastAsia="zh-CN"/>
                    </w:rPr>
                    <w:t>7</w:t>
                  </w:r>
                </w:p>
              </w:tc>
              <w:tc>
                <w:tcPr>
                  <w:tcW w:w="615" w:type="pct"/>
                  <w:noWrap/>
                  <w:vAlign w:val="center"/>
                </w:tcPr>
                <w:p w14:paraId="7CA0DB78">
                  <w:pPr>
                    <w:pStyle w:val="39"/>
                    <w:bidi w:val="0"/>
                    <w:rPr>
                      <w:rFonts w:hint="eastAsia"/>
                      <w:lang w:eastAsia="zh-CN"/>
                    </w:rPr>
                  </w:pPr>
                  <w:r>
                    <w:rPr>
                      <w:rFonts w:hint="default"/>
                      <w:vertAlign w:val="baseline"/>
                      <w:lang w:val="en-US" w:eastAsia="zh-CN"/>
                    </w:rPr>
                    <w:t>粪大肠菌群数、肠道致病菌、肠道病毒、化学需氧量、氨氦、</w:t>
                  </w:r>
                  <w:r>
                    <w:rPr>
                      <w:rFonts w:hint="eastAsia"/>
                      <w:vertAlign w:val="baseline"/>
                      <w:lang w:val="en-US" w:eastAsia="zh-CN"/>
                    </w:rPr>
                    <w:t>p</w:t>
                  </w:r>
                  <w:r>
                    <w:rPr>
                      <w:rFonts w:hint="default"/>
                      <w:vertAlign w:val="baseline"/>
                      <w:lang w:val="en-US" w:eastAsia="zh-CN"/>
                    </w:rPr>
                    <w:t>H 值、悬浮物、五日生化需氧量、动植物油、总余氯</w:t>
                  </w:r>
                </w:p>
              </w:tc>
              <w:tc>
                <w:tcPr>
                  <w:tcW w:w="439" w:type="pct"/>
                  <w:noWrap/>
                  <w:vAlign w:val="center"/>
                </w:tcPr>
                <w:p w14:paraId="60F3DE20">
                  <w:pPr>
                    <w:pStyle w:val="39"/>
                    <w:bidi w:val="0"/>
                  </w:pPr>
                  <w:r>
                    <w:t>间接排放</w:t>
                  </w:r>
                </w:p>
              </w:tc>
              <w:tc>
                <w:tcPr>
                  <w:tcW w:w="500" w:type="pct"/>
                  <w:noWrap/>
                  <w:vAlign w:val="center"/>
                </w:tcPr>
                <w:p w14:paraId="3E7A0FF3">
                  <w:pPr>
                    <w:pStyle w:val="39"/>
                    <w:bidi w:val="0"/>
                  </w:pPr>
                  <w:r>
                    <w:rPr>
                      <w:rFonts w:hint="eastAsia"/>
                      <w:lang w:val="en-US" w:eastAsia="zh-CN"/>
                    </w:rPr>
                    <w:t>山南新区污水处理厂</w:t>
                  </w:r>
                </w:p>
              </w:tc>
              <w:tc>
                <w:tcPr>
                  <w:tcW w:w="391" w:type="pct"/>
                  <w:noWrap/>
                  <w:vAlign w:val="center"/>
                </w:tcPr>
                <w:p w14:paraId="78AD890E">
                  <w:pPr>
                    <w:pStyle w:val="39"/>
                    <w:bidi w:val="0"/>
                  </w:pPr>
                  <w:r>
                    <w:rPr>
                      <w:rFonts w:hint="eastAsia"/>
                    </w:rPr>
                    <w:t>间断排放</w:t>
                  </w:r>
                </w:p>
              </w:tc>
              <w:tc>
                <w:tcPr>
                  <w:tcW w:w="561" w:type="pct"/>
                  <w:noWrap/>
                  <w:vAlign w:val="center"/>
                </w:tcPr>
                <w:p w14:paraId="46A033A3">
                  <w:pPr>
                    <w:pStyle w:val="39"/>
                    <w:bidi w:val="0"/>
                  </w:pPr>
                  <w:r>
                    <w:rPr>
                      <w:rFonts w:hint="eastAsia"/>
                    </w:rPr>
                    <w:t>一般排放口</w:t>
                  </w:r>
                </w:p>
              </w:tc>
              <w:tc>
                <w:tcPr>
                  <w:tcW w:w="934" w:type="pct"/>
                  <w:noWrap/>
                  <w:vAlign w:val="center"/>
                </w:tcPr>
                <w:p w14:paraId="3203F1B1">
                  <w:pPr>
                    <w:pStyle w:val="39"/>
                    <w:bidi w:val="0"/>
                    <w:rPr>
                      <w:rFonts w:hint="default"/>
                      <w:lang w:val="en-US" w:eastAsia="zh-CN"/>
                    </w:rPr>
                  </w:pPr>
                  <w:r>
                    <w:rPr>
                      <w:rFonts w:hint="eastAsia" w:cs="Times New Roman"/>
                      <w:color w:val="auto"/>
                      <w:lang w:val="en-US" w:eastAsia="zh-CN"/>
                    </w:rPr>
                    <w:t>《医疗机构水污染物排放标准》(GB 18466-2005)表2中“预处理标准”和《污水排入城镇下水道水质标准》(GB/T31962-2015)B 级标准</w:t>
                  </w:r>
                </w:p>
              </w:tc>
            </w:tr>
          </w:tbl>
          <w:p w14:paraId="2FDBD625">
            <w:pPr>
              <w:numPr>
                <w:ilvl w:val="0"/>
                <w:numId w:val="0"/>
              </w:numPr>
              <w:bidi w:val="0"/>
              <w:ind w:left="480" w:leftChars="0"/>
              <w:jc w:val="both"/>
              <w:rPr>
                <w:rFonts w:hint="eastAsia"/>
                <w:b/>
                <w:bCs/>
                <w:color w:val="auto"/>
              </w:rPr>
            </w:pPr>
            <w:r>
              <w:rPr>
                <w:rFonts w:hint="eastAsia"/>
                <w:b/>
                <w:bCs/>
                <w:color w:val="auto"/>
                <w:lang w:val="en-US" w:eastAsia="zh-CN"/>
              </w:rPr>
              <w:t>4、废水</w:t>
            </w:r>
            <w:r>
              <w:rPr>
                <w:b/>
                <w:bCs/>
                <w:color w:val="auto"/>
              </w:rPr>
              <w:t>处理依托</w:t>
            </w:r>
            <w:r>
              <w:rPr>
                <w:rFonts w:hint="eastAsia"/>
                <w:b/>
                <w:bCs/>
                <w:color w:val="auto"/>
                <w:lang w:val="en-US" w:eastAsia="zh-CN"/>
              </w:rPr>
              <w:t>山南新区</w:t>
            </w:r>
            <w:r>
              <w:rPr>
                <w:rFonts w:hint="eastAsia"/>
                <w:b/>
                <w:bCs/>
                <w:color w:val="auto"/>
              </w:rPr>
              <w:t>污水处理厂处理</w:t>
            </w:r>
            <w:r>
              <w:rPr>
                <w:b/>
                <w:bCs/>
                <w:color w:val="auto"/>
              </w:rPr>
              <w:t>可行性</w:t>
            </w:r>
            <w:r>
              <w:rPr>
                <w:rFonts w:hint="eastAsia"/>
                <w:b/>
                <w:bCs/>
                <w:color w:val="auto"/>
              </w:rPr>
              <w:t>分析</w:t>
            </w:r>
          </w:p>
          <w:p w14:paraId="6CD7385D">
            <w:pPr>
              <w:bidi w:val="0"/>
              <w:jc w:val="both"/>
              <w:rPr>
                <w:b/>
                <w:bCs/>
                <w:color w:val="auto"/>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山南新区</w:t>
            </w:r>
            <w:r>
              <w:rPr>
                <w:rFonts w:hint="eastAsia"/>
                <w:b/>
                <w:bCs/>
                <w:color w:val="auto"/>
              </w:rPr>
              <w:t>污水处理厂</w:t>
            </w:r>
            <w:r>
              <w:rPr>
                <w:b/>
                <w:bCs/>
                <w:color w:val="auto"/>
              </w:rPr>
              <w:t>简述</w:t>
            </w:r>
          </w:p>
          <w:p w14:paraId="670F9BC4">
            <w:pPr>
              <w:bidi w:val="0"/>
              <w:jc w:val="both"/>
            </w:pPr>
            <w:r>
              <w:t>山南污水处理厂位于淮南市山南新区东南部大通区孔店乡马厂村，项目近期 建设规模为日处理污水 5 万吨，远期建设规模为日处理污水 10 万吨。</w:t>
            </w:r>
          </w:p>
          <w:p w14:paraId="756A3BBB">
            <w:pPr>
              <w:bidi w:val="0"/>
              <w:jc w:val="both"/>
              <w:rPr>
                <w:b/>
                <w:bCs/>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污水处理厂</w:t>
            </w:r>
            <w:r>
              <w:rPr>
                <w:b/>
                <w:bCs/>
                <w:color w:val="auto"/>
              </w:rPr>
              <w:t>收水范围</w:t>
            </w:r>
          </w:p>
          <w:p w14:paraId="78B318FC">
            <w:pPr>
              <w:pStyle w:val="51"/>
              <w:spacing w:before="128" w:line="353" w:lineRule="auto"/>
              <w:ind w:left="95" w:right="96" w:firstLine="507"/>
              <w:jc w:val="both"/>
            </w:pPr>
            <w:r>
              <w:t>山南污水处理厂</w:t>
            </w:r>
            <w:r>
              <w:rPr>
                <w:color w:val="auto"/>
                <w:highlight w:val="none"/>
              </w:rPr>
              <w:t>服务范围主要为</w:t>
            </w:r>
            <w:r>
              <w:rPr>
                <w:rFonts w:hint="eastAsia"/>
                <w:color w:val="auto"/>
                <w:highlight w:val="none"/>
                <w:lang w:val="en-US" w:eastAsia="zh-CN"/>
              </w:rPr>
              <w:t>淮南高新技术开发区，</w:t>
            </w:r>
            <w:r>
              <w:t>按一级 A 标准（达到再生水利用标准）设计，配套建设污水管网 51.35 公里，用地约 4.5 公顷</w:t>
            </w:r>
            <w:r>
              <w:rPr>
                <w:spacing w:val="-4"/>
              </w:rPr>
              <w:t>。</w:t>
            </w:r>
          </w:p>
          <w:p w14:paraId="3E72320C">
            <w:pPr>
              <w:bidi w:val="0"/>
              <w:jc w:val="both"/>
              <w:rPr>
                <w:b/>
                <w:bCs/>
                <w:color w:val="auto"/>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rPr>
              <w:t>处理</w:t>
            </w:r>
            <w:r>
              <w:rPr>
                <w:b/>
                <w:bCs/>
                <w:color w:val="auto"/>
              </w:rPr>
              <w:t>工艺</w:t>
            </w:r>
          </w:p>
          <w:p w14:paraId="6E844E98">
            <w:pPr>
              <w:bidi w:val="0"/>
              <w:jc w:val="both"/>
              <w:rPr>
                <w:rFonts w:hint="eastAsia"/>
                <w:color w:val="auto"/>
              </w:rPr>
            </w:pPr>
            <w:r>
              <w:rPr>
                <w:rFonts w:hint="eastAsia"/>
                <w:color w:val="auto"/>
              </w:rPr>
              <w:t>山南新区污水处理厂采用 A</w:t>
            </w:r>
            <w:r>
              <w:rPr>
                <w:rFonts w:hint="eastAsia"/>
                <w:color w:val="auto"/>
                <w:vertAlign w:val="superscript"/>
              </w:rPr>
              <w:t>2</w:t>
            </w:r>
            <w:r>
              <w:rPr>
                <w:rFonts w:hint="eastAsia"/>
                <w:color w:val="auto"/>
              </w:rPr>
              <w:t>0污水处理工艺，污水处理工艺流程见下图所示。</w:t>
            </w:r>
          </w:p>
          <w:p w14:paraId="1DF11145">
            <w:pPr>
              <w:bidi w:val="0"/>
              <w:ind w:left="0" w:leftChars="0" w:firstLine="0" w:firstLineChars="0"/>
              <w:jc w:val="both"/>
              <w:rPr>
                <w:rFonts w:hint="eastAsia" w:eastAsia="宋体"/>
                <w:color w:val="auto"/>
                <w:lang w:eastAsia="zh-CN"/>
              </w:rPr>
            </w:pPr>
            <w:r>
              <w:rPr>
                <w:rFonts w:hint="eastAsia" w:eastAsia="宋体"/>
                <w:color w:val="auto"/>
                <w:lang w:eastAsia="zh-CN"/>
              </w:rPr>
              <w:drawing>
                <wp:inline distT="0" distB="0" distL="114300" distR="114300">
                  <wp:extent cx="5478145" cy="2236470"/>
                  <wp:effectExtent l="0" t="0" r="8255" b="11430"/>
                  <wp:docPr id="16" name="图片 16" descr="173330259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33302590440"/>
                          <pic:cNvPicPr>
                            <a:picLocks noChangeAspect="1"/>
                          </pic:cNvPicPr>
                        </pic:nvPicPr>
                        <pic:blipFill>
                          <a:blip r:embed="rId27"/>
                          <a:stretch>
                            <a:fillRect/>
                          </a:stretch>
                        </pic:blipFill>
                        <pic:spPr>
                          <a:xfrm>
                            <a:off x="0" y="0"/>
                            <a:ext cx="5478145" cy="2236470"/>
                          </a:xfrm>
                          <a:prstGeom prst="rect">
                            <a:avLst/>
                          </a:prstGeom>
                        </pic:spPr>
                      </pic:pic>
                    </a:graphicData>
                  </a:graphic>
                </wp:inline>
              </w:drawing>
            </w:r>
          </w:p>
          <w:p w14:paraId="09A38133">
            <w:pPr>
              <w:pStyle w:val="41"/>
              <w:bidi w:val="0"/>
              <w:rPr>
                <w:rFonts w:hint="eastAsia"/>
              </w:rPr>
            </w:pPr>
            <w:r>
              <w:rPr>
                <w:rFonts w:hint="eastAsia"/>
                <w:lang w:val="en-US" w:eastAsia="zh-CN"/>
              </w:rPr>
              <w:t>图4-2  山南新区污水处理工艺流程图</w:t>
            </w:r>
          </w:p>
          <w:p w14:paraId="6744E95E">
            <w:pPr>
              <w:bidi w:val="0"/>
              <w:jc w:val="both"/>
              <w:rPr>
                <w:rFonts w:hint="eastAsia"/>
              </w:rPr>
            </w:pPr>
            <w:r>
              <w:rPr>
                <w:rFonts w:hint="eastAsia"/>
              </w:rPr>
              <w:t>工艺说明:来自市政管网的污水先经粗格栅去除较大的漂浮物后</w:t>
            </w:r>
            <w:r>
              <w:rPr>
                <w:rFonts w:hint="eastAsia"/>
                <w:lang w:eastAsia="zh-CN"/>
              </w:rPr>
              <w:t>，</w:t>
            </w:r>
            <w:r>
              <w:rPr>
                <w:rFonts w:hint="eastAsia"/>
              </w:rPr>
              <w:t>进入进水泵房的吸水井。污水经提升后先经细格栅进一步去除污水中细小漂浮物后再进入沉砂池去除污水中沉砂</w:t>
            </w:r>
            <w:r>
              <w:rPr>
                <w:rFonts w:hint="eastAsia"/>
                <w:lang w:eastAsia="zh-CN"/>
              </w:rPr>
              <w:t>，</w:t>
            </w:r>
            <w:r>
              <w:rPr>
                <w:rFonts w:hint="eastAsia"/>
              </w:rPr>
              <w:t>防止沉砂在后续构筑物中沉积，以保证氧化沟的正常运行。沉砂池集砂区中的砂采用压缩空气提升进入砂水分离器，砂在砂水分离器中与水分离后，砂粒自行排入贮存斗中外运。</w:t>
            </w:r>
          </w:p>
          <w:p w14:paraId="6BEA75F9">
            <w:pPr>
              <w:bidi w:val="0"/>
              <w:jc w:val="both"/>
              <w:rPr>
                <w:rFonts w:hint="eastAsia"/>
              </w:rPr>
            </w:pPr>
            <w:r>
              <w:rPr>
                <w:rFonts w:hint="eastAsia"/>
              </w:rPr>
              <w:t>沉砂池出水进入厌氧池。厌氧池的设置可强化生化系统生物除磷效果确保二沉池出水总磷达标</w:t>
            </w:r>
            <w:r>
              <w:rPr>
                <w:rFonts w:hint="eastAsia"/>
                <w:lang w:eastAsia="zh-CN"/>
              </w:rPr>
              <w:t>；</w:t>
            </w:r>
            <w:r>
              <w:rPr>
                <w:rFonts w:hint="eastAsia"/>
              </w:rPr>
              <w:t>另可使回流污泥在厌氧状态下，抑制丝状菌的过量生长，改善污泥在最终沉淀池的沉淀性能。</w:t>
            </w:r>
          </w:p>
          <w:p w14:paraId="76A38963">
            <w:pPr>
              <w:bidi w:val="0"/>
              <w:jc w:val="both"/>
              <w:rPr>
                <w:rFonts w:hint="eastAsia"/>
              </w:rPr>
            </w:pPr>
            <w:r>
              <w:rPr>
                <w:rFonts w:hint="eastAsia"/>
              </w:rPr>
              <w:t>厌氧池的出水经配水井分别进入两组氧化沟。在缺氧段原污水和沟内大量的循环水混合，反硝化细菌利用原污水中的碳源使硝态氮还原，释放出氮气:同时使有机物得到部分降解。在好氧段氨氮在硝化细菌作用下转化为硝态氮:另外在硝化反应的同时</w:t>
            </w:r>
            <w:r>
              <w:rPr>
                <w:rFonts w:hint="eastAsia"/>
                <w:lang w:eastAsia="zh-CN"/>
              </w:rPr>
              <w:t>，</w:t>
            </w:r>
            <w:r>
              <w:rPr>
                <w:rFonts w:hint="eastAsia"/>
              </w:rPr>
              <w:t>经反硝化处理后剩余的有机物在好氧段进一步被氧化分解。</w:t>
            </w:r>
          </w:p>
          <w:p w14:paraId="1199BB98">
            <w:pPr>
              <w:bidi w:val="0"/>
              <w:jc w:val="both"/>
              <w:rPr>
                <w:rFonts w:hint="eastAsia"/>
              </w:rPr>
            </w:pPr>
            <w:r>
              <w:rPr>
                <w:rFonts w:hint="eastAsia"/>
              </w:rPr>
              <w:t>氧化沟的出水进入二沉池，二沉池采用全桥式刮吸泥机排泥</w:t>
            </w:r>
            <w:r>
              <w:rPr>
                <w:rFonts w:hint="eastAsia"/>
                <w:lang w:eastAsia="zh-CN"/>
              </w:rPr>
              <w:t>，</w:t>
            </w:r>
            <w:r>
              <w:rPr>
                <w:rFonts w:hint="eastAsia"/>
              </w:rPr>
              <w:t>沉淀于底部的活性污泥被刮泥机刮入二沉池中部，再通过排泥管排入回流及剩余污泥泵站，二沉池水面上的浮渣由刮泥机刮渣板刮入浮渣斗中。</w:t>
            </w:r>
          </w:p>
          <w:p w14:paraId="1B9E8B19">
            <w:pPr>
              <w:bidi w:val="0"/>
              <w:jc w:val="both"/>
              <w:rPr>
                <w:rFonts w:hint="eastAsia"/>
              </w:rPr>
            </w:pPr>
            <w:r>
              <w:rPr>
                <w:rFonts w:hint="eastAsia"/>
              </w:rPr>
              <w:t>二沉池的出水经过紫外消毒，以杀死污水中的致病微生物和大肠菌群</w:t>
            </w:r>
            <w:r>
              <w:rPr>
                <w:rFonts w:hint="eastAsia"/>
                <w:lang w:eastAsia="zh-CN"/>
              </w:rPr>
              <w:t>，</w:t>
            </w:r>
            <w:r>
              <w:rPr>
                <w:rFonts w:hint="eastAsia"/>
              </w:rPr>
              <w:t>消毒后的出水达标排放。二沉池的活性污泥排入泵站集泥池。回流由污泥回流泵提升后，通过污泥总管送至污泥分配井</w:t>
            </w:r>
            <w:r>
              <w:rPr>
                <w:rFonts w:hint="eastAsia"/>
                <w:lang w:eastAsia="zh-CN"/>
              </w:rPr>
              <w:t>；</w:t>
            </w:r>
            <w:r>
              <w:rPr>
                <w:rFonts w:hint="eastAsia"/>
              </w:rPr>
              <w:t>剩余污泥由剩余污泥泵加压送至污泥浓缩脱水间，污泥经过压缩脱水后外运。</w:t>
            </w:r>
          </w:p>
          <w:p w14:paraId="266F51FA">
            <w:pPr>
              <w:numPr>
                <w:ilvl w:val="0"/>
                <w:numId w:val="0"/>
              </w:numPr>
              <w:bidi w:val="0"/>
              <w:ind w:leftChars="200"/>
              <w:jc w:val="both"/>
              <w:rPr>
                <w:rFonts w:hint="eastAsia"/>
                <w:b/>
                <w:bCs/>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4</w:t>
            </w:r>
            <w:r>
              <w:rPr>
                <w:rFonts w:hint="eastAsia"/>
                <w:b/>
                <w:bCs/>
                <w:color w:val="auto"/>
                <w:highlight w:val="none"/>
                <w:lang w:eastAsia="zh-CN"/>
              </w:rPr>
              <w:t>）依托设施可行性分析</w:t>
            </w:r>
          </w:p>
          <w:p w14:paraId="1E0C6309">
            <w:pPr>
              <w:numPr>
                <w:ilvl w:val="0"/>
                <w:numId w:val="0"/>
              </w:numPr>
              <w:spacing w:line="360" w:lineRule="auto"/>
              <w:ind w:leftChars="200"/>
              <w:jc w:val="both"/>
              <w:rPr>
                <w:rFonts w:hint="default"/>
                <w:b/>
                <w:bCs/>
                <w:color w:val="auto"/>
                <w:highlight w:val="none"/>
                <w:lang w:val="en-US" w:eastAsia="zh-CN"/>
              </w:rPr>
            </w:pPr>
            <w:r>
              <w:rPr>
                <w:rFonts w:hint="eastAsia"/>
                <w:b/>
                <w:bCs/>
                <w:color w:val="auto"/>
                <w:sz w:val="24"/>
                <w:szCs w:val="20"/>
                <w:lang w:val="en-US" w:eastAsia="zh-CN"/>
              </w:rPr>
              <w:t>①</w:t>
            </w:r>
            <w:r>
              <w:rPr>
                <w:b/>
                <w:bCs/>
                <w:color w:val="auto"/>
                <w:sz w:val="24"/>
                <w:szCs w:val="20"/>
              </w:rPr>
              <w:t>污水水量纳管可行</w:t>
            </w:r>
          </w:p>
          <w:p w14:paraId="05EBF819">
            <w:pPr>
              <w:bidi w:val="0"/>
              <w:jc w:val="both"/>
            </w:pPr>
            <w:r>
              <w:t>项目所在区域在</w:t>
            </w:r>
            <w:r>
              <w:rPr>
                <w:rFonts w:hint="eastAsia"/>
                <w:lang w:val="en-US" w:eastAsia="zh-CN"/>
              </w:rPr>
              <w:t>山南污水处理厂</w:t>
            </w:r>
            <w:r>
              <w:t>服务范围内，项目废水运营期新增污水量为</w:t>
            </w:r>
            <w:r>
              <w:rPr>
                <w:rFonts w:hint="eastAsia"/>
                <w:lang w:val="en-US" w:eastAsia="zh-CN"/>
              </w:rPr>
              <w:t>87.9762</w:t>
            </w:r>
            <w:r>
              <w:t>m³/d，占</w:t>
            </w:r>
            <w:r>
              <w:rPr>
                <w:rFonts w:hint="eastAsia"/>
                <w:lang w:val="en-US" w:eastAsia="zh-CN"/>
              </w:rPr>
              <w:t>山南新区</w:t>
            </w:r>
            <w:r>
              <w:t>污水处理厂设计处理能力</w:t>
            </w:r>
            <w:r>
              <w:rPr>
                <w:rFonts w:hint="eastAsia"/>
                <w:lang w:val="en-US" w:eastAsia="zh-CN"/>
              </w:rPr>
              <w:t>5</w:t>
            </w:r>
            <w:r>
              <w:t>万t/d的</w:t>
            </w:r>
            <w:r>
              <w:rPr>
                <w:rFonts w:hint="eastAsia"/>
                <w:lang w:eastAsia="zh-CN"/>
              </w:rPr>
              <w:t>0.</w:t>
            </w:r>
            <w:r>
              <w:rPr>
                <w:rFonts w:hint="eastAsia"/>
                <w:lang w:val="en-US" w:eastAsia="zh-CN"/>
              </w:rPr>
              <w:t>1758</w:t>
            </w:r>
            <w:r>
              <w:t>%，</w:t>
            </w:r>
            <w:r>
              <w:rPr>
                <w:rFonts w:hint="eastAsia"/>
                <w:lang w:val="en-US" w:eastAsia="zh-CN"/>
              </w:rPr>
              <w:t>山南新区</w:t>
            </w:r>
            <w:r>
              <w:t>污水处理厂目前接收污水量为</w:t>
            </w:r>
            <w:r>
              <w:rPr>
                <w:rFonts w:hint="eastAsia"/>
                <w:lang w:val="en-US" w:eastAsia="zh-CN"/>
              </w:rPr>
              <w:t>2.24</w:t>
            </w:r>
            <w:r>
              <w:t>万t/d，从水量纳管量上讲，项目废水接管进入</w:t>
            </w:r>
            <w:r>
              <w:rPr>
                <w:rFonts w:hint="eastAsia"/>
                <w:lang w:val="en-US" w:eastAsia="zh-CN"/>
              </w:rPr>
              <w:t>山南新区</w:t>
            </w:r>
            <w:r>
              <w:t>污水处理厂可行。污水处理厂的处理能力远远大于污水产生量，因此本项目产生的污水不会对污水处理厂造成较大冲击影响。</w:t>
            </w:r>
          </w:p>
          <w:p w14:paraId="32E79F94">
            <w:pPr>
              <w:bidi w:val="0"/>
              <w:jc w:val="both"/>
              <w:rPr>
                <w:b/>
                <w:bCs/>
                <w:color w:val="auto"/>
                <w:highlight w:val="none"/>
              </w:rPr>
            </w:pPr>
            <w:r>
              <w:rPr>
                <w:rFonts w:hint="eastAsia"/>
                <w:b/>
                <w:bCs/>
                <w:color w:val="auto"/>
                <w:highlight w:val="none"/>
                <w:lang w:val="en-US" w:eastAsia="zh-CN"/>
              </w:rPr>
              <w:t>②</w:t>
            </w:r>
            <w:r>
              <w:rPr>
                <w:b/>
                <w:bCs/>
                <w:color w:val="auto"/>
                <w:sz w:val="24"/>
                <w:szCs w:val="20"/>
              </w:rPr>
              <w:t>处理后尾水达标排放</w:t>
            </w:r>
          </w:p>
          <w:p w14:paraId="4EB7EC7B">
            <w:pPr>
              <w:bidi w:val="0"/>
              <w:jc w:val="both"/>
              <w:rPr>
                <w:rFonts w:hint="eastAsia"/>
              </w:rPr>
            </w:pPr>
            <w:r>
              <w:t>经深度处理后，尾水可达到《城镇污水处理厂污染物排放标准》</w:t>
            </w:r>
            <w:r>
              <w:rPr>
                <w:rFonts w:hint="eastAsia"/>
                <w:lang w:eastAsia="zh-CN"/>
              </w:rPr>
              <w:t>（</w:t>
            </w:r>
            <w:r>
              <w:t>GB18918-2002</w:t>
            </w:r>
            <w:r>
              <w:rPr>
                <w:rFonts w:hint="eastAsia"/>
                <w:lang w:eastAsia="zh-CN"/>
              </w:rPr>
              <w:t>）</w:t>
            </w:r>
            <w:r>
              <w:t>中的一级A标准的要求，经调查自运行以来</w:t>
            </w:r>
            <w:r>
              <w:rPr>
                <w:rFonts w:hint="eastAsia"/>
                <w:lang w:val="en-US" w:eastAsia="zh-CN"/>
              </w:rPr>
              <w:t>山南新区</w:t>
            </w:r>
            <w:r>
              <w:t>污水处理厂出水水质均可实现稳定达标排放。</w:t>
            </w:r>
          </w:p>
          <w:p w14:paraId="750E0B40">
            <w:pPr>
              <w:bidi w:val="0"/>
              <w:jc w:val="both"/>
              <w:rPr>
                <w:rFonts w:hint="eastAsia"/>
              </w:rPr>
            </w:pPr>
            <w:r>
              <w:rPr>
                <w:rFonts w:hint="eastAsia"/>
              </w:rPr>
              <w:t>综上，本项目废水接管</w:t>
            </w:r>
            <w:r>
              <w:rPr>
                <w:rFonts w:hint="eastAsia"/>
                <w:lang w:val="en-US" w:eastAsia="zh-CN"/>
              </w:rPr>
              <w:t>山南新区</w:t>
            </w:r>
            <w:r>
              <w:t>污水处理厂</w:t>
            </w:r>
            <w:r>
              <w:rPr>
                <w:rFonts w:hint="eastAsia"/>
              </w:rPr>
              <w:t>是可行的。</w:t>
            </w:r>
          </w:p>
          <w:p w14:paraId="5BB07695">
            <w:pPr>
              <w:bidi w:val="0"/>
              <w:jc w:val="both"/>
              <w:rPr>
                <w:rFonts w:hint="eastAsia"/>
                <w:b/>
                <w:bCs/>
                <w:lang w:val="en-US" w:eastAsia="zh-CN"/>
              </w:rPr>
            </w:pPr>
            <w:r>
              <w:rPr>
                <w:rFonts w:hint="eastAsia"/>
                <w:b/>
                <w:bCs/>
                <w:lang w:val="en-US" w:eastAsia="zh-CN"/>
              </w:rPr>
              <w:t>5、监测计划</w:t>
            </w:r>
          </w:p>
          <w:p w14:paraId="23DD3E03">
            <w:pPr>
              <w:bidi w:val="0"/>
              <w:jc w:val="both"/>
              <w:rPr>
                <w:rFonts w:hint="default"/>
                <w:lang w:val="en-US" w:eastAsia="zh-CN"/>
              </w:rPr>
            </w:pPr>
            <w:r>
              <w:rPr>
                <w:rFonts w:hint="default"/>
                <w:lang w:val="en-US" w:eastAsia="zh-CN"/>
              </w:rPr>
              <w:t>根据《排污许可证申请与核发技术规范医疗机构》(HJ1105-2020)</w:t>
            </w:r>
            <w:r>
              <w:rPr>
                <w:rFonts w:hint="eastAsia"/>
                <w:lang w:val="en-US" w:eastAsia="zh-CN"/>
              </w:rPr>
              <w:t>，</w:t>
            </w:r>
            <w:r>
              <w:rPr>
                <w:rFonts w:hint="default"/>
                <w:lang w:val="en-US" w:eastAsia="zh-CN"/>
              </w:rPr>
              <w:t>本项目废水排放口监测计划见下表。</w:t>
            </w:r>
          </w:p>
          <w:p w14:paraId="2437F4FF">
            <w:pPr>
              <w:pStyle w:val="41"/>
            </w:pPr>
          </w:p>
          <w:p w14:paraId="63C051FB">
            <w:pPr>
              <w:pStyle w:val="41"/>
              <w:rPr>
                <w:rFonts w:hint="default" w:eastAsia="宋体"/>
                <w:lang w:val="en-US" w:eastAsia="zh-CN"/>
              </w:rPr>
            </w:pPr>
            <w:r>
              <w:t>表4-</w:t>
            </w:r>
            <w:r>
              <w:rPr>
                <w:rFonts w:hint="eastAsia"/>
                <w:lang w:val="en-US" w:eastAsia="zh-CN"/>
              </w:rPr>
              <w:t xml:space="preserve">15 </w:t>
            </w:r>
            <w:r>
              <w:t xml:space="preserve"> 废水</w:t>
            </w:r>
            <w:r>
              <w:rPr>
                <w:rFonts w:hint="eastAsia"/>
                <w:lang w:val="en-US" w:eastAsia="zh-CN"/>
              </w:rPr>
              <w:t>监测计划</w:t>
            </w:r>
          </w:p>
          <w:tbl>
            <w:tblPr>
              <w:tblStyle w:val="31"/>
              <w:tblW w:w="8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0"/>
              <w:gridCol w:w="1589"/>
              <w:gridCol w:w="1707"/>
              <w:gridCol w:w="1535"/>
              <w:gridCol w:w="2968"/>
            </w:tblGrid>
            <w:tr w14:paraId="41C4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830" w:type="dxa"/>
                  <w:vAlign w:val="center"/>
                </w:tcPr>
                <w:p w14:paraId="2C7E8A4F">
                  <w:pPr>
                    <w:pStyle w:val="32"/>
                    <w:bidi w:val="0"/>
                    <w:jc w:val="center"/>
                    <w:rPr>
                      <w:b/>
                      <w:bCs/>
                    </w:rPr>
                  </w:pPr>
                  <w:r>
                    <w:rPr>
                      <w:b/>
                      <w:bCs/>
                    </w:rPr>
                    <w:t>监测类别</w:t>
                  </w:r>
                </w:p>
              </w:tc>
              <w:tc>
                <w:tcPr>
                  <w:tcW w:w="1589" w:type="dxa"/>
                  <w:vAlign w:val="center"/>
                </w:tcPr>
                <w:p w14:paraId="0A84B222">
                  <w:pPr>
                    <w:pStyle w:val="32"/>
                    <w:bidi w:val="0"/>
                    <w:jc w:val="center"/>
                    <w:rPr>
                      <w:b/>
                      <w:bCs/>
                    </w:rPr>
                  </w:pPr>
                  <w:r>
                    <w:rPr>
                      <w:b/>
                      <w:bCs/>
                    </w:rPr>
                    <w:t>监测位置(或监测布点)</w:t>
                  </w:r>
                </w:p>
              </w:tc>
              <w:tc>
                <w:tcPr>
                  <w:tcW w:w="1707" w:type="dxa"/>
                  <w:vAlign w:val="center"/>
                </w:tcPr>
                <w:p w14:paraId="766194A6">
                  <w:pPr>
                    <w:pStyle w:val="32"/>
                    <w:bidi w:val="0"/>
                    <w:jc w:val="center"/>
                    <w:rPr>
                      <w:b/>
                      <w:bCs/>
                    </w:rPr>
                  </w:pPr>
                  <w:r>
                    <w:rPr>
                      <w:b/>
                      <w:bCs/>
                    </w:rPr>
                    <w:t>监测项目</w:t>
                  </w:r>
                </w:p>
              </w:tc>
              <w:tc>
                <w:tcPr>
                  <w:tcW w:w="1535" w:type="dxa"/>
                  <w:vAlign w:val="center"/>
                </w:tcPr>
                <w:p w14:paraId="3C7B7F9D">
                  <w:pPr>
                    <w:pStyle w:val="32"/>
                    <w:bidi w:val="0"/>
                    <w:jc w:val="center"/>
                    <w:rPr>
                      <w:b/>
                      <w:bCs/>
                    </w:rPr>
                  </w:pPr>
                  <w:r>
                    <w:rPr>
                      <w:b/>
                      <w:bCs/>
                    </w:rPr>
                    <w:t>监测频率</w:t>
                  </w:r>
                </w:p>
              </w:tc>
              <w:tc>
                <w:tcPr>
                  <w:tcW w:w="2968" w:type="dxa"/>
                  <w:vAlign w:val="center"/>
                </w:tcPr>
                <w:p w14:paraId="7D8858F9">
                  <w:pPr>
                    <w:pStyle w:val="32"/>
                    <w:bidi w:val="0"/>
                    <w:jc w:val="center"/>
                    <w:rPr>
                      <w:b/>
                      <w:bCs/>
                    </w:rPr>
                  </w:pPr>
                  <w:r>
                    <w:rPr>
                      <w:b/>
                      <w:bCs/>
                    </w:rPr>
                    <w:t>执行排放标准</w:t>
                  </w:r>
                </w:p>
              </w:tc>
            </w:tr>
            <w:tr w14:paraId="34BE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830" w:type="dxa"/>
                  <w:vMerge w:val="restart"/>
                  <w:vAlign w:val="center"/>
                </w:tcPr>
                <w:p w14:paraId="6C32E9B0">
                  <w:pPr>
                    <w:pStyle w:val="32"/>
                    <w:bidi w:val="0"/>
                    <w:jc w:val="center"/>
                  </w:pPr>
                  <w:r>
                    <w:t>废水</w:t>
                  </w:r>
                </w:p>
              </w:tc>
              <w:tc>
                <w:tcPr>
                  <w:tcW w:w="1589" w:type="dxa"/>
                  <w:vMerge w:val="restart"/>
                  <w:vAlign w:val="center"/>
                </w:tcPr>
                <w:p w14:paraId="2D0E34AC">
                  <w:pPr>
                    <w:pStyle w:val="32"/>
                    <w:bidi w:val="0"/>
                    <w:jc w:val="center"/>
                  </w:pPr>
                  <w:r>
                    <w:t>污水处理站排放口</w:t>
                  </w:r>
                </w:p>
              </w:tc>
              <w:tc>
                <w:tcPr>
                  <w:tcW w:w="1707" w:type="dxa"/>
                  <w:vAlign w:val="center"/>
                </w:tcPr>
                <w:p w14:paraId="3B2C45B8">
                  <w:pPr>
                    <w:pStyle w:val="32"/>
                    <w:bidi w:val="0"/>
                    <w:jc w:val="center"/>
                  </w:pPr>
                  <w:r>
                    <w:t>流量</w:t>
                  </w:r>
                </w:p>
              </w:tc>
              <w:tc>
                <w:tcPr>
                  <w:tcW w:w="1535" w:type="dxa"/>
                  <w:vAlign w:val="center"/>
                </w:tcPr>
                <w:p w14:paraId="5716BD81">
                  <w:pPr>
                    <w:pStyle w:val="32"/>
                    <w:bidi w:val="0"/>
                    <w:jc w:val="center"/>
                  </w:pPr>
                  <w:r>
                    <w:t>在线监测</w:t>
                  </w:r>
                </w:p>
              </w:tc>
              <w:tc>
                <w:tcPr>
                  <w:tcW w:w="2968" w:type="dxa"/>
                  <w:vMerge w:val="restart"/>
                  <w:vAlign w:val="center"/>
                </w:tcPr>
                <w:p w14:paraId="7AC73998">
                  <w:pPr>
                    <w:pStyle w:val="32"/>
                    <w:bidi w:val="0"/>
                    <w:jc w:val="center"/>
                  </w:pPr>
                  <w:r>
                    <w:t>《医疗机构水污染物排放标准》（GB18466-2005）表 2 中“预处理标准”（其中氨氮参照执行《污水排入城镇下水道水质标准》（GB/T31962-2015）</w:t>
                  </w:r>
                </w:p>
              </w:tc>
            </w:tr>
            <w:tr w14:paraId="678A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830" w:type="dxa"/>
                  <w:vMerge w:val="continue"/>
                  <w:vAlign w:val="center"/>
                </w:tcPr>
                <w:p w14:paraId="423C918A">
                  <w:pPr>
                    <w:pStyle w:val="32"/>
                    <w:bidi w:val="0"/>
                    <w:jc w:val="center"/>
                  </w:pPr>
                </w:p>
              </w:tc>
              <w:tc>
                <w:tcPr>
                  <w:tcW w:w="1589" w:type="dxa"/>
                  <w:vMerge w:val="continue"/>
                  <w:vAlign w:val="center"/>
                </w:tcPr>
                <w:p w14:paraId="094AAA30">
                  <w:pPr>
                    <w:pStyle w:val="32"/>
                    <w:bidi w:val="0"/>
                    <w:jc w:val="center"/>
                  </w:pPr>
                </w:p>
              </w:tc>
              <w:tc>
                <w:tcPr>
                  <w:tcW w:w="1707" w:type="dxa"/>
                  <w:vAlign w:val="center"/>
                </w:tcPr>
                <w:p w14:paraId="6C4EE8C5">
                  <w:pPr>
                    <w:pStyle w:val="32"/>
                    <w:bidi w:val="0"/>
                    <w:jc w:val="center"/>
                  </w:pPr>
                  <w:r>
                    <w:rPr>
                      <w:rFonts w:hint="eastAsia"/>
                      <w:lang w:val="en-US" w:eastAsia="zh-CN"/>
                    </w:rPr>
                    <w:t>p</w:t>
                  </w:r>
                  <w:r>
                    <w:t>H</w:t>
                  </w:r>
                  <w:r>
                    <w:rPr>
                      <w:rFonts w:hint="eastAsia"/>
                      <w:lang w:val="en-US" w:eastAsia="zh-CN"/>
                    </w:rPr>
                    <w:t>值、</w:t>
                  </w:r>
                  <w:r>
                    <w:rPr>
                      <w:rFonts w:hint="eastAsia"/>
                    </w:rPr>
                    <w:t>总余氯</w:t>
                  </w:r>
                </w:p>
              </w:tc>
              <w:tc>
                <w:tcPr>
                  <w:tcW w:w="1535" w:type="dxa"/>
                  <w:vAlign w:val="center"/>
                </w:tcPr>
                <w:p w14:paraId="144F7471">
                  <w:pPr>
                    <w:pStyle w:val="32"/>
                    <w:bidi w:val="0"/>
                    <w:jc w:val="center"/>
                    <w:rPr>
                      <w:rFonts w:hint="default" w:eastAsia="宋体"/>
                      <w:lang w:val="en-US" w:eastAsia="zh-CN"/>
                    </w:rPr>
                  </w:pPr>
                  <w:r>
                    <w:rPr>
                      <w:rFonts w:hint="eastAsia"/>
                      <w:lang w:val="en-US" w:eastAsia="zh-CN"/>
                    </w:rPr>
                    <w:t>12小时</w:t>
                  </w:r>
                </w:p>
              </w:tc>
              <w:tc>
                <w:tcPr>
                  <w:tcW w:w="2968" w:type="dxa"/>
                  <w:vMerge w:val="continue"/>
                  <w:vAlign w:val="center"/>
                </w:tcPr>
                <w:p w14:paraId="0EBF2F2F">
                  <w:pPr>
                    <w:pStyle w:val="32"/>
                    <w:bidi w:val="0"/>
                    <w:jc w:val="center"/>
                  </w:pPr>
                </w:p>
              </w:tc>
            </w:tr>
            <w:tr w14:paraId="1C56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830" w:type="dxa"/>
                  <w:vMerge w:val="continue"/>
                  <w:vAlign w:val="center"/>
                </w:tcPr>
                <w:p w14:paraId="6B8E6246">
                  <w:pPr>
                    <w:pStyle w:val="32"/>
                    <w:bidi w:val="0"/>
                    <w:jc w:val="center"/>
                  </w:pPr>
                </w:p>
              </w:tc>
              <w:tc>
                <w:tcPr>
                  <w:tcW w:w="1589" w:type="dxa"/>
                  <w:vMerge w:val="continue"/>
                  <w:vAlign w:val="center"/>
                </w:tcPr>
                <w:p w14:paraId="6EEBCC3E">
                  <w:pPr>
                    <w:pStyle w:val="32"/>
                    <w:bidi w:val="0"/>
                    <w:jc w:val="center"/>
                  </w:pPr>
                </w:p>
              </w:tc>
              <w:tc>
                <w:tcPr>
                  <w:tcW w:w="1707" w:type="dxa"/>
                  <w:vAlign w:val="center"/>
                </w:tcPr>
                <w:p w14:paraId="297333AF">
                  <w:pPr>
                    <w:pStyle w:val="32"/>
                    <w:bidi w:val="0"/>
                    <w:jc w:val="center"/>
                    <w:rPr>
                      <w:rFonts w:hint="default" w:eastAsia="宋体"/>
                      <w:lang w:val="en-US" w:eastAsia="zh-CN"/>
                    </w:rPr>
                  </w:pPr>
                  <w:r>
                    <w:t>CODcr、</w:t>
                  </w:r>
                  <w:r>
                    <w:rPr>
                      <w:rFonts w:hint="eastAsia"/>
                      <w:lang w:val="en-US" w:eastAsia="zh-CN"/>
                    </w:rPr>
                    <w:t>SS</w:t>
                  </w:r>
                </w:p>
              </w:tc>
              <w:tc>
                <w:tcPr>
                  <w:tcW w:w="1535" w:type="dxa"/>
                  <w:vAlign w:val="center"/>
                </w:tcPr>
                <w:p w14:paraId="5CCD706B">
                  <w:pPr>
                    <w:pStyle w:val="32"/>
                    <w:bidi w:val="0"/>
                    <w:jc w:val="center"/>
                    <w:rPr>
                      <w:rFonts w:hint="default" w:eastAsia="宋体"/>
                      <w:lang w:val="en-US" w:eastAsia="zh-CN"/>
                    </w:rPr>
                  </w:pPr>
                  <w:r>
                    <w:t>每周1次</w:t>
                  </w:r>
                </w:p>
              </w:tc>
              <w:tc>
                <w:tcPr>
                  <w:tcW w:w="2968" w:type="dxa"/>
                  <w:vMerge w:val="continue"/>
                  <w:vAlign w:val="center"/>
                </w:tcPr>
                <w:p w14:paraId="1A66BA1F">
                  <w:pPr>
                    <w:pStyle w:val="32"/>
                    <w:bidi w:val="0"/>
                    <w:jc w:val="center"/>
                  </w:pPr>
                </w:p>
              </w:tc>
            </w:tr>
            <w:tr w14:paraId="7BCB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830" w:type="dxa"/>
                  <w:vMerge w:val="continue"/>
                  <w:vAlign w:val="center"/>
                </w:tcPr>
                <w:p w14:paraId="5837B2B5">
                  <w:pPr>
                    <w:pStyle w:val="32"/>
                    <w:bidi w:val="0"/>
                    <w:jc w:val="center"/>
                  </w:pPr>
                </w:p>
              </w:tc>
              <w:tc>
                <w:tcPr>
                  <w:tcW w:w="1589" w:type="dxa"/>
                  <w:vMerge w:val="continue"/>
                  <w:vAlign w:val="center"/>
                </w:tcPr>
                <w:p w14:paraId="38F70B0C">
                  <w:pPr>
                    <w:pStyle w:val="32"/>
                    <w:bidi w:val="0"/>
                    <w:jc w:val="center"/>
                  </w:pPr>
                </w:p>
              </w:tc>
              <w:tc>
                <w:tcPr>
                  <w:tcW w:w="1707" w:type="dxa"/>
                  <w:vAlign w:val="center"/>
                </w:tcPr>
                <w:p w14:paraId="049466A3">
                  <w:pPr>
                    <w:pStyle w:val="32"/>
                    <w:bidi w:val="0"/>
                    <w:jc w:val="center"/>
                  </w:pPr>
                  <w:r>
                    <w:rPr>
                      <w:rFonts w:hint="eastAsia"/>
                    </w:rPr>
                    <w:t>粪大肠菌群数</w:t>
                  </w:r>
                </w:p>
              </w:tc>
              <w:tc>
                <w:tcPr>
                  <w:tcW w:w="1535" w:type="dxa"/>
                  <w:vAlign w:val="center"/>
                </w:tcPr>
                <w:p w14:paraId="7C7A6389">
                  <w:pPr>
                    <w:pStyle w:val="32"/>
                    <w:bidi w:val="0"/>
                    <w:jc w:val="center"/>
                  </w:pPr>
                  <w:r>
                    <w:t>每</w:t>
                  </w:r>
                  <w:r>
                    <w:rPr>
                      <w:rFonts w:hint="eastAsia"/>
                      <w:lang w:val="en-US" w:eastAsia="zh-CN"/>
                    </w:rPr>
                    <w:t>月</w:t>
                  </w:r>
                  <w:r>
                    <w:t>1次</w:t>
                  </w:r>
                </w:p>
              </w:tc>
              <w:tc>
                <w:tcPr>
                  <w:tcW w:w="2968" w:type="dxa"/>
                  <w:vMerge w:val="continue"/>
                  <w:vAlign w:val="center"/>
                </w:tcPr>
                <w:p w14:paraId="483DBE8A">
                  <w:pPr>
                    <w:pStyle w:val="32"/>
                    <w:bidi w:val="0"/>
                    <w:jc w:val="center"/>
                  </w:pPr>
                </w:p>
              </w:tc>
            </w:tr>
            <w:tr w14:paraId="65D5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830" w:type="dxa"/>
                  <w:vMerge w:val="continue"/>
                  <w:vAlign w:val="center"/>
                </w:tcPr>
                <w:p w14:paraId="61380AA3">
                  <w:pPr>
                    <w:pStyle w:val="32"/>
                    <w:bidi w:val="0"/>
                    <w:jc w:val="center"/>
                  </w:pPr>
                </w:p>
              </w:tc>
              <w:tc>
                <w:tcPr>
                  <w:tcW w:w="1589" w:type="dxa"/>
                  <w:vMerge w:val="continue"/>
                  <w:vAlign w:val="center"/>
                </w:tcPr>
                <w:p w14:paraId="09207B99">
                  <w:pPr>
                    <w:pStyle w:val="32"/>
                    <w:bidi w:val="0"/>
                    <w:jc w:val="center"/>
                  </w:pPr>
                </w:p>
              </w:tc>
              <w:tc>
                <w:tcPr>
                  <w:tcW w:w="1707" w:type="dxa"/>
                  <w:vAlign w:val="center"/>
                </w:tcPr>
                <w:p w14:paraId="6DE3686B">
                  <w:pPr>
                    <w:pStyle w:val="32"/>
                    <w:bidi w:val="0"/>
                    <w:jc w:val="center"/>
                  </w:pPr>
                  <w:r>
                    <w:rPr>
                      <w:rFonts w:hint="eastAsia"/>
                    </w:rPr>
                    <w:t>五日生化需氧量、动植物油</w:t>
                  </w:r>
                </w:p>
              </w:tc>
              <w:tc>
                <w:tcPr>
                  <w:tcW w:w="1535" w:type="dxa"/>
                  <w:vAlign w:val="center"/>
                </w:tcPr>
                <w:p w14:paraId="385DF64F">
                  <w:pPr>
                    <w:pStyle w:val="32"/>
                    <w:bidi w:val="0"/>
                    <w:jc w:val="center"/>
                  </w:pPr>
                  <w:r>
                    <w:t>每</w:t>
                  </w:r>
                  <w:r>
                    <w:rPr>
                      <w:rFonts w:hint="eastAsia"/>
                      <w:lang w:val="en-US" w:eastAsia="zh-CN"/>
                    </w:rPr>
                    <w:t>季度1</w:t>
                  </w:r>
                  <w:r>
                    <w:t>次</w:t>
                  </w:r>
                </w:p>
              </w:tc>
              <w:tc>
                <w:tcPr>
                  <w:tcW w:w="2968" w:type="dxa"/>
                  <w:vMerge w:val="continue"/>
                  <w:vAlign w:val="center"/>
                </w:tcPr>
                <w:p w14:paraId="0BD5F00A">
                  <w:pPr>
                    <w:pStyle w:val="32"/>
                    <w:bidi w:val="0"/>
                    <w:jc w:val="center"/>
                  </w:pPr>
                </w:p>
              </w:tc>
            </w:tr>
          </w:tbl>
          <w:p w14:paraId="424E7121">
            <w:pPr>
              <w:ind w:left="0" w:leftChars="0" w:firstLine="0" w:firstLineChars="0"/>
              <w:jc w:val="both"/>
              <w:rPr>
                <w:rFonts w:hint="default" w:eastAsia="宋体"/>
                <w:b/>
                <w:bCs/>
                <w:color w:val="auto"/>
                <w:lang w:val="en-US" w:eastAsia="zh-CN"/>
              </w:rPr>
            </w:pPr>
            <w:r>
              <w:rPr>
                <w:rFonts w:hint="eastAsia"/>
                <w:b/>
                <w:bCs/>
                <w:color w:val="auto"/>
              </w:rPr>
              <w:t>三、噪声</w:t>
            </w:r>
          </w:p>
          <w:p w14:paraId="6F630875">
            <w:pPr>
              <w:ind w:firstLine="482"/>
              <w:jc w:val="both"/>
              <w:rPr>
                <w:b/>
                <w:bCs/>
                <w:color w:val="auto"/>
              </w:rPr>
            </w:pPr>
            <w:r>
              <w:rPr>
                <w:rFonts w:hint="eastAsia"/>
                <w:b/>
                <w:bCs/>
                <w:color w:val="auto"/>
              </w:rPr>
              <w:t>1、噪声源强</w:t>
            </w:r>
          </w:p>
          <w:p w14:paraId="41F39B9C">
            <w:pPr>
              <w:ind w:firstLine="480"/>
              <w:jc w:val="both"/>
              <w:rPr>
                <w:rFonts w:hint="eastAsia" w:eastAsia="宋体"/>
                <w:color w:val="auto"/>
                <w:lang w:eastAsia="zh-CN"/>
              </w:rPr>
            </w:pPr>
            <w:r>
              <w:rPr>
                <w:color w:val="auto"/>
              </w:rPr>
              <w:t>本项目</w:t>
            </w:r>
            <w:r>
              <w:rPr>
                <w:rFonts w:hint="eastAsia"/>
                <w:color w:val="auto"/>
                <w:lang w:val="en-US" w:eastAsia="zh-CN"/>
              </w:rPr>
              <w:t>噪声源主要为风机、水泵等</w:t>
            </w:r>
            <w:r>
              <w:rPr>
                <w:color w:val="auto"/>
              </w:rPr>
              <w:t>，</w:t>
            </w:r>
            <w:r>
              <w:rPr>
                <w:rFonts w:hint="eastAsia"/>
                <w:color w:val="auto"/>
              </w:rPr>
              <w:t>新增主要噪声源的噪声强度见下表</w:t>
            </w:r>
            <w:r>
              <w:rPr>
                <w:rFonts w:hint="eastAsia"/>
                <w:color w:val="auto"/>
                <w:lang w:eastAsia="zh-CN"/>
              </w:rPr>
              <w:t>：</w:t>
            </w:r>
          </w:p>
          <w:p w14:paraId="532EE64B">
            <w:pPr>
              <w:jc w:val="both"/>
              <w:rPr>
                <w:vertAlign w:val="baseline"/>
              </w:rPr>
            </w:pPr>
          </w:p>
          <w:p w14:paraId="5AE7FD1E">
            <w:pPr>
              <w:pStyle w:val="9"/>
              <w:jc w:val="both"/>
              <w:rPr>
                <w:vertAlign w:val="baseline"/>
              </w:rPr>
            </w:pPr>
          </w:p>
          <w:p w14:paraId="017B9DD8">
            <w:pPr>
              <w:jc w:val="both"/>
              <w:rPr>
                <w:vertAlign w:val="baseline"/>
              </w:rPr>
            </w:pPr>
          </w:p>
          <w:p w14:paraId="61F04C10">
            <w:pPr>
              <w:pStyle w:val="9"/>
              <w:jc w:val="both"/>
              <w:rPr>
                <w:vertAlign w:val="baseline"/>
              </w:rPr>
            </w:pPr>
          </w:p>
          <w:p w14:paraId="65A0375A">
            <w:pPr>
              <w:jc w:val="both"/>
              <w:rPr>
                <w:vertAlign w:val="baseline"/>
              </w:rPr>
            </w:pPr>
          </w:p>
          <w:p w14:paraId="4760DABC">
            <w:pPr>
              <w:pStyle w:val="9"/>
              <w:jc w:val="both"/>
              <w:rPr>
                <w:vertAlign w:val="baseline"/>
              </w:rPr>
            </w:pPr>
          </w:p>
          <w:p w14:paraId="224BCA0C">
            <w:pPr>
              <w:jc w:val="both"/>
              <w:rPr>
                <w:vertAlign w:val="baseline"/>
              </w:rPr>
            </w:pPr>
          </w:p>
          <w:p w14:paraId="4A2D3758">
            <w:pPr>
              <w:pStyle w:val="9"/>
              <w:jc w:val="both"/>
              <w:rPr>
                <w:vertAlign w:val="baseline"/>
              </w:rPr>
            </w:pPr>
          </w:p>
          <w:p w14:paraId="3DD70678">
            <w:pPr>
              <w:jc w:val="both"/>
              <w:rPr>
                <w:vertAlign w:val="baseline"/>
              </w:rPr>
            </w:pPr>
          </w:p>
          <w:p w14:paraId="36FF1934">
            <w:pPr>
              <w:pStyle w:val="9"/>
              <w:jc w:val="both"/>
              <w:rPr>
                <w:vertAlign w:val="baseline"/>
              </w:rPr>
            </w:pPr>
          </w:p>
          <w:p w14:paraId="5111D7A0">
            <w:pPr>
              <w:jc w:val="both"/>
              <w:rPr>
                <w:vertAlign w:val="baseline"/>
              </w:rPr>
            </w:pPr>
          </w:p>
          <w:p w14:paraId="7E281C7F">
            <w:pPr>
              <w:pStyle w:val="9"/>
              <w:jc w:val="both"/>
              <w:rPr>
                <w:vertAlign w:val="baseline"/>
              </w:rPr>
            </w:pPr>
          </w:p>
          <w:p w14:paraId="623D1AA5">
            <w:pPr>
              <w:jc w:val="both"/>
              <w:rPr>
                <w:vertAlign w:val="baseline"/>
              </w:rPr>
            </w:pPr>
          </w:p>
          <w:p w14:paraId="4C252149">
            <w:pPr>
              <w:pStyle w:val="9"/>
              <w:jc w:val="both"/>
              <w:rPr>
                <w:vertAlign w:val="baseline"/>
              </w:rPr>
            </w:pPr>
          </w:p>
          <w:p w14:paraId="24709A01">
            <w:pPr>
              <w:jc w:val="both"/>
              <w:rPr>
                <w:vertAlign w:val="baseline"/>
              </w:rPr>
            </w:pPr>
          </w:p>
          <w:p w14:paraId="4BE3BEF2">
            <w:pPr>
              <w:pStyle w:val="9"/>
              <w:jc w:val="both"/>
            </w:pPr>
          </w:p>
        </w:tc>
      </w:tr>
    </w:tbl>
    <w:p w14:paraId="38CB6B47">
      <w:pPr>
        <w:ind w:firstLine="0" w:firstLineChars="0"/>
        <w:sectPr>
          <w:pgSz w:w="11906" w:h="16838"/>
          <w:pgMar w:top="1417" w:right="1417" w:bottom="1417" w:left="1417" w:header="737" w:footer="850" w:gutter="0"/>
          <w:pgNumType w:fmt="decimal"/>
          <w:cols w:space="0" w:num="1"/>
          <w:docGrid w:type="lines" w:linePitch="336"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3135"/>
      </w:tblGrid>
      <w:tr w14:paraId="750C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14:paraId="779E6BAD">
            <w:pPr>
              <w:jc w:val="both"/>
              <w:rPr>
                <w:vertAlign w:val="baseline"/>
              </w:rPr>
            </w:pPr>
          </w:p>
        </w:tc>
        <w:tc>
          <w:tcPr>
            <w:tcW w:w="13135" w:type="dxa"/>
          </w:tcPr>
          <w:p w14:paraId="71EFE4DC">
            <w:pPr>
              <w:pStyle w:val="27"/>
              <w:bidi w:val="0"/>
              <w:jc w:val="both"/>
              <w:rPr>
                <w:rFonts w:hint="eastAsia"/>
              </w:rPr>
            </w:pPr>
          </w:p>
          <w:p w14:paraId="49C7D864">
            <w:pPr>
              <w:pStyle w:val="27"/>
              <w:bidi w:val="0"/>
            </w:pPr>
            <w:r>
              <w:rPr>
                <w:rFonts w:hint="eastAsia"/>
              </w:rPr>
              <w:t>表4-</w:t>
            </w:r>
            <w:r>
              <w:rPr>
                <w:rFonts w:hint="eastAsia"/>
                <w:lang w:val="en-US" w:eastAsia="zh-CN"/>
              </w:rPr>
              <w:t>16</w:t>
            </w:r>
            <w:r>
              <w:rPr>
                <w:rFonts w:hint="eastAsia"/>
              </w:rPr>
              <w:t xml:space="preserve">  </w:t>
            </w:r>
            <w:r>
              <w:t>项目主要噪声源排放源强（室内）</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7"/>
              <w:gridCol w:w="570"/>
              <w:gridCol w:w="521"/>
              <w:gridCol w:w="790"/>
              <w:gridCol w:w="427"/>
              <w:gridCol w:w="636"/>
              <w:gridCol w:w="479"/>
              <w:gridCol w:w="479"/>
              <w:gridCol w:w="479"/>
              <w:gridCol w:w="479"/>
              <w:gridCol w:w="479"/>
              <w:gridCol w:w="333"/>
              <w:gridCol w:w="479"/>
              <w:gridCol w:w="584"/>
              <w:gridCol w:w="584"/>
              <w:gridCol w:w="584"/>
              <w:gridCol w:w="584"/>
              <w:gridCol w:w="427"/>
              <w:gridCol w:w="790"/>
              <w:gridCol w:w="584"/>
              <w:gridCol w:w="584"/>
              <w:gridCol w:w="584"/>
              <w:gridCol w:w="584"/>
              <w:gridCol w:w="427"/>
            </w:tblGrid>
            <w:tr w14:paraId="1280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1" w:type="pct"/>
                  <w:vMerge w:val="restart"/>
                  <w:shd w:val="clear" w:color="auto" w:fill="auto"/>
                  <w:vAlign w:val="center"/>
                </w:tcPr>
                <w:p w14:paraId="036087EE">
                  <w:pPr>
                    <w:pStyle w:val="32"/>
                    <w:bidi w:val="0"/>
                    <w:rPr>
                      <w:rFonts w:hint="eastAsia"/>
                      <w:b/>
                      <w:bCs/>
                    </w:rPr>
                  </w:pPr>
                  <w:r>
                    <w:rPr>
                      <w:rFonts w:hint="eastAsia"/>
                      <w:b/>
                      <w:bCs/>
                      <w:lang w:val="en-US" w:eastAsia="zh-CN"/>
                    </w:rPr>
                    <w:t>序号</w:t>
                  </w:r>
                </w:p>
              </w:tc>
              <w:tc>
                <w:tcPr>
                  <w:tcW w:w="273" w:type="pct"/>
                  <w:vMerge w:val="restart"/>
                  <w:shd w:val="clear" w:color="auto" w:fill="auto"/>
                  <w:vAlign w:val="center"/>
                </w:tcPr>
                <w:p w14:paraId="206478EE">
                  <w:pPr>
                    <w:pStyle w:val="32"/>
                    <w:bidi w:val="0"/>
                    <w:rPr>
                      <w:rFonts w:hint="eastAsia"/>
                      <w:b/>
                      <w:bCs/>
                    </w:rPr>
                  </w:pPr>
                  <w:r>
                    <w:rPr>
                      <w:rFonts w:hint="eastAsia"/>
                      <w:b/>
                      <w:bCs/>
                      <w:lang w:val="en-US" w:eastAsia="zh-CN"/>
                    </w:rPr>
                    <w:t>建筑物名称</w:t>
                  </w:r>
                </w:p>
              </w:tc>
              <w:tc>
                <w:tcPr>
                  <w:tcW w:w="254" w:type="pct"/>
                  <w:vMerge w:val="restart"/>
                  <w:shd w:val="clear" w:color="auto" w:fill="auto"/>
                  <w:vAlign w:val="center"/>
                </w:tcPr>
                <w:p w14:paraId="448CDCB8">
                  <w:pPr>
                    <w:pStyle w:val="32"/>
                    <w:bidi w:val="0"/>
                    <w:rPr>
                      <w:rFonts w:hint="eastAsia"/>
                      <w:b/>
                      <w:bCs/>
                    </w:rPr>
                  </w:pPr>
                  <w:r>
                    <w:rPr>
                      <w:rFonts w:hint="eastAsia"/>
                      <w:b/>
                      <w:bCs/>
                      <w:lang w:val="en-US" w:eastAsia="zh-CN"/>
                    </w:rPr>
                    <w:t>设备名称</w:t>
                  </w:r>
                </w:p>
              </w:tc>
              <w:tc>
                <w:tcPr>
                  <w:tcW w:w="173" w:type="pct"/>
                  <w:vMerge w:val="restart"/>
                  <w:shd w:val="clear" w:color="auto" w:fill="auto"/>
                  <w:vAlign w:val="center"/>
                </w:tcPr>
                <w:p w14:paraId="3369A68C">
                  <w:pPr>
                    <w:pStyle w:val="32"/>
                    <w:bidi w:val="0"/>
                    <w:rPr>
                      <w:rFonts w:hint="eastAsia"/>
                      <w:b/>
                      <w:bCs/>
                    </w:rPr>
                  </w:pPr>
                  <w:r>
                    <w:rPr>
                      <w:rFonts w:hint="eastAsia"/>
                      <w:b/>
                      <w:bCs/>
                      <w:lang w:val="en-US" w:eastAsia="zh-CN"/>
                    </w:rPr>
                    <w:t>单台噪声源强</w:t>
                  </w:r>
                  <w:r>
                    <w:rPr>
                      <w:rFonts w:hint="default"/>
                      <w:b/>
                      <w:bCs/>
                      <w:lang w:val="en-US" w:eastAsia="zh-CN"/>
                    </w:rPr>
                    <w:t>dB</w:t>
                  </w:r>
                  <w:r>
                    <w:rPr>
                      <w:rFonts w:hint="eastAsia"/>
                      <w:b/>
                      <w:bCs/>
                      <w:lang w:val="en-US" w:eastAsia="zh-CN"/>
                    </w:rPr>
                    <w:t>（</w:t>
                  </w:r>
                  <w:r>
                    <w:rPr>
                      <w:rFonts w:hint="default"/>
                      <w:b/>
                      <w:bCs/>
                      <w:lang w:val="en-US" w:eastAsia="zh-CN"/>
                    </w:rPr>
                    <w:t>A</w:t>
                  </w:r>
                  <w:r>
                    <w:rPr>
                      <w:rFonts w:hint="eastAsia"/>
                      <w:b/>
                      <w:bCs/>
                      <w:lang w:val="en-US" w:eastAsia="zh-CN"/>
                    </w:rPr>
                    <w:t>）</w:t>
                  </w:r>
                  <w:r>
                    <w:rPr>
                      <w:rFonts w:hint="default"/>
                      <w:b/>
                      <w:bCs/>
                      <w:lang w:val="en-US" w:eastAsia="zh-CN"/>
                    </w:rPr>
                    <w:t>/1m</w:t>
                  </w:r>
                </w:p>
              </w:tc>
              <w:tc>
                <w:tcPr>
                  <w:tcW w:w="168" w:type="pct"/>
                  <w:vMerge w:val="restart"/>
                  <w:shd w:val="clear" w:color="auto" w:fill="auto"/>
                  <w:vAlign w:val="center"/>
                </w:tcPr>
                <w:p w14:paraId="62209931">
                  <w:pPr>
                    <w:pStyle w:val="32"/>
                    <w:bidi w:val="0"/>
                    <w:rPr>
                      <w:rFonts w:hint="eastAsia"/>
                      <w:b/>
                      <w:bCs/>
                    </w:rPr>
                  </w:pPr>
                  <w:r>
                    <w:rPr>
                      <w:rFonts w:hint="eastAsia"/>
                      <w:b/>
                      <w:bCs/>
                      <w:lang w:val="en-US" w:eastAsia="zh-CN"/>
                    </w:rPr>
                    <w:t>数量</w:t>
                  </w:r>
                  <w:r>
                    <w:rPr>
                      <w:rFonts w:hint="default"/>
                      <w:b/>
                      <w:bCs/>
                      <w:lang w:val="en-US" w:eastAsia="zh-CN"/>
                    </w:rPr>
                    <w:t>/</w:t>
                  </w:r>
                  <w:r>
                    <w:rPr>
                      <w:rFonts w:hint="eastAsia"/>
                      <w:b/>
                      <w:bCs/>
                      <w:lang w:val="en-US" w:eastAsia="zh-CN"/>
                    </w:rPr>
                    <w:t>台</w:t>
                  </w:r>
                </w:p>
              </w:tc>
              <w:tc>
                <w:tcPr>
                  <w:tcW w:w="251" w:type="pct"/>
                  <w:vMerge w:val="restart"/>
                  <w:shd w:val="clear" w:color="auto" w:fill="auto"/>
                  <w:vAlign w:val="center"/>
                </w:tcPr>
                <w:p w14:paraId="10B77EFD">
                  <w:pPr>
                    <w:pStyle w:val="32"/>
                    <w:bidi w:val="0"/>
                    <w:rPr>
                      <w:rFonts w:hint="eastAsia"/>
                      <w:b/>
                      <w:bCs/>
                    </w:rPr>
                  </w:pPr>
                  <w:r>
                    <w:rPr>
                      <w:rFonts w:hint="eastAsia"/>
                      <w:b/>
                      <w:bCs/>
                      <w:lang w:val="en-US" w:eastAsia="zh-CN"/>
                    </w:rPr>
                    <w:t>声源控制措施</w:t>
                  </w:r>
                </w:p>
              </w:tc>
              <w:tc>
                <w:tcPr>
                  <w:tcW w:w="550" w:type="pct"/>
                  <w:gridSpan w:val="3"/>
                  <w:vMerge w:val="restart"/>
                  <w:shd w:val="clear" w:color="auto" w:fill="auto"/>
                  <w:vAlign w:val="center"/>
                </w:tcPr>
                <w:p w14:paraId="7B5D080F">
                  <w:pPr>
                    <w:pStyle w:val="32"/>
                    <w:bidi w:val="0"/>
                    <w:rPr>
                      <w:rFonts w:hint="eastAsia"/>
                      <w:b/>
                      <w:bCs/>
                    </w:rPr>
                  </w:pPr>
                  <w:r>
                    <w:rPr>
                      <w:rFonts w:hint="eastAsia"/>
                      <w:b/>
                      <w:bCs/>
                      <w:lang w:val="en-US" w:eastAsia="zh-CN"/>
                    </w:rPr>
                    <w:t>空间相对位置（</w:t>
                  </w:r>
                  <w:r>
                    <w:rPr>
                      <w:rFonts w:hint="default"/>
                      <w:b/>
                      <w:bCs/>
                      <w:lang w:val="en-US" w:eastAsia="zh-CN"/>
                    </w:rPr>
                    <w:t>m</w:t>
                  </w:r>
                  <w:r>
                    <w:rPr>
                      <w:rFonts w:hint="eastAsia"/>
                      <w:b/>
                      <w:bCs/>
                      <w:lang w:val="en-US" w:eastAsia="zh-CN"/>
                    </w:rPr>
                    <w:t>）</w:t>
                  </w:r>
                </w:p>
              </w:tc>
              <w:tc>
                <w:tcPr>
                  <w:tcW w:w="701" w:type="pct"/>
                  <w:gridSpan w:val="4"/>
                  <w:vMerge w:val="restart"/>
                  <w:shd w:val="clear" w:color="auto" w:fill="auto"/>
                  <w:vAlign w:val="center"/>
                </w:tcPr>
                <w:p w14:paraId="5DD93758">
                  <w:pPr>
                    <w:pStyle w:val="32"/>
                    <w:bidi w:val="0"/>
                    <w:rPr>
                      <w:rFonts w:hint="eastAsia"/>
                      <w:b/>
                      <w:bCs/>
                    </w:rPr>
                  </w:pPr>
                  <w:r>
                    <w:rPr>
                      <w:rFonts w:hint="eastAsia"/>
                      <w:b/>
                      <w:bCs/>
                      <w:lang w:val="en-US" w:eastAsia="zh-CN"/>
                    </w:rPr>
                    <w:t>距室内边界距离</w:t>
                  </w:r>
                  <w:r>
                    <w:rPr>
                      <w:rFonts w:hint="default"/>
                      <w:b/>
                      <w:bCs/>
                      <w:lang w:val="en-US" w:eastAsia="zh-CN"/>
                    </w:rPr>
                    <w:t>/m</w:t>
                  </w:r>
                </w:p>
              </w:tc>
              <w:tc>
                <w:tcPr>
                  <w:tcW w:w="950" w:type="pct"/>
                  <w:gridSpan w:val="4"/>
                  <w:vMerge w:val="restart"/>
                  <w:shd w:val="clear" w:color="auto" w:fill="auto"/>
                  <w:vAlign w:val="center"/>
                </w:tcPr>
                <w:p w14:paraId="272E11E4">
                  <w:pPr>
                    <w:pStyle w:val="32"/>
                    <w:bidi w:val="0"/>
                    <w:rPr>
                      <w:rFonts w:hint="eastAsia"/>
                      <w:b/>
                      <w:bCs/>
                    </w:rPr>
                  </w:pPr>
                  <w:r>
                    <w:rPr>
                      <w:rFonts w:hint="eastAsia"/>
                      <w:b/>
                      <w:bCs/>
                      <w:lang w:val="en-US" w:eastAsia="zh-CN"/>
                    </w:rPr>
                    <w:t>距室内边界声级</w:t>
                  </w:r>
                  <w:r>
                    <w:rPr>
                      <w:rFonts w:hint="default"/>
                      <w:b/>
                      <w:bCs/>
                      <w:lang w:val="en-US" w:eastAsia="zh-CN"/>
                    </w:rPr>
                    <w:t>dB</w:t>
                  </w:r>
                  <w:r>
                    <w:rPr>
                      <w:rFonts w:hint="eastAsia"/>
                      <w:b/>
                      <w:bCs/>
                      <w:lang w:val="en-US" w:eastAsia="zh-CN"/>
                    </w:rPr>
                    <w:t>（</w:t>
                  </w:r>
                  <w:r>
                    <w:rPr>
                      <w:rFonts w:hint="default"/>
                      <w:b/>
                      <w:bCs/>
                      <w:lang w:val="en-US" w:eastAsia="zh-CN"/>
                    </w:rPr>
                    <w:t>A</w:t>
                  </w:r>
                  <w:r>
                    <w:rPr>
                      <w:rFonts w:hint="eastAsia"/>
                      <w:b/>
                      <w:bCs/>
                      <w:lang w:val="en-US" w:eastAsia="zh-CN"/>
                    </w:rPr>
                    <w:t>）</w:t>
                  </w:r>
                </w:p>
              </w:tc>
              <w:tc>
                <w:tcPr>
                  <w:tcW w:w="137" w:type="pct"/>
                  <w:vMerge w:val="restart"/>
                  <w:shd w:val="clear" w:color="auto" w:fill="auto"/>
                  <w:vAlign w:val="center"/>
                </w:tcPr>
                <w:p w14:paraId="3AAE6883">
                  <w:pPr>
                    <w:pStyle w:val="32"/>
                    <w:bidi w:val="0"/>
                    <w:rPr>
                      <w:rFonts w:hint="eastAsia"/>
                      <w:b/>
                      <w:bCs/>
                    </w:rPr>
                  </w:pPr>
                  <w:r>
                    <w:rPr>
                      <w:rFonts w:hint="eastAsia"/>
                      <w:b/>
                      <w:bCs/>
                      <w:lang w:val="en-US" w:eastAsia="zh-CN"/>
                    </w:rPr>
                    <w:t>运行时段</w:t>
                  </w:r>
                </w:p>
              </w:tc>
              <w:tc>
                <w:tcPr>
                  <w:tcW w:w="178" w:type="pct"/>
                  <w:vMerge w:val="restart"/>
                  <w:shd w:val="clear" w:color="auto" w:fill="auto"/>
                  <w:vAlign w:val="center"/>
                </w:tcPr>
                <w:p w14:paraId="23D7F92B">
                  <w:pPr>
                    <w:pStyle w:val="32"/>
                    <w:bidi w:val="0"/>
                    <w:rPr>
                      <w:rFonts w:hint="eastAsia"/>
                      <w:b/>
                      <w:bCs/>
                    </w:rPr>
                  </w:pPr>
                  <w:r>
                    <w:rPr>
                      <w:rFonts w:hint="eastAsia"/>
                      <w:b/>
                      <w:bCs/>
                      <w:lang w:val="en-US" w:eastAsia="zh-CN"/>
                    </w:rPr>
                    <w:t>建筑物插入损失</w:t>
                  </w:r>
                  <w:r>
                    <w:rPr>
                      <w:rFonts w:hint="default"/>
                      <w:b/>
                      <w:bCs/>
                      <w:lang w:val="en-US" w:eastAsia="zh-CN"/>
                    </w:rPr>
                    <w:t>dB</w:t>
                  </w:r>
                  <w:r>
                    <w:rPr>
                      <w:rFonts w:hint="eastAsia"/>
                      <w:b/>
                      <w:bCs/>
                      <w:lang w:val="en-US" w:eastAsia="zh-CN"/>
                    </w:rPr>
                    <w:t>（</w:t>
                  </w:r>
                  <w:r>
                    <w:rPr>
                      <w:rFonts w:hint="default"/>
                      <w:b/>
                      <w:bCs/>
                      <w:lang w:val="en-US" w:eastAsia="zh-CN"/>
                    </w:rPr>
                    <w:t>A</w:t>
                  </w:r>
                  <w:r>
                    <w:rPr>
                      <w:rFonts w:hint="eastAsia"/>
                      <w:b/>
                      <w:bCs/>
                      <w:lang w:val="en-US" w:eastAsia="zh-CN"/>
                    </w:rPr>
                    <w:t>）</w:t>
                  </w:r>
                </w:p>
              </w:tc>
              <w:tc>
                <w:tcPr>
                  <w:tcW w:w="1228" w:type="pct"/>
                  <w:gridSpan w:val="5"/>
                  <w:vMerge w:val="restart"/>
                  <w:shd w:val="clear" w:color="auto" w:fill="auto"/>
                  <w:vAlign w:val="center"/>
                </w:tcPr>
                <w:p w14:paraId="66DC2905">
                  <w:pPr>
                    <w:pStyle w:val="32"/>
                    <w:bidi w:val="0"/>
                    <w:rPr>
                      <w:rFonts w:hint="eastAsia"/>
                      <w:b/>
                      <w:bCs/>
                    </w:rPr>
                  </w:pPr>
                  <w:r>
                    <w:rPr>
                      <w:rFonts w:hint="eastAsia"/>
                      <w:b/>
                      <w:bCs/>
                      <w:lang w:val="en-US" w:eastAsia="zh-CN"/>
                    </w:rPr>
                    <w:t>建筑物外损失</w:t>
                  </w:r>
                </w:p>
              </w:tc>
            </w:tr>
            <w:tr w14:paraId="677D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 w:type="pct"/>
                  <w:vMerge w:val="continue"/>
                  <w:shd w:val="clear" w:color="auto" w:fill="auto"/>
                  <w:vAlign w:val="center"/>
                </w:tcPr>
                <w:p w14:paraId="3B1FD771">
                  <w:pPr>
                    <w:pStyle w:val="32"/>
                    <w:bidi w:val="0"/>
                    <w:rPr>
                      <w:rFonts w:hint="eastAsia"/>
                      <w:b/>
                      <w:bCs/>
                    </w:rPr>
                  </w:pPr>
                </w:p>
              </w:tc>
              <w:tc>
                <w:tcPr>
                  <w:tcW w:w="273" w:type="pct"/>
                  <w:vMerge w:val="continue"/>
                  <w:shd w:val="clear" w:color="auto" w:fill="auto"/>
                  <w:vAlign w:val="center"/>
                </w:tcPr>
                <w:p w14:paraId="589D32B1">
                  <w:pPr>
                    <w:pStyle w:val="32"/>
                    <w:bidi w:val="0"/>
                    <w:rPr>
                      <w:rFonts w:hint="eastAsia"/>
                      <w:b/>
                      <w:bCs/>
                    </w:rPr>
                  </w:pPr>
                </w:p>
              </w:tc>
              <w:tc>
                <w:tcPr>
                  <w:tcW w:w="254" w:type="pct"/>
                  <w:vMerge w:val="continue"/>
                  <w:shd w:val="clear" w:color="auto" w:fill="auto"/>
                  <w:vAlign w:val="center"/>
                </w:tcPr>
                <w:p w14:paraId="520174B8">
                  <w:pPr>
                    <w:pStyle w:val="32"/>
                    <w:bidi w:val="0"/>
                    <w:rPr>
                      <w:rFonts w:hint="eastAsia"/>
                      <w:b/>
                      <w:bCs/>
                    </w:rPr>
                  </w:pPr>
                </w:p>
              </w:tc>
              <w:tc>
                <w:tcPr>
                  <w:tcW w:w="173" w:type="pct"/>
                  <w:vMerge w:val="continue"/>
                  <w:shd w:val="clear" w:color="auto" w:fill="auto"/>
                  <w:vAlign w:val="center"/>
                </w:tcPr>
                <w:p w14:paraId="71A40B05">
                  <w:pPr>
                    <w:pStyle w:val="32"/>
                    <w:bidi w:val="0"/>
                    <w:rPr>
                      <w:rFonts w:hint="eastAsia"/>
                      <w:b/>
                      <w:bCs/>
                    </w:rPr>
                  </w:pPr>
                </w:p>
              </w:tc>
              <w:tc>
                <w:tcPr>
                  <w:tcW w:w="168" w:type="pct"/>
                  <w:vMerge w:val="continue"/>
                  <w:shd w:val="clear" w:color="auto" w:fill="auto"/>
                  <w:vAlign w:val="center"/>
                </w:tcPr>
                <w:p w14:paraId="6F9509E6">
                  <w:pPr>
                    <w:pStyle w:val="32"/>
                    <w:bidi w:val="0"/>
                    <w:rPr>
                      <w:rFonts w:hint="eastAsia"/>
                      <w:b/>
                      <w:bCs/>
                    </w:rPr>
                  </w:pPr>
                </w:p>
              </w:tc>
              <w:tc>
                <w:tcPr>
                  <w:tcW w:w="251" w:type="pct"/>
                  <w:vMerge w:val="continue"/>
                  <w:shd w:val="clear" w:color="auto" w:fill="auto"/>
                  <w:vAlign w:val="center"/>
                </w:tcPr>
                <w:p w14:paraId="77B1D638">
                  <w:pPr>
                    <w:pStyle w:val="32"/>
                    <w:bidi w:val="0"/>
                    <w:rPr>
                      <w:rFonts w:hint="eastAsia"/>
                      <w:b/>
                      <w:bCs/>
                    </w:rPr>
                  </w:pPr>
                </w:p>
              </w:tc>
              <w:tc>
                <w:tcPr>
                  <w:tcW w:w="550" w:type="pct"/>
                  <w:gridSpan w:val="3"/>
                  <w:vMerge w:val="continue"/>
                  <w:shd w:val="clear" w:color="auto" w:fill="auto"/>
                  <w:vAlign w:val="center"/>
                </w:tcPr>
                <w:p w14:paraId="5398C637">
                  <w:pPr>
                    <w:pStyle w:val="32"/>
                    <w:bidi w:val="0"/>
                    <w:rPr>
                      <w:rFonts w:hint="eastAsia"/>
                      <w:b/>
                      <w:bCs/>
                    </w:rPr>
                  </w:pPr>
                </w:p>
              </w:tc>
              <w:tc>
                <w:tcPr>
                  <w:tcW w:w="701" w:type="pct"/>
                  <w:gridSpan w:val="4"/>
                  <w:vMerge w:val="continue"/>
                  <w:shd w:val="clear" w:color="auto" w:fill="auto"/>
                  <w:vAlign w:val="center"/>
                </w:tcPr>
                <w:p w14:paraId="769240A4">
                  <w:pPr>
                    <w:pStyle w:val="32"/>
                    <w:bidi w:val="0"/>
                    <w:rPr>
                      <w:rFonts w:hint="eastAsia"/>
                      <w:b/>
                      <w:bCs/>
                    </w:rPr>
                  </w:pPr>
                </w:p>
              </w:tc>
              <w:tc>
                <w:tcPr>
                  <w:tcW w:w="950" w:type="pct"/>
                  <w:gridSpan w:val="4"/>
                  <w:vMerge w:val="continue"/>
                  <w:shd w:val="clear" w:color="auto" w:fill="auto"/>
                  <w:vAlign w:val="center"/>
                </w:tcPr>
                <w:p w14:paraId="78ACBA7E">
                  <w:pPr>
                    <w:pStyle w:val="32"/>
                    <w:bidi w:val="0"/>
                    <w:rPr>
                      <w:rFonts w:hint="eastAsia"/>
                      <w:b/>
                      <w:bCs/>
                    </w:rPr>
                  </w:pPr>
                </w:p>
              </w:tc>
              <w:tc>
                <w:tcPr>
                  <w:tcW w:w="137" w:type="pct"/>
                  <w:vMerge w:val="continue"/>
                  <w:shd w:val="clear" w:color="auto" w:fill="auto"/>
                  <w:vAlign w:val="center"/>
                </w:tcPr>
                <w:p w14:paraId="58DC9EA4">
                  <w:pPr>
                    <w:pStyle w:val="32"/>
                    <w:bidi w:val="0"/>
                    <w:rPr>
                      <w:rFonts w:hint="eastAsia"/>
                      <w:b/>
                      <w:bCs/>
                    </w:rPr>
                  </w:pPr>
                </w:p>
              </w:tc>
              <w:tc>
                <w:tcPr>
                  <w:tcW w:w="178" w:type="pct"/>
                  <w:vMerge w:val="continue"/>
                  <w:shd w:val="clear" w:color="auto" w:fill="auto"/>
                  <w:vAlign w:val="center"/>
                </w:tcPr>
                <w:p w14:paraId="2B88C9B8">
                  <w:pPr>
                    <w:pStyle w:val="32"/>
                    <w:bidi w:val="0"/>
                    <w:rPr>
                      <w:rFonts w:hint="eastAsia"/>
                      <w:b/>
                      <w:bCs/>
                    </w:rPr>
                  </w:pPr>
                </w:p>
              </w:tc>
              <w:tc>
                <w:tcPr>
                  <w:tcW w:w="1228" w:type="pct"/>
                  <w:gridSpan w:val="5"/>
                  <w:vMerge w:val="continue"/>
                  <w:shd w:val="clear" w:color="auto" w:fill="auto"/>
                  <w:vAlign w:val="center"/>
                </w:tcPr>
                <w:p w14:paraId="35C99867">
                  <w:pPr>
                    <w:pStyle w:val="32"/>
                    <w:bidi w:val="0"/>
                    <w:rPr>
                      <w:rFonts w:hint="eastAsia"/>
                      <w:b/>
                      <w:bCs/>
                    </w:rPr>
                  </w:pPr>
                </w:p>
              </w:tc>
            </w:tr>
            <w:tr w14:paraId="377D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 w:type="pct"/>
                  <w:vMerge w:val="continue"/>
                  <w:shd w:val="clear" w:color="auto" w:fill="auto"/>
                  <w:vAlign w:val="center"/>
                </w:tcPr>
                <w:p w14:paraId="71C3895A">
                  <w:pPr>
                    <w:pStyle w:val="32"/>
                    <w:bidi w:val="0"/>
                    <w:rPr>
                      <w:rFonts w:hint="eastAsia"/>
                      <w:b/>
                      <w:bCs/>
                    </w:rPr>
                  </w:pPr>
                </w:p>
              </w:tc>
              <w:tc>
                <w:tcPr>
                  <w:tcW w:w="273" w:type="pct"/>
                  <w:vMerge w:val="continue"/>
                  <w:shd w:val="clear" w:color="auto" w:fill="auto"/>
                  <w:vAlign w:val="center"/>
                </w:tcPr>
                <w:p w14:paraId="31676F78">
                  <w:pPr>
                    <w:pStyle w:val="32"/>
                    <w:bidi w:val="0"/>
                    <w:rPr>
                      <w:rFonts w:hint="eastAsia"/>
                      <w:b/>
                      <w:bCs/>
                    </w:rPr>
                  </w:pPr>
                </w:p>
              </w:tc>
              <w:tc>
                <w:tcPr>
                  <w:tcW w:w="254" w:type="pct"/>
                  <w:vMerge w:val="continue"/>
                  <w:shd w:val="clear" w:color="auto" w:fill="auto"/>
                  <w:vAlign w:val="center"/>
                </w:tcPr>
                <w:p w14:paraId="591809C8">
                  <w:pPr>
                    <w:pStyle w:val="32"/>
                    <w:bidi w:val="0"/>
                    <w:rPr>
                      <w:rFonts w:hint="eastAsia"/>
                      <w:b/>
                      <w:bCs/>
                    </w:rPr>
                  </w:pPr>
                </w:p>
              </w:tc>
              <w:tc>
                <w:tcPr>
                  <w:tcW w:w="173" w:type="pct"/>
                  <w:vMerge w:val="continue"/>
                  <w:shd w:val="clear" w:color="auto" w:fill="auto"/>
                  <w:vAlign w:val="center"/>
                </w:tcPr>
                <w:p w14:paraId="790168A6">
                  <w:pPr>
                    <w:pStyle w:val="32"/>
                    <w:bidi w:val="0"/>
                    <w:rPr>
                      <w:rFonts w:hint="eastAsia"/>
                      <w:b/>
                      <w:bCs/>
                    </w:rPr>
                  </w:pPr>
                </w:p>
              </w:tc>
              <w:tc>
                <w:tcPr>
                  <w:tcW w:w="168" w:type="pct"/>
                  <w:vMerge w:val="continue"/>
                  <w:shd w:val="clear" w:color="auto" w:fill="auto"/>
                  <w:vAlign w:val="center"/>
                </w:tcPr>
                <w:p w14:paraId="217A2147">
                  <w:pPr>
                    <w:pStyle w:val="32"/>
                    <w:bidi w:val="0"/>
                    <w:rPr>
                      <w:rFonts w:hint="eastAsia"/>
                      <w:b/>
                      <w:bCs/>
                    </w:rPr>
                  </w:pPr>
                </w:p>
              </w:tc>
              <w:tc>
                <w:tcPr>
                  <w:tcW w:w="251" w:type="pct"/>
                  <w:vMerge w:val="continue"/>
                  <w:shd w:val="clear" w:color="auto" w:fill="auto"/>
                  <w:vAlign w:val="center"/>
                </w:tcPr>
                <w:p w14:paraId="366E5754">
                  <w:pPr>
                    <w:pStyle w:val="32"/>
                    <w:bidi w:val="0"/>
                    <w:rPr>
                      <w:rFonts w:hint="eastAsia"/>
                      <w:b/>
                      <w:bCs/>
                    </w:rPr>
                  </w:pPr>
                </w:p>
              </w:tc>
              <w:tc>
                <w:tcPr>
                  <w:tcW w:w="550" w:type="pct"/>
                  <w:gridSpan w:val="3"/>
                  <w:vMerge w:val="continue"/>
                  <w:shd w:val="clear" w:color="auto" w:fill="auto"/>
                  <w:vAlign w:val="center"/>
                </w:tcPr>
                <w:p w14:paraId="707A75D7">
                  <w:pPr>
                    <w:pStyle w:val="32"/>
                    <w:bidi w:val="0"/>
                    <w:rPr>
                      <w:rFonts w:hint="eastAsia"/>
                      <w:b/>
                      <w:bCs/>
                    </w:rPr>
                  </w:pPr>
                </w:p>
              </w:tc>
              <w:tc>
                <w:tcPr>
                  <w:tcW w:w="701" w:type="pct"/>
                  <w:gridSpan w:val="4"/>
                  <w:vMerge w:val="continue"/>
                  <w:shd w:val="clear" w:color="auto" w:fill="auto"/>
                  <w:vAlign w:val="center"/>
                </w:tcPr>
                <w:p w14:paraId="2AB0FE03">
                  <w:pPr>
                    <w:pStyle w:val="32"/>
                    <w:bidi w:val="0"/>
                    <w:rPr>
                      <w:rFonts w:hint="eastAsia"/>
                      <w:b/>
                      <w:bCs/>
                    </w:rPr>
                  </w:pPr>
                </w:p>
              </w:tc>
              <w:tc>
                <w:tcPr>
                  <w:tcW w:w="950" w:type="pct"/>
                  <w:gridSpan w:val="4"/>
                  <w:vMerge w:val="continue"/>
                  <w:shd w:val="clear" w:color="auto" w:fill="auto"/>
                  <w:vAlign w:val="center"/>
                </w:tcPr>
                <w:p w14:paraId="08A11BA2">
                  <w:pPr>
                    <w:pStyle w:val="32"/>
                    <w:bidi w:val="0"/>
                    <w:rPr>
                      <w:rFonts w:hint="eastAsia"/>
                      <w:b/>
                      <w:bCs/>
                    </w:rPr>
                  </w:pPr>
                </w:p>
              </w:tc>
              <w:tc>
                <w:tcPr>
                  <w:tcW w:w="137" w:type="pct"/>
                  <w:vMerge w:val="continue"/>
                  <w:shd w:val="clear" w:color="auto" w:fill="auto"/>
                  <w:vAlign w:val="center"/>
                </w:tcPr>
                <w:p w14:paraId="01E9C94E">
                  <w:pPr>
                    <w:pStyle w:val="32"/>
                    <w:bidi w:val="0"/>
                    <w:rPr>
                      <w:rFonts w:hint="eastAsia"/>
                      <w:b/>
                      <w:bCs/>
                    </w:rPr>
                  </w:pPr>
                </w:p>
              </w:tc>
              <w:tc>
                <w:tcPr>
                  <w:tcW w:w="178" w:type="pct"/>
                  <w:vMerge w:val="continue"/>
                  <w:shd w:val="clear" w:color="auto" w:fill="auto"/>
                  <w:vAlign w:val="center"/>
                </w:tcPr>
                <w:p w14:paraId="38A2D7A4">
                  <w:pPr>
                    <w:pStyle w:val="32"/>
                    <w:bidi w:val="0"/>
                    <w:rPr>
                      <w:rFonts w:hint="eastAsia"/>
                      <w:b/>
                      <w:bCs/>
                    </w:rPr>
                  </w:pPr>
                </w:p>
              </w:tc>
              <w:tc>
                <w:tcPr>
                  <w:tcW w:w="1228" w:type="pct"/>
                  <w:gridSpan w:val="5"/>
                  <w:vMerge w:val="continue"/>
                  <w:shd w:val="clear" w:color="auto" w:fill="auto"/>
                  <w:vAlign w:val="center"/>
                </w:tcPr>
                <w:p w14:paraId="5D0BCEEF">
                  <w:pPr>
                    <w:pStyle w:val="32"/>
                    <w:bidi w:val="0"/>
                    <w:rPr>
                      <w:rFonts w:hint="eastAsia"/>
                      <w:b/>
                      <w:bCs/>
                    </w:rPr>
                  </w:pPr>
                </w:p>
              </w:tc>
            </w:tr>
            <w:tr w14:paraId="7263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 w:type="pct"/>
                  <w:vMerge w:val="continue"/>
                  <w:shd w:val="clear" w:color="auto" w:fill="auto"/>
                  <w:vAlign w:val="center"/>
                </w:tcPr>
                <w:p w14:paraId="44CE7D97">
                  <w:pPr>
                    <w:pStyle w:val="32"/>
                    <w:bidi w:val="0"/>
                    <w:rPr>
                      <w:rFonts w:hint="eastAsia"/>
                      <w:b/>
                      <w:bCs/>
                    </w:rPr>
                  </w:pPr>
                </w:p>
              </w:tc>
              <w:tc>
                <w:tcPr>
                  <w:tcW w:w="273" w:type="pct"/>
                  <w:vMerge w:val="continue"/>
                  <w:shd w:val="clear" w:color="auto" w:fill="auto"/>
                  <w:vAlign w:val="center"/>
                </w:tcPr>
                <w:p w14:paraId="7A6CAAD8">
                  <w:pPr>
                    <w:pStyle w:val="32"/>
                    <w:bidi w:val="0"/>
                    <w:rPr>
                      <w:rFonts w:hint="eastAsia"/>
                      <w:b/>
                      <w:bCs/>
                    </w:rPr>
                  </w:pPr>
                </w:p>
              </w:tc>
              <w:tc>
                <w:tcPr>
                  <w:tcW w:w="254" w:type="pct"/>
                  <w:vMerge w:val="continue"/>
                  <w:shd w:val="clear" w:color="auto" w:fill="auto"/>
                  <w:vAlign w:val="center"/>
                </w:tcPr>
                <w:p w14:paraId="56A553FF">
                  <w:pPr>
                    <w:pStyle w:val="32"/>
                    <w:bidi w:val="0"/>
                    <w:rPr>
                      <w:rFonts w:hint="eastAsia"/>
                      <w:b/>
                      <w:bCs/>
                    </w:rPr>
                  </w:pPr>
                </w:p>
              </w:tc>
              <w:tc>
                <w:tcPr>
                  <w:tcW w:w="173" w:type="pct"/>
                  <w:vMerge w:val="continue"/>
                  <w:shd w:val="clear" w:color="auto" w:fill="auto"/>
                  <w:vAlign w:val="center"/>
                </w:tcPr>
                <w:p w14:paraId="7909A999">
                  <w:pPr>
                    <w:pStyle w:val="32"/>
                    <w:bidi w:val="0"/>
                    <w:rPr>
                      <w:rFonts w:hint="eastAsia"/>
                      <w:b/>
                      <w:bCs/>
                    </w:rPr>
                  </w:pPr>
                </w:p>
              </w:tc>
              <w:tc>
                <w:tcPr>
                  <w:tcW w:w="168" w:type="pct"/>
                  <w:vMerge w:val="continue"/>
                  <w:shd w:val="clear" w:color="auto" w:fill="auto"/>
                  <w:vAlign w:val="center"/>
                </w:tcPr>
                <w:p w14:paraId="7A20017B">
                  <w:pPr>
                    <w:pStyle w:val="32"/>
                    <w:bidi w:val="0"/>
                    <w:rPr>
                      <w:rFonts w:hint="eastAsia"/>
                      <w:b/>
                      <w:bCs/>
                    </w:rPr>
                  </w:pPr>
                </w:p>
              </w:tc>
              <w:tc>
                <w:tcPr>
                  <w:tcW w:w="251" w:type="pct"/>
                  <w:vMerge w:val="continue"/>
                  <w:shd w:val="clear" w:color="auto" w:fill="auto"/>
                  <w:vAlign w:val="center"/>
                </w:tcPr>
                <w:p w14:paraId="457F4166">
                  <w:pPr>
                    <w:pStyle w:val="32"/>
                    <w:bidi w:val="0"/>
                    <w:rPr>
                      <w:rFonts w:hint="eastAsia"/>
                      <w:b/>
                      <w:bCs/>
                    </w:rPr>
                  </w:pPr>
                </w:p>
              </w:tc>
              <w:tc>
                <w:tcPr>
                  <w:tcW w:w="550" w:type="pct"/>
                  <w:gridSpan w:val="3"/>
                  <w:vMerge w:val="continue"/>
                  <w:shd w:val="clear" w:color="auto" w:fill="auto"/>
                  <w:vAlign w:val="center"/>
                </w:tcPr>
                <w:p w14:paraId="20EDC6CF">
                  <w:pPr>
                    <w:pStyle w:val="32"/>
                    <w:bidi w:val="0"/>
                    <w:rPr>
                      <w:rFonts w:hint="eastAsia"/>
                      <w:b/>
                      <w:bCs/>
                    </w:rPr>
                  </w:pPr>
                </w:p>
              </w:tc>
              <w:tc>
                <w:tcPr>
                  <w:tcW w:w="701" w:type="pct"/>
                  <w:gridSpan w:val="4"/>
                  <w:vMerge w:val="continue"/>
                  <w:shd w:val="clear" w:color="auto" w:fill="auto"/>
                  <w:vAlign w:val="center"/>
                </w:tcPr>
                <w:p w14:paraId="51855C6B">
                  <w:pPr>
                    <w:pStyle w:val="32"/>
                    <w:bidi w:val="0"/>
                    <w:rPr>
                      <w:rFonts w:hint="eastAsia"/>
                      <w:b/>
                      <w:bCs/>
                    </w:rPr>
                  </w:pPr>
                </w:p>
              </w:tc>
              <w:tc>
                <w:tcPr>
                  <w:tcW w:w="950" w:type="pct"/>
                  <w:gridSpan w:val="4"/>
                  <w:vMerge w:val="continue"/>
                  <w:shd w:val="clear" w:color="auto" w:fill="auto"/>
                  <w:vAlign w:val="center"/>
                </w:tcPr>
                <w:p w14:paraId="04A0603C">
                  <w:pPr>
                    <w:pStyle w:val="32"/>
                    <w:bidi w:val="0"/>
                    <w:rPr>
                      <w:rFonts w:hint="eastAsia"/>
                      <w:b/>
                      <w:bCs/>
                    </w:rPr>
                  </w:pPr>
                </w:p>
              </w:tc>
              <w:tc>
                <w:tcPr>
                  <w:tcW w:w="137" w:type="pct"/>
                  <w:vMerge w:val="continue"/>
                  <w:shd w:val="clear" w:color="auto" w:fill="auto"/>
                  <w:vAlign w:val="center"/>
                </w:tcPr>
                <w:p w14:paraId="5533340E">
                  <w:pPr>
                    <w:pStyle w:val="32"/>
                    <w:bidi w:val="0"/>
                    <w:rPr>
                      <w:rFonts w:hint="eastAsia"/>
                      <w:b/>
                      <w:bCs/>
                    </w:rPr>
                  </w:pPr>
                </w:p>
              </w:tc>
              <w:tc>
                <w:tcPr>
                  <w:tcW w:w="178" w:type="pct"/>
                  <w:vMerge w:val="continue"/>
                  <w:shd w:val="clear" w:color="auto" w:fill="auto"/>
                  <w:vAlign w:val="center"/>
                </w:tcPr>
                <w:p w14:paraId="61D42F0A">
                  <w:pPr>
                    <w:pStyle w:val="32"/>
                    <w:bidi w:val="0"/>
                    <w:rPr>
                      <w:rFonts w:hint="eastAsia"/>
                      <w:b/>
                      <w:bCs/>
                    </w:rPr>
                  </w:pPr>
                </w:p>
              </w:tc>
              <w:tc>
                <w:tcPr>
                  <w:tcW w:w="1228" w:type="pct"/>
                  <w:gridSpan w:val="5"/>
                  <w:vMerge w:val="continue"/>
                  <w:shd w:val="clear" w:color="auto" w:fill="auto"/>
                  <w:vAlign w:val="center"/>
                </w:tcPr>
                <w:p w14:paraId="59A9B7EE">
                  <w:pPr>
                    <w:pStyle w:val="32"/>
                    <w:bidi w:val="0"/>
                    <w:rPr>
                      <w:rFonts w:hint="eastAsia"/>
                      <w:b/>
                      <w:bCs/>
                    </w:rPr>
                  </w:pPr>
                </w:p>
              </w:tc>
            </w:tr>
            <w:tr w14:paraId="0EAA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 w:type="pct"/>
                  <w:vMerge w:val="continue"/>
                  <w:shd w:val="clear" w:color="auto" w:fill="auto"/>
                  <w:vAlign w:val="center"/>
                </w:tcPr>
                <w:p w14:paraId="4442D27A">
                  <w:pPr>
                    <w:pStyle w:val="32"/>
                    <w:bidi w:val="0"/>
                    <w:rPr>
                      <w:rFonts w:hint="eastAsia"/>
                      <w:b/>
                      <w:bCs/>
                    </w:rPr>
                  </w:pPr>
                </w:p>
              </w:tc>
              <w:tc>
                <w:tcPr>
                  <w:tcW w:w="273" w:type="pct"/>
                  <w:vMerge w:val="continue"/>
                  <w:shd w:val="clear" w:color="auto" w:fill="auto"/>
                  <w:vAlign w:val="center"/>
                </w:tcPr>
                <w:p w14:paraId="43DC4188">
                  <w:pPr>
                    <w:pStyle w:val="32"/>
                    <w:bidi w:val="0"/>
                    <w:rPr>
                      <w:rFonts w:hint="eastAsia"/>
                      <w:b/>
                      <w:bCs/>
                    </w:rPr>
                  </w:pPr>
                </w:p>
              </w:tc>
              <w:tc>
                <w:tcPr>
                  <w:tcW w:w="254" w:type="pct"/>
                  <w:vMerge w:val="continue"/>
                  <w:shd w:val="clear" w:color="auto" w:fill="auto"/>
                  <w:vAlign w:val="center"/>
                </w:tcPr>
                <w:p w14:paraId="27CEB590">
                  <w:pPr>
                    <w:pStyle w:val="32"/>
                    <w:bidi w:val="0"/>
                    <w:rPr>
                      <w:rFonts w:hint="eastAsia"/>
                      <w:b/>
                      <w:bCs/>
                    </w:rPr>
                  </w:pPr>
                </w:p>
              </w:tc>
              <w:tc>
                <w:tcPr>
                  <w:tcW w:w="173" w:type="pct"/>
                  <w:vMerge w:val="continue"/>
                  <w:shd w:val="clear" w:color="auto" w:fill="auto"/>
                  <w:vAlign w:val="center"/>
                </w:tcPr>
                <w:p w14:paraId="20875047">
                  <w:pPr>
                    <w:pStyle w:val="32"/>
                    <w:bidi w:val="0"/>
                    <w:rPr>
                      <w:rFonts w:hint="eastAsia"/>
                      <w:b/>
                      <w:bCs/>
                    </w:rPr>
                  </w:pPr>
                </w:p>
              </w:tc>
              <w:tc>
                <w:tcPr>
                  <w:tcW w:w="168" w:type="pct"/>
                  <w:vMerge w:val="continue"/>
                  <w:shd w:val="clear" w:color="auto" w:fill="auto"/>
                  <w:vAlign w:val="center"/>
                </w:tcPr>
                <w:p w14:paraId="2816CFE5">
                  <w:pPr>
                    <w:pStyle w:val="32"/>
                    <w:bidi w:val="0"/>
                    <w:rPr>
                      <w:rFonts w:hint="eastAsia"/>
                      <w:b/>
                      <w:bCs/>
                    </w:rPr>
                  </w:pPr>
                </w:p>
              </w:tc>
              <w:tc>
                <w:tcPr>
                  <w:tcW w:w="251" w:type="pct"/>
                  <w:vMerge w:val="continue"/>
                  <w:shd w:val="clear" w:color="auto" w:fill="auto"/>
                  <w:vAlign w:val="center"/>
                </w:tcPr>
                <w:p w14:paraId="00A08832">
                  <w:pPr>
                    <w:pStyle w:val="32"/>
                    <w:bidi w:val="0"/>
                    <w:rPr>
                      <w:rFonts w:hint="eastAsia"/>
                      <w:b/>
                      <w:bCs/>
                    </w:rPr>
                  </w:pPr>
                </w:p>
              </w:tc>
              <w:tc>
                <w:tcPr>
                  <w:tcW w:w="550" w:type="pct"/>
                  <w:gridSpan w:val="3"/>
                  <w:vMerge w:val="continue"/>
                  <w:shd w:val="clear" w:color="auto" w:fill="auto"/>
                  <w:vAlign w:val="center"/>
                </w:tcPr>
                <w:p w14:paraId="6510EE24">
                  <w:pPr>
                    <w:pStyle w:val="32"/>
                    <w:bidi w:val="0"/>
                    <w:rPr>
                      <w:rFonts w:hint="eastAsia"/>
                      <w:b/>
                      <w:bCs/>
                    </w:rPr>
                  </w:pPr>
                </w:p>
              </w:tc>
              <w:tc>
                <w:tcPr>
                  <w:tcW w:w="701" w:type="pct"/>
                  <w:gridSpan w:val="4"/>
                  <w:vMerge w:val="continue"/>
                  <w:shd w:val="clear" w:color="auto" w:fill="auto"/>
                  <w:vAlign w:val="center"/>
                </w:tcPr>
                <w:p w14:paraId="297558E8">
                  <w:pPr>
                    <w:pStyle w:val="32"/>
                    <w:bidi w:val="0"/>
                    <w:rPr>
                      <w:rFonts w:hint="eastAsia"/>
                      <w:b/>
                      <w:bCs/>
                    </w:rPr>
                  </w:pPr>
                </w:p>
              </w:tc>
              <w:tc>
                <w:tcPr>
                  <w:tcW w:w="950" w:type="pct"/>
                  <w:gridSpan w:val="4"/>
                  <w:vMerge w:val="continue"/>
                  <w:shd w:val="clear" w:color="auto" w:fill="auto"/>
                  <w:vAlign w:val="center"/>
                </w:tcPr>
                <w:p w14:paraId="000D9C2D">
                  <w:pPr>
                    <w:pStyle w:val="32"/>
                    <w:bidi w:val="0"/>
                    <w:rPr>
                      <w:rFonts w:hint="eastAsia"/>
                      <w:b/>
                      <w:bCs/>
                    </w:rPr>
                  </w:pPr>
                </w:p>
              </w:tc>
              <w:tc>
                <w:tcPr>
                  <w:tcW w:w="137" w:type="pct"/>
                  <w:vMerge w:val="continue"/>
                  <w:shd w:val="clear" w:color="auto" w:fill="auto"/>
                  <w:vAlign w:val="center"/>
                </w:tcPr>
                <w:p w14:paraId="1787E660">
                  <w:pPr>
                    <w:pStyle w:val="32"/>
                    <w:bidi w:val="0"/>
                    <w:rPr>
                      <w:rFonts w:hint="eastAsia"/>
                      <w:b/>
                      <w:bCs/>
                    </w:rPr>
                  </w:pPr>
                </w:p>
              </w:tc>
              <w:tc>
                <w:tcPr>
                  <w:tcW w:w="178" w:type="pct"/>
                  <w:vMerge w:val="continue"/>
                  <w:shd w:val="clear" w:color="auto" w:fill="auto"/>
                  <w:vAlign w:val="center"/>
                </w:tcPr>
                <w:p w14:paraId="58C3BEA6">
                  <w:pPr>
                    <w:pStyle w:val="32"/>
                    <w:bidi w:val="0"/>
                    <w:rPr>
                      <w:rFonts w:hint="eastAsia"/>
                      <w:b/>
                      <w:bCs/>
                    </w:rPr>
                  </w:pPr>
                </w:p>
              </w:tc>
              <w:tc>
                <w:tcPr>
                  <w:tcW w:w="1034" w:type="pct"/>
                  <w:gridSpan w:val="4"/>
                  <w:shd w:val="clear" w:color="auto" w:fill="auto"/>
                  <w:vAlign w:val="center"/>
                </w:tcPr>
                <w:p w14:paraId="44F0BF3C">
                  <w:pPr>
                    <w:pStyle w:val="32"/>
                    <w:bidi w:val="0"/>
                    <w:rPr>
                      <w:rFonts w:hint="eastAsia"/>
                      <w:b/>
                      <w:bCs/>
                    </w:rPr>
                  </w:pPr>
                  <w:r>
                    <w:rPr>
                      <w:rFonts w:hint="eastAsia"/>
                      <w:b/>
                      <w:bCs/>
                      <w:lang w:val="en-US" w:eastAsia="zh-CN"/>
                    </w:rPr>
                    <w:t>声压级</w:t>
                  </w:r>
                  <w:r>
                    <w:rPr>
                      <w:rFonts w:hint="default"/>
                      <w:b/>
                      <w:bCs/>
                      <w:lang w:val="en-US" w:eastAsia="zh-CN"/>
                    </w:rPr>
                    <w:t>dB</w:t>
                  </w:r>
                  <w:r>
                    <w:rPr>
                      <w:rFonts w:hint="eastAsia"/>
                      <w:b/>
                      <w:bCs/>
                      <w:lang w:val="en-US" w:eastAsia="zh-CN"/>
                    </w:rPr>
                    <w:t>（</w:t>
                  </w:r>
                  <w:r>
                    <w:rPr>
                      <w:rFonts w:hint="default"/>
                      <w:b/>
                      <w:bCs/>
                      <w:lang w:val="en-US" w:eastAsia="zh-CN"/>
                    </w:rPr>
                    <w:t>A</w:t>
                  </w:r>
                  <w:r>
                    <w:rPr>
                      <w:rFonts w:hint="eastAsia"/>
                      <w:b/>
                      <w:bCs/>
                      <w:lang w:val="en-US" w:eastAsia="zh-CN"/>
                    </w:rPr>
                    <w:t>）</w:t>
                  </w:r>
                </w:p>
              </w:tc>
              <w:tc>
                <w:tcPr>
                  <w:tcW w:w="193" w:type="pct"/>
                  <w:vMerge w:val="restart"/>
                  <w:shd w:val="clear" w:color="auto" w:fill="auto"/>
                  <w:vAlign w:val="center"/>
                </w:tcPr>
                <w:p w14:paraId="4D3DA472">
                  <w:pPr>
                    <w:pStyle w:val="32"/>
                    <w:bidi w:val="0"/>
                    <w:rPr>
                      <w:rFonts w:hint="eastAsia"/>
                      <w:b/>
                      <w:bCs/>
                    </w:rPr>
                  </w:pPr>
                  <w:r>
                    <w:rPr>
                      <w:rFonts w:hint="eastAsia"/>
                      <w:b/>
                      <w:bCs/>
                      <w:lang w:val="en-US" w:eastAsia="zh-CN"/>
                    </w:rPr>
                    <w:t>建筑物外距离</w:t>
                  </w:r>
                  <w:r>
                    <w:rPr>
                      <w:rFonts w:hint="default"/>
                      <w:b/>
                      <w:bCs/>
                      <w:lang w:val="en-US" w:eastAsia="zh-CN"/>
                    </w:rPr>
                    <w:t>m</w:t>
                  </w:r>
                </w:p>
              </w:tc>
            </w:tr>
            <w:tr w14:paraId="73B2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 w:type="pct"/>
                  <w:vMerge w:val="continue"/>
                  <w:shd w:val="clear" w:color="auto" w:fill="auto"/>
                  <w:vAlign w:val="center"/>
                </w:tcPr>
                <w:p w14:paraId="3498CC7F">
                  <w:pPr>
                    <w:pStyle w:val="32"/>
                    <w:bidi w:val="0"/>
                    <w:rPr>
                      <w:rFonts w:hint="eastAsia"/>
                      <w:b/>
                      <w:bCs/>
                    </w:rPr>
                  </w:pPr>
                </w:p>
              </w:tc>
              <w:tc>
                <w:tcPr>
                  <w:tcW w:w="273" w:type="pct"/>
                  <w:vMerge w:val="continue"/>
                  <w:shd w:val="clear" w:color="auto" w:fill="auto"/>
                  <w:vAlign w:val="center"/>
                </w:tcPr>
                <w:p w14:paraId="3C625224">
                  <w:pPr>
                    <w:pStyle w:val="32"/>
                    <w:bidi w:val="0"/>
                    <w:rPr>
                      <w:rFonts w:hint="eastAsia"/>
                      <w:b/>
                      <w:bCs/>
                    </w:rPr>
                  </w:pPr>
                </w:p>
              </w:tc>
              <w:tc>
                <w:tcPr>
                  <w:tcW w:w="254" w:type="pct"/>
                  <w:vMerge w:val="continue"/>
                  <w:shd w:val="clear" w:color="auto" w:fill="auto"/>
                  <w:vAlign w:val="center"/>
                </w:tcPr>
                <w:p w14:paraId="60E0146D">
                  <w:pPr>
                    <w:pStyle w:val="32"/>
                    <w:bidi w:val="0"/>
                    <w:rPr>
                      <w:rFonts w:hint="eastAsia"/>
                      <w:b/>
                      <w:bCs/>
                    </w:rPr>
                  </w:pPr>
                </w:p>
              </w:tc>
              <w:tc>
                <w:tcPr>
                  <w:tcW w:w="173" w:type="pct"/>
                  <w:vMerge w:val="continue"/>
                  <w:shd w:val="clear" w:color="auto" w:fill="auto"/>
                  <w:vAlign w:val="center"/>
                </w:tcPr>
                <w:p w14:paraId="72344F5D">
                  <w:pPr>
                    <w:pStyle w:val="32"/>
                    <w:bidi w:val="0"/>
                    <w:rPr>
                      <w:rFonts w:hint="eastAsia"/>
                      <w:b/>
                      <w:bCs/>
                    </w:rPr>
                  </w:pPr>
                </w:p>
              </w:tc>
              <w:tc>
                <w:tcPr>
                  <w:tcW w:w="168" w:type="pct"/>
                  <w:vMerge w:val="continue"/>
                  <w:shd w:val="clear" w:color="auto" w:fill="auto"/>
                  <w:vAlign w:val="center"/>
                </w:tcPr>
                <w:p w14:paraId="2645AF70">
                  <w:pPr>
                    <w:pStyle w:val="32"/>
                    <w:bidi w:val="0"/>
                    <w:rPr>
                      <w:rFonts w:hint="eastAsia"/>
                      <w:b/>
                      <w:bCs/>
                    </w:rPr>
                  </w:pPr>
                </w:p>
              </w:tc>
              <w:tc>
                <w:tcPr>
                  <w:tcW w:w="251" w:type="pct"/>
                  <w:vMerge w:val="continue"/>
                  <w:shd w:val="clear" w:color="auto" w:fill="auto"/>
                  <w:vAlign w:val="center"/>
                </w:tcPr>
                <w:p w14:paraId="3A88823B">
                  <w:pPr>
                    <w:pStyle w:val="32"/>
                    <w:bidi w:val="0"/>
                    <w:rPr>
                      <w:rFonts w:hint="eastAsia"/>
                      <w:b/>
                      <w:bCs/>
                    </w:rPr>
                  </w:pPr>
                </w:p>
              </w:tc>
              <w:tc>
                <w:tcPr>
                  <w:tcW w:w="179" w:type="pct"/>
                  <w:shd w:val="clear" w:color="auto" w:fill="auto"/>
                  <w:vAlign w:val="center"/>
                </w:tcPr>
                <w:p w14:paraId="4013347D">
                  <w:pPr>
                    <w:pStyle w:val="32"/>
                    <w:bidi w:val="0"/>
                    <w:rPr>
                      <w:rFonts w:hint="default"/>
                      <w:b/>
                      <w:bCs/>
                    </w:rPr>
                  </w:pPr>
                  <w:r>
                    <w:rPr>
                      <w:rFonts w:hint="default"/>
                      <w:b/>
                      <w:bCs/>
                      <w:lang w:val="en-US" w:eastAsia="zh-CN"/>
                    </w:rPr>
                    <w:t>X</w:t>
                  </w:r>
                </w:p>
              </w:tc>
              <w:tc>
                <w:tcPr>
                  <w:tcW w:w="179" w:type="pct"/>
                  <w:shd w:val="clear" w:color="auto" w:fill="auto"/>
                  <w:vAlign w:val="center"/>
                </w:tcPr>
                <w:p w14:paraId="6B994D90">
                  <w:pPr>
                    <w:pStyle w:val="32"/>
                    <w:bidi w:val="0"/>
                    <w:rPr>
                      <w:rFonts w:hint="default"/>
                      <w:b/>
                      <w:bCs/>
                    </w:rPr>
                  </w:pPr>
                  <w:r>
                    <w:rPr>
                      <w:rFonts w:hint="default"/>
                      <w:b/>
                      <w:bCs/>
                      <w:lang w:val="en-US" w:eastAsia="zh-CN"/>
                    </w:rPr>
                    <w:t>Y</w:t>
                  </w:r>
                </w:p>
              </w:tc>
              <w:tc>
                <w:tcPr>
                  <w:tcW w:w="191" w:type="pct"/>
                  <w:shd w:val="clear" w:color="auto" w:fill="auto"/>
                  <w:vAlign w:val="center"/>
                </w:tcPr>
                <w:p w14:paraId="4BDA3DA9">
                  <w:pPr>
                    <w:pStyle w:val="32"/>
                    <w:bidi w:val="0"/>
                    <w:rPr>
                      <w:rFonts w:hint="default"/>
                      <w:b/>
                      <w:bCs/>
                    </w:rPr>
                  </w:pPr>
                  <w:r>
                    <w:rPr>
                      <w:rFonts w:hint="default"/>
                      <w:b/>
                      <w:bCs/>
                      <w:lang w:val="en-US" w:eastAsia="zh-CN"/>
                    </w:rPr>
                    <w:t>Z</w:t>
                  </w:r>
                </w:p>
              </w:tc>
              <w:tc>
                <w:tcPr>
                  <w:tcW w:w="168" w:type="pct"/>
                  <w:shd w:val="clear" w:color="auto" w:fill="auto"/>
                  <w:vAlign w:val="center"/>
                </w:tcPr>
                <w:p w14:paraId="588C96A8">
                  <w:pPr>
                    <w:pStyle w:val="32"/>
                    <w:bidi w:val="0"/>
                    <w:rPr>
                      <w:rFonts w:hint="default"/>
                      <w:b/>
                      <w:bCs/>
                    </w:rPr>
                  </w:pPr>
                  <w:r>
                    <w:rPr>
                      <w:rFonts w:hint="default"/>
                      <w:b/>
                      <w:bCs/>
                      <w:lang w:val="en-US" w:eastAsia="zh-CN"/>
                    </w:rPr>
                    <w:t>E</w:t>
                  </w:r>
                </w:p>
              </w:tc>
              <w:tc>
                <w:tcPr>
                  <w:tcW w:w="168" w:type="pct"/>
                  <w:shd w:val="clear" w:color="auto" w:fill="auto"/>
                  <w:vAlign w:val="center"/>
                </w:tcPr>
                <w:p w14:paraId="421BBF14">
                  <w:pPr>
                    <w:pStyle w:val="32"/>
                    <w:bidi w:val="0"/>
                    <w:rPr>
                      <w:rFonts w:hint="default"/>
                      <w:b/>
                      <w:bCs/>
                    </w:rPr>
                  </w:pPr>
                  <w:r>
                    <w:rPr>
                      <w:rFonts w:hint="default"/>
                      <w:b/>
                      <w:bCs/>
                      <w:lang w:val="en-US" w:eastAsia="zh-CN"/>
                    </w:rPr>
                    <w:t>W</w:t>
                  </w:r>
                </w:p>
              </w:tc>
              <w:tc>
                <w:tcPr>
                  <w:tcW w:w="173" w:type="pct"/>
                  <w:shd w:val="clear" w:color="auto" w:fill="auto"/>
                  <w:vAlign w:val="center"/>
                </w:tcPr>
                <w:p w14:paraId="13CB9622">
                  <w:pPr>
                    <w:pStyle w:val="32"/>
                    <w:bidi w:val="0"/>
                    <w:rPr>
                      <w:rFonts w:hint="default"/>
                      <w:b/>
                      <w:bCs/>
                    </w:rPr>
                  </w:pPr>
                  <w:r>
                    <w:rPr>
                      <w:rFonts w:hint="default"/>
                      <w:b/>
                      <w:bCs/>
                      <w:lang w:val="en-US" w:eastAsia="zh-CN"/>
                    </w:rPr>
                    <w:t>S</w:t>
                  </w:r>
                </w:p>
              </w:tc>
              <w:tc>
                <w:tcPr>
                  <w:tcW w:w="190" w:type="pct"/>
                  <w:shd w:val="clear" w:color="auto" w:fill="auto"/>
                  <w:vAlign w:val="center"/>
                </w:tcPr>
                <w:p w14:paraId="4ECF61D1">
                  <w:pPr>
                    <w:pStyle w:val="32"/>
                    <w:bidi w:val="0"/>
                    <w:rPr>
                      <w:rFonts w:hint="default"/>
                      <w:b/>
                      <w:bCs/>
                    </w:rPr>
                  </w:pPr>
                  <w:r>
                    <w:rPr>
                      <w:rFonts w:hint="default"/>
                      <w:b/>
                      <w:bCs/>
                      <w:lang w:val="en-US" w:eastAsia="zh-CN"/>
                    </w:rPr>
                    <w:t>N</w:t>
                  </w:r>
                </w:p>
              </w:tc>
              <w:tc>
                <w:tcPr>
                  <w:tcW w:w="242" w:type="pct"/>
                  <w:shd w:val="clear" w:color="auto" w:fill="auto"/>
                  <w:vAlign w:val="center"/>
                </w:tcPr>
                <w:p w14:paraId="42975F28">
                  <w:pPr>
                    <w:pStyle w:val="32"/>
                    <w:bidi w:val="0"/>
                    <w:rPr>
                      <w:rFonts w:hint="default"/>
                      <w:b/>
                      <w:bCs/>
                    </w:rPr>
                  </w:pPr>
                  <w:r>
                    <w:rPr>
                      <w:rFonts w:hint="default"/>
                      <w:b/>
                      <w:bCs/>
                      <w:lang w:val="en-US" w:eastAsia="zh-CN"/>
                    </w:rPr>
                    <w:t>E</w:t>
                  </w:r>
                </w:p>
              </w:tc>
              <w:tc>
                <w:tcPr>
                  <w:tcW w:w="226" w:type="pct"/>
                  <w:shd w:val="clear" w:color="auto" w:fill="auto"/>
                  <w:vAlign w:val="center"/>
                </w:tcPr>
                <w:p w14:paraId="44282306">
                  <w:pPr>
                    <w:pStyle w:val="32"/>
                    <w:bidi w:val="0"/>
                    <w:rPr>
                      <w:rFonts w:hint="default"/>
                      <w:b/>
                      <w:bCs/>
                    </w:rPr>
                  </w:pPr>
                  <w:r>
                    <w:rPr>
                      <w:rFonts w:hint="default"/>
                      <w:b/>
                      <w:bCs/>
                      <w:lang w:val="en-US" w:eastAsia="zh-CN"/>
                    </w:rPr>
                    <w:t>W</w:t>
                  </w:r>
                </w:p>
              </w:tc>
              <w:tc>
                <w:tcPr>
                  <w:tcW w:w="237" w:type="pct"/>
                  <w:shd w:val="clear" w:color="auto" w:fill="auto"/>
                  <w:vAlign w:val="center"/>
                </w:tcPr>
                <w:p w14:paraId="79175625">
                  <w:pPr>
                    <w:pStyle w:val="32"/>
                    <w:bidi w:val="0"/>
                    <w:rPr>
                      <w:rFonts w:hint="default"/>
                      <w:b/>
                      <w:bCs/>
                    </w:rPr>
                  </w:pPr>
                  <w:r>
                    <w:rPr>
                      <w:rFonts w:hint="default"/>
                      <w:b/>
                      <w:bCs/>
                      <w:lang w:val="en-US" w:eastAsia="zh-CN"/>
                    </w:rPr>
                    <w:t>S</w:t>
                  </w:r>
                </w:p>
              </w:tc>
              <w:tc>
                <w:tcPr>
                  <w:tcW w:w="242" w:type="pct"/>
                  <w:shd w:val="clear" w:color="auto" w:fill="auto"/>
                  <w:vAlign w:val="center"/>
                </w:tcPr>
                <w:p w14:paraId="0346F4E6">
                  <w:pPr>
                    <w:pStyle w:val="32"/>
                    <w:bidi w:val="0"/>
                    <w:rPr>
                      <w:rFonts w:hint="default"/>
                      <w:b/>
                      <w:bCs/>
                    </w:rPr>
                  </w:pPr>
                  <w:r>
                    <w:rPr>
                      <w:rFonts w:hint="default"/>
                      <w:b/>
                      <w:bCs/>
                      <w:lang w:val="en-US" w:eastAsia="zh-CN"/>
                    </w:rPr>
                    <w:t>N</w:t>
                  </w:r>
                </w:p>
              </w:tc>
              <w:tc>
                <w:tcPr>
                  <w:tcW w:w="137" w:type="pct"/>
                  <w:vMerge w:val="continue"/>
                  <w:shd w:val="clear" w:color="auto" w:fill="auto"/>
                  <w:vAlign w:val="center"/>
                </w:tcPr>
                <w:p w14:paraId="40AC806E">
                  <w:pPr>
                    <w:pStyle w:val="32"/>
                    <w:bidi w:val="0"/>
                    <w:rPr>
                      <w:rFonts w:hint="eastAsia"/>
                      <w:b/>
                      <w:bCs/>
                    </w:rPr>
                  </w:pPr>
                </w:p>
              </w:tc>
              <w:tc>
                <w:tcPr>
                  <w:tcW w:w="178" w:type="pct"/>
                  <w:vMerge w:val="continue"/>
                  <w:shd w:val="clear" w:color="auto" w:fill="auto"/>
                  <w:vAlign w:val="center"/>
                </w:tcPr>
                <w:p w14:paraId="65407E1D">
                  <w:pPr>
                    <w:pStyle w:val="32"/>
                    <w:bidi w:val="0"/>
                    <w:rPr>
                      <w:rFonts w:hint="eastAsia"/>
                      <w:b/>
                      <w:bCs/>
                    </w:rPr>
                  </w:pPr>
                </w:p>
              </w:tc>
              <w:tc>
                <w:tcPr>
                  <w:tcW w:w="258" w:type="pct"/>
                  <w:shd w:val="clear" w:color="auto" w:fill="auto"/>
                  <w:vAlign w:val="center"/>
                </w:tcPr>
                <w:p w14:paraId="1C012B3F">
                  <w:pPr>
                    <w:pStyle w:val="32"/>
                    <w:bidi w:val="0"/>
                    <w:rPr>
                      <w:rFonts w:hint="default"/>
                      <w:b/>
                      <w:bCs/>
                    </w:rPr>
                  </w:pPr>
                  <w:r>
                    <w:rPr>
                      <w:rFonts w:hint="default"/>
                      <w:b/>
                      <w:bCs/>
                      <w:lang w:val="en-US" w:eastAsia="zh-CN"/>
                    </w:rPr>
                    <w:t>E</w:t>
                  </w:r>
                </w:p>
              </w:tc>
              <w:tc>
                <w:tcPr>
                  <w:tcW w:w="258" w:type="pct"/>
                  <w:shd w:val="clear" w:color="auto" w:fill="auto"/>
                  <w:vAlign w:val="center"/>
                </w:tcPr>
                <w:p w14:paraId="528F357B">
                  <w:pPr>
                    <w:pStyle w:val="32"/>
                    <w:bidi w:val="0"/>
                    <w:rPr>
                      <w:rFonts w:hint="default"/>
                      <w:b/>
                      <w:bCs/>
                    </w:rPr>
                  </w:pPr>
                  <w:r>
                    <w:rPr>
                      <w:rFonts w:hint="default"/>
                      <w:b/>
                      <w:bCs/>
                      <w:lang w:val="en-US" w:eastAsia="zh-CN"/>
                    </w:rPr>
                    <w:t>W</w:t>
                  </w:r>
                </w:p>
              </w:tc>
              <w:tc>
                <w:tcPr>
                  <w:tcW w:w="258" w:type="pct"/>
                  <w:shd w:val="clear" w:color="auto" w:fill="auto"/>
                  <w:vAlign w:val="center"/>
                </w:tcPr>
                <w:p w14:paraId="3AB87D8C">
                  <w:pPr>
                    <w:pStyle w:val="32"/>
                    <w:bidi w:val="0"/>
                    <w:rPr>
                      <w:rFonts w:hint="default"/>
                      <w:b/>
                      <w:bCs/>
                    </w:rPr>
                  </w:pPr>
                  <w:r>
                    <w:rPr>
                      <w:rFonts w:hint="default"/>
                      <w:b/>
                      <w:bCs/>
                      <w:lang w:val="en-US" w:eastAsia="zh-CN"/>
                    </w:rPr>
                    <w:t>S</w:t>
                  </w:r>
                </w:p>
              </w:tc>
              <w:tc>
                <w:tcPr>
                  <w:tcW w:w="260" w:type="pct"/>
                  <w:shd w:val="clear" w:color="auto" w:fill="auto"/>
                  <w:vAlign w:val="center"/>
                </w:tcPr>
                <w:p w14:paraId="51A1AFDD">
                  <w:pPr>
                    <w:pStyle w:val="32"/>
                    <w:bidi w:val="0"/>
                    <w:rPr>
                      <w:rFonts w:hint="default"/>
                      <w:b/>
                      <w:bCs/>
                    </w:rPr>
                  </w:pPr>
                  <w:r>
                    <w:rPr>
                      <w:rFonts w:hint="default"/>
                      <w:b/>
                      <w:bCs/>
                      <w:lang w:val="en-US" w:eastAsia="zh-CN"/>
                    </w:rPr>
                    <w:t>N</w:t>
                  </w:r>
                </w:p>
              </w:tc>
              <w:tc>
                <w:tcPr>
                  <w:tcW w:w="193" w:type="pct"/>
                  <w:vMerge w:val="continue"/>
                  <w:shd w:val="clear" w:color="auto" w:fill="auto"/>
                  <w:vAlign w:val="center"/>
                </w:tcPr>
                <w:p w14:paraId="0FFC67DF">
                  <w:pPr>
                    <w:pStyle w:val="32"/>
                    <w:bidi w:val="0"/>
                    <w:rPr>
                      <w:rFonts w:hint="eastAsia"/>
                      <w:b/>
                      <w:bCs/>
                    </w:rPr>
                  </w:pPr>
                </w:p>
              </w:tc>
            </w:tr>
            <w:tr w14:paraId="5841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 w:type="pct"/>
                  <w:shd w:val="clear" w:color="auto" w:fill="auto"/>
                  <w:vAlign w:val="center"/>
                </w:tcPr>
                <w:p w14:paraId="30919ED0">
                  <w:pPr>
                    <w:pStyle w:val="32"/>
                    <w:bidi w:val="0"/>
                    <w:rPr>
                      <w:rFonts w:hint="default"/>
                    </w:rPr>
                  </w:pPr>
                  <w:r>
                    <w:rPr>
                      <w:rFonts w:hint="default"/>
                      <w:lang w:val="en-US" w:eastAsia="zh-CN"/>
                    </w:rPr>
                    <w:t>1</w:t>
                  </w:r>
                </w:p>
              </w:tc>
              <w:tc>
                <w:tcPr>
                  <w:tcW w:w="273" w:type="pct"/>
                  <w:shd w:val="clear" w:color="auto" w:fill="auto"/>
                  <w:vAlign w:val="center"/>
                </w:tcPr>
                <w:p w14:paraId="418A0E47">
                  <w:pPr>
                    <w:pStyle w:val="32"/>
                    <w:bidi w:val="0"/>
                    <w:rPr>
                      <w:rFonts w:hint="eastAsia" w:eastAsia="宋体"/>
                      <w:lang w:val="en-US" w:eastAsia="zh-CN"/>
                    </w:rPr>
                  </w:pPr>
                  <w:r>
                    <w:rPr>
                      <w:rFonts w:hint="eastAsia"/>
                      <w:lang w:val="en-US" w:eastAsia="zh-CN"/>
                    </w:rPr>
                    <w:t>风机房</w:t>
                  </w:r>
                </w:p>
              </w:tc>
              <w:tc>
                <w:tcPr>
                  <w:tcW w:w="254" w:type="pct"/>
                  <w:shd w:val="clear" w:color="auto" w:fill="auto"/>
                  <w:vAlign w:val="center"/>
                </w:tcPr>
                <w:p w14:paraId="1DD44E05">
                  <w:pPr>
                    <w:pStyle w:val="32"/>
                    <w:bidi w:val="0"/>
                    <w:rPr>
                      <w:rFonts w:hint="eastAsia"/>
                    </w:rPr>
                  </w:pPr>
                  <w:r>
                    <w:rPr>
                      <w:rFonts w:hint="eastAsia"/>
                      <w:lang w:val="en-US" w:eastAsia="zh-CN"/>
                    </w:rPr>
                    <w:t>风机</w:t>
                  </w:r>
                </w:p>
              </w:tc>
              <w:tc>
                <w:tcPr>
                  <w:tcW w:w="173" w:type="pct"/>
                  <w:shd w:val="clear" w:color="auto" w:fill="auto"/>
                  <w:vAlign w:val="center"/>
                </w:tcPr>
                <w:p w14:paraId="1F77FC15">
                  <w:pPr>
                    <w:pStyle w:val="32"/>
                    <w:bidi w:val="0"/>
                    <w:rPr>
                      <w:rFonts w:hint="default"/>
                      <w:lang w:val="en-US"/>
                    </w:rPr>
                  </w:pPr>
                  <w:r>
                    <w:rPr>
                      <w:rFonts w:hint="eastAsia"/>
                      <w:lang w:val="en-US" w:eastAsia="zh-CN"/>
                    </w:rPr>
                    <w:t>85</w:t>
                  </w:r>
                </w:p>
              </w:tc>
              <w:tc>
                <w:tcPr>
                  <w:tcW w:w="168" w:type="pct"/>
                  <w:shd w:val="clear" w:color="auto" w:fill="auto"/>
                  <w:vAlign w:val="center"/>
                </w:tcPr>
                <w:p w14:paraId="6A3E6F2C">
                  <w:pPr>
                    <w:pStyle w:val="32"/>
                    <w:bidi w:val="0"/>
                    <w:rPr>
                      <w:rFonts w:hint="default"/>
                    </w:rPr>
                  </w:pPr>
                  <w:r>
                    <w:rPr>
                      <w:rFonts w:hint="eastAsia"/>
                      <w:lang w:val="en-US" w:eastAsia="zh-CN"/>
                    </w:rPr>
                    <w:t>1</w:t>
                  </w:r>
                </w:p>
              </w:tc>
              <w:tc>
                <w:tcPr>
                  <w:tcW w:w="251" w:type="pct"/>
                  <w:vMerge w:val="restart"/>
                  <w:shd w:val="clear" w:color="auto" w:fill="auto"/>
                  <w:vAlign w:val="center"/>
                </w:tcPr>
                <w:p w14:paraId="0FF1BCF7">
                  <w:pPr>
                    <w:pStyle w:val="32"/>
                    <w:bidi w:val="0"/>
                    <w:rPr>
                      <w:rFonts w:hint="default"/>
                      <w:lang w:val="en-US"/>
                    </w:rPr>
                  </w:pPr>
                  <w:r>
                    <w:rPr>
                      <w:rFonts w:hint="eastAsia"/>
                      <w:lang w:val="en-US" w:eastAsia="zh-CN"/>
                    </w:rPr>
                    <w:t>选用低噪声设备，污水处理站位于地下，门窗隔声、基础减振</w:t>
                  </w:r>
                </w:p>
              </w:tc>
              <w:tc>
                <w:tcPr>
                  <w:tcW w:w="179" w:type="pct"/>
                  <w:shd w:val="clear" w:color="auto" w:fill="auto"/>
                  <w:vAlign w:val="center"/>
                </w:tcPr>
                <w:p w14:paraId="1BBDE55D">
                  <w:pPr>
                    <w:pStyle w:val="32"/>
                    <w:bidi w:val="0"/>
                    <w:rPr>
                      <w:rFonts w:hint="default"/>
                      <w:lang w:val="en-US"/>
                    </w:rPr>
                  </w:pPr>
                  <w:r>
                    <w:rPr>
                      <w:rFonts w:hint="eastAsia"/>
                      <w:lang w:val="en-US" w:eastAsia="zh-CN"/>
                    </w:rPr>
                    <w:t>3.3</w:t>
                  </w:r>
                </w:p>
              </w:tc>
              <w:tc>
                <w:tcPr>
                  <w:tcW w:w="179" w:type="pct"/>
                  <w:shd w:val="clear" w:color="auto" w:fill="auto"/>
                  <w:vAlign w:val="center"/>
                </w:tcPr>
                <w:p w14:paraId="36A7DFC7">
                  <w:pPr>
                    <w:pStyle w:val="32"/>
                    <w:bidi w:val="0"/>
                    <w:rPr>
                      <w:rFonts w:hint="default"/>
                      <w:lang w:val="en-US"/>
                    </w:rPr>
                  </w:pPr>
                  <w:r>
                    <w:rPr>
                      <w:rFonts w:hint="eastAsia"/>
                      <w:lang w:val="en-US" w:eastAsia="zh-CN"/>
                    </w:rPr>
                    <w:t>2.0</w:t>
                  </w:r>
                </w:p>
              </w:tc>
              <w:tc>
                <w:tcPr>
                  <w:tcW w:w="191" w:type="pct"/>
                  <w:shd w:val="clear" w:color="auto" w:fill="auto"/>
                  <w:vAlign w:val="center"/>
                </w:tcPr>
                <w:p w14:paraId="32EFFB9D">
                  <w:pPr>
                    <w:pStyle w:val="32"/>
                    <w:bidi w:val="0"/>
                    <w:rPr>
                      <w:rFonts w:hint="default"/>
                      <w:lang w:val="en-US"/>
                    </w:rPr>
                  </w:pPr>
                  <w:r>
                    <w:rPr>
                      <w:rFonts w:hint="eastAsia"/>
                      <w:lang w:val="en-US" w:eastAsia="zh-CN"/>
                    </w:rPr>
                    <w:t>1.5</w:t>
                  </w:r>
                </w:p>
              </w:tc>
              <w:tc>
                <w:tcPr>
                  <w:tcW w:w="168" w:type="pct"/>
                  <w:shd w:val="clear" w:color="auto" w:fill="auto"/>
                  <w:vAlign w:val="center"/>
                </w:tcPr>
                <w:p w14:paraId="77F1D5C6">
                  <w:pPr>
                    <w:pStyle w:val="32"/>
                    <w:bidi w:val="0"/>
                    <w:rPr>
                      <w:rFonts w:hint="default" w:eastAsia="宋体"/>
                      <w:lang w:val="en-US" w:eastAsia="zh-CN"/>
                    </w:rPr>
                  </w:pPr>
                  <w:r>
                    <w:rPr>
                      <w:rFonts w:hint="eastAsia"/>
                      <w:lang w:val="en-US" w:eastAsia="zh-CN"/>
                    </w:rPr>
                    <w:t>3.3</w:t>
                  </w:r>
                </w:p>
              </w:tc>
              <w:tc>
                <w:tcPr>
                  <w:tcW w:w="168" w:type="pct"/>
                  <w:shd w:val="clear" w:color="auto" w:fill="auto"/>
                  <w:vAlign w:val="center"/>
                </w:tcPr>
                <w:p w14:paraId="102C152E">
                  <w:pPr>
                    <w:pStyle w:val="32"/>
                    <w:bidi w:val="0"/>
                    <w:rPr>
                      <w:rFonts w:hint="default" w:eastAsia="宋体"/>
                      <w:lang w:val="en-US" w:eastAsia="zh-CN"/>
                    </w:rPr>
                  </w:pPr>
                  <w:r>
                    <w:rPr>
                      <w:rFonts w:hint="eastAsia"/>
                      <w:lang w:val="en-US" w:eastAsia="zh-CN"/>
                    </w:rPr>
                    <w:t>3.3</w:t>
                  </w:r>
                </w:p>
              </w:tc>
              <w:tc>
                <w:tcPr>
                  <w:tcW w:w="173" w:type="pct"/>
                  <w:shd w:val="clear" w:color="auto" w:fill="auto"/>
                  <w:vAlign w:val="center"/>
                </w:tcPr>
                <w:p w14:paraId="4C8A26FB">
                  <w:pPr>
                    <w:pStyle w:val="32"/>
                    <w:bidi w:val="0"/>
                    <w:rPr>
                      <w:rFonts w:hint="eastAsia" w:eastAsia="宋体"/>
                      <w:lang w:val="en-US" w:eastAsia="zh-CN"/>
                    </w:rPr>
                  </w:pPr>
                  <w:r>
                    <w:rPr>
                      <w:rFonts w:hint="eastAsia"/>
                      <w:lang w:val="en-US" w:eastAsia="zh-CN"/>
                    </w:rPr>
                    <w:t>2</w:t>
                  </w:r>
                </w:p>
              </w:tc>
              <w:tc>
                <w:tcPr>
                  <w:tcW w:w="190" w:type="pct"/>
                  <w:shd w:val="clear" w:color="auto" w:fill="auto"/>
                  <w:vAlign w:val="center"/>
                </w:tcPr>
                <w:p w14:paraId="1FFCBD0B">
                  <w:pPr>
                    <w:pStyle w:val="32"/>
                    <w:bidi w:val="0"/>
                    <w:rPr>
                      <w:rFonts w:hint="eastAsia" w:eastAsia="宋体"/>
                      <w:lang w:val="en-US" w:eastAsia="zh-CN"/>
                    </w:rPr>
                  </w:pPr>
                  <w:r>
                    <w:rPr>
                      <w:rFonts w:hint="eastAsia"/>
                      <w:lang w:val="en-US" w:eastAsia="zh-CN"/>
                    </w:rPr>
                    <w:t>2</w:t>
                  </w:r>
                </w:p>
              </w:tc>
              <w:tc>
                <w:tcPr>
                  <w:tcW w:w="242" w:type="pct"/>
                  <w:shd w:val="clear" w:color="auto" w:fill="auto"/>
                  <w:vAlign w:val="center"/>
                </w:tcPr>
                <w:p w14:paraId="6632FFB6">
                  <w:pPr>
                    <w:pStyle w:val="32"/>
                    <w:bidi w:val="0"/>
                    <w:rPr>
                      <w:rFonts w:hint="default" w:eastAsia="宋体"/>
                      <w:lang w:val="en-US" w:eastAsia="zh-CN"/>
                    </w:rPr>
                  </w:pPr>
                  <w:r>
                    <w:rPr>
                      <w:rFonts w:hint="eastAsia"/>
                      <w:lang w:val="en-US" w:eastAsia="zh-CN"/>
                    </w:rPr>
                    <w:t>71.2</w:t>
                  </w:r>
                </w:p>
              </w:tc>
              <w:tc>
                <w:tcPr>
                  <w:tcW w:w="226" w:type="pct"/>
                  <w:shd w:val="clear" w:color="auto" w:fill="auto"/>
                  <w:vAlign w:val="center"/>
                </w:tcPr>
                <w:p w14:paraId="7A0DB58F">
                  <w:pPr>
                    <w:pStyle w:val="32"/>
                    <w:bidi w:val="0"/>
                    <w:rPr>
                      <w:rFonts w:hint="default" w:eastAsia="宋体"/>
                      <w:lang w:val="en-US" w:eastAsia="zh-CN"/>
                    </w:rPr>
                  </w:pPr>
                  <w:r>
                    <w:rPr>
                      <w:rFonts w:hint="eastAsia"/>
                      <w:lang w:val="en-US" w:eastAsia="zh-CN"/>
                    </w:rPr>
                    <w:t>71.2</w:t>
                  </w:r>
                </w:p>
              </w:tc>
              <w:tc>
                <w:tcPr>
                  <w:tcW w:w="237" w:type="pct"/>
                  <w:shd w:val="clear" w:color="auto" w:fill="auto"/>
                  <w:vAlign w:val="center"/>
                </w:tcPr>
                <w:p w14:paraId="75292599">
                  <w:pPr>
                    <w:pStyle w:val="32"/>
                    <w:bidi w:val="0"/>
                    <w:rPr>
                      <w:rFonts w:hint="default" w:eastAsia="宋体"/>
                      <w:lang w:val="en-US" w:eastAsia="zh-CN"/>
                    </w:rPr>
                  </w:pPr>
                  <w:r>
                    <w:rPr>
                      <w:rFonts w:hint="eastAsia"/>
                      <w:lang w:val="en-US" w:eastAsia="zh-CN"/>
                    </w:rPr>
                    <w:t>72.3</w:t>
                  </w:r>
                </w:p>
              </w:tc>
              <w:tc>
                <w:tcPr>
                  <w:tcW w:w="242" w:type="pct"/>
                  <w:shd w:val="clear" w:color="auto" w:fill="auto"/>
                  <w:vAlign w:val="center"/>
                </w:tcPr>
                <w:p w14:paraId="0990711B">
                  <w:pPr>
                    <w:pStyle w:val="32"/>
                    <w:bidi w:val="0"/>
                    <w:rPr>
                      <w:rFonts w:hint="default" w:eastAsia="宋体"/>
                      <w:lang w:val="en-US" w:eastAsia="zh-CN"/>
                    </w:rPr>
                  </w:pPr>
                  <w:r>
                    <w:rPr>
                      <w:rFonts w:hint="eastAsia"/>
                      <w:lang w:val="en-US" w:eastAsia="zh-CN"/>
                    </w:rPr>
                    <w:t>72.3</w:t>
                  </w:r>
                </w:p>
              </w:tc>
              <w:tc>
                <w:tcPr>
                  <w:tcW w:w="137" w:type="pct"/>
                  <w:vMerge w:val="restart"/>
                  <w:shd w:val="clear" w:color="auto" w:fill="auto"/>
                  <w:vAlign w:val="center"/>
                </w:tcPr>
                <w:p w14:paraId="1C524374">
                  <w:pPr>
                    <w:pStyle w:val="32"/>
                    <w:bidi w:val="0"/>
                    <w:rPr>
                      <w:rFonts w:hint="eastAsia"/>
                    </w:rPr>
                  </w:pPr>
                  <w:r>
                    <w:rPr>
                      <w:rFonts w:hint="eastAsia"/>
                      <w:lang w:val="en-US" w:eastAsia="zh-CN"/>
                    </w:rPr>
                    <w:t>昼夜</w:t>
                  </w:r>
                </w:p>
              </w:tc>
              <w:tc>
                <w:tcPr>
                  <w:tcW w:w="178" w:type="pct"/>
                  <w:shd w:val="clear" w:color="auto" w:fill="auto"/>
                  <w:vAlign w:val="center"/>
                </w:tcPr>
                <w:p w14:paraId="1922BCD2">
                  <w:pPr>
                    <w:pStyle w:val="32"/>
                    <w:bidi w:val="0"/>
                    <w:rPr>
                      <w:rFonts w:hint="default"/>
                    </w:rPr>
                  </w:pPr>
                  <w:r>
                    <w:rPr>
                      <w:rFonts w:hint="default"/>
                      <w:lang w:val="en-US" w:eastAsia="zh-CN"/>
                    </w:rPr>
                    <w:t>15</w:t>
                  </w:r>
                </w:p>
              </w:tc>
              <w:tc>
                <w:tcPr>
                  <w:tcW w:w="258" w:type="pct"/>
                  <w:shd w:val="clear" w:color="auto" w:fill="auto"/>
                  <w:vAlign w:val="center"/>
                </w:tcPr>
                <w:p w14:paraId="731CBD50">
                  <w:pPr>
                    <w:pStyle w:val="32"/>
                    <w:bidi w:val="0"/>
                    <w:rPr>
                      <w:rFonts w:hint="default" w:eastAsia="宋体"/>
                      <w:lang w:val="en-US" w:eastAsia="zh-CN"/>
                    </w:rPr>
                  </w:pPr>
                  <w:r>
                    <w:rPr>
                      <w:rFonts w:hint="eastAsia"/>
                      <w:lang w:val="en-US" w:eastAsia="zh-CN"/>
                    </w:rPr>
                    <w:t>50.2</w:t>
                  </w:r>
                </w:p>
              </w:tc>
              <w:tc>
                <w:tcPr>
                  <w:tcW w:w="258" w:type="pct"/>
                  <w:shd w:val="clear" w:color="auto" w:fill="auto"/>
                  <w:vAlign w:val="center"/>
                </w:tcPr>
                <w:p w14:paraId="5260EEE7">
                  <w:pPr>
                    <w:pStyle w:val="32"/>
                    <w:bidi w:val="0"/>
                    <w:rPr>
                      <w:rFonts w:hint="default" w:eastAsia="宋体"/>
                      <w:lang w:val="en-US" w:eastAsia="zh-CN"/>
                    </w:rPr>
                  </w:pPr>
                  <w:r>
                    <w:rPr>
                      <w:rFonts w:hint="eastAsia"/>
                      <w:lang w:val="en-US" w:eastAsia="zh-CN"/>
                    </w:rPr>
                    <w:t>50.2</w:t>
                  </w:r>
                </w:p>
              </w:tc>
              <w:tc>
                <w:tcPr>
                  <w:tcW w:w="258" w:type="pct"/>
                  <w:shd w:val="clear" w:color="auto" w:fill="auto"/>
                  <w:vAlign w:val="center"/>
                </w:tcPr>
                <w:p w14:paraId="687957C3">
                  <w:pPr>
                    <w:pStyle w:val="32"/>
                    <w:bidi w:val="0"/>
                    <w:rPr>
                      <w:rFonts w:hint="default" w:eastAsia="宋体"/>
                      <w:lang w:val="en-US" w:eastAsia="zh-CN"/>
                    </w:rPr>
                  </w:pPr>
                  <w:r>
                    <w:rPr>
                      <w:rFonts w:hint="eastAsia"/>
                      <w:lang w:val="en-US" w:eastAsia="zh-CN"/>
                    </w:rPr>
                    <w:t>51.3</w:t>
                  </w:r>
                </w:p>
              </w:tc>
              <w:tc>
                <w:tcPr>
                  <w:tcW w:w="260" w:type="pct"/>
                  <w:shd w:val="clear" w:color="auto" w:fill="auto"/>
                  <w:vAlign w:val="center"/>
                </w:tcPr>
                <w:p w14:paraId="5A7AD77B">
                  <w:pPr>
                    <w:pStyle w:val="32"/>
                    <w:bidi w:val="0"/>
                    <w:rPr>
                      <w:rFonts w:hint="default" w:eastAsia="宋体"/>
                      <w:lang w:val="en-US" w:eastAsia="zh-CN"/>
                    </w:rPr>
                  </w:pPr>
                  <w:r>
                    <w:rPr>
                      <w:rFonts w:hint="eastAsia"/>
                      <w:lang w:val="en-US" w:eastAsia="zh-CN"/>
                    </w:rPr>
                    <w:t>51.3</w:t>
                  </w:r>
                </w:p>
              </w:tc>
              <w:tc>
                <w:tcPr>
                  <w:tcW w:w="193" w:type="pct"/>
                  <w:shd w:val="clear" w:color="auto" w:fill="auto"/>
                  <w:vAlign w:val="center"/>
                </w:tcPr>
                <w:p w14:paraId="4B621150">
                  <w:pPr>
                    <w:pStyle w:val="32"/>
                    <w:bidi w:val="0"/>
                    <w:rPr>
                      <w:rFonts w:hint="default"/>
                    </w:rPr>
                  </w:pPr>
                  <w:r>
                    <w:rPr>
                      <w:rFonts w:hint="default"/>
                      <w:lang w:val="en-US" w:eastAsia="zh-CN"/>
                    </w:rPr>
                    <w:t>1</w:t>
                  </w:r>
                </w:p>
              </w:tc>
            </w:tr>
            <w:tr w14:paraId="515E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 w:type="pct"/>
                  <w:shd w:val="clear" w:color="auto" w:fill="auto"/>
                  <w:vAlign w:val="center"/>
                </w:tcPr>
                <w:p w14:paraId="4F053699">
                  <w:pPr>
                    <w:pStyle w:val="32"/>
                    <w:bidi w:val="0"/>
                    <w:rPr>
                      <w:rFonts w:hint="default"/>
                      <w:lang w:val="en-US" w:eastAsia="zh-CN"/>
                    </w:rPr>
                  </w:pPr>
                  <w:r>
                    <w:rPr>
                      <w:rFonts w:hint="eastAsia"/>
                      <w:lang w:val="en-US" w:eastAsia="zh-CN"/>
                    </w:rPr>
                    <w:t>2</w:t>
                  </w:r>
                </w:p>
              </w:tc>
              <w:tc>
                <w:tcPr>
                  <w:tcW w:w="273" w:type="pct"/>
                  <w:shd w:val="clear" w:color="auto" w:fill="auto"/>
                  <w:vAlign w:val="center"/>
                </w:tcPr>
                <w:p w14:paraId="1D4DA418">
                  <w:pPr>
                    <w:pStyle w:val="32"/>
                    <w:bidi w:val="0"/>
                    <w:rPr>
                      <w:rFonts w:hint="default"/>
                      <w:lang w:val="en-US" w:eastAsia="zh-CN"/>
                    </w:rPr>
                  </w:pPr>
                  <w:r>
                    <w:rPr>
                      <w:rFonts w:hint="eastAsia"/>
                      <w:lang w:val="en-US" w:eastAsia="zh-CN"/>
                    </w:rPr>
                    <w:t>泵房</w:t>
                  </w:r>
                </w:p>
              </w:tc>
              <w:tc>
                <w:tcPr>
                  <w:tcW w:w="254" w:type="pct"/>
                  <w:shd w:val="clear" w:color="auto" w:fill="auto"/>
                  <w:vAlign w:val="center"/>
                </w:tcPr>
                <w:p w14:paraId="7AE3FC2C">
                  <w:pPr>
                    <w:pStyle w:val="32"/>
                    <w:bidi w:val="0"/>
                    <w:rPr>
                      <w:rFonts w:hint="default"/>
                      <w:lang w:val="en-US" w:eastAsia="zh-CN"/>
                    </w:rPr>
                  </w:pPr>
                  <w:r>
                    <w:rPr>
                      <w:rFonts w:hint="eastAsia"/>
                      <w:lang w:val="en-US" w:eastAsia="zh-CN"/>
                    </w:rPr>
                    <w:t>水泵</w:t>
                  </w:r>
                </w:p>
              </w:tc>
              <w:tc>
                <w:tcPr>
                  <w:tcW w:w="173" w:type="pct"/>
                  <w:shd w:val="clear" w:color="auto" w:fill="auto"/>
                  <w:vAlign w:val="center"/>
                </w:tcPr>
                <w:p w14:paraId="49A8689F">
                  <w:pPr>
                    <w:pStyle w:val="32"/>
                    <w:bidi w:val="0"/>
                    <w:rPr>
                      <w:rFonts w:hint="default"/>
                      <w:lang w:val="en-US" w:eastAsia="zh-CN"/>
                    </w:rPr>
                  </w:pPr>
                  <w:r>
                    <w:rPr>
                      <w:rFonts w:hint="eastAsia"/>
                      <w:lang w:val="en-US" w:eastAsia="zh-CN"/>
                    </w:rPr>
                    <w:t>85</w:t>
                  </w:r>
                </w:p>
              </w:tc>
              <w:tc>
                <w:tcPr>
                  <w:tcW w:w="168" w:type="pct"/>
                  <w:shd w:val="clear" w:color="auto" w:fill="auto"/>
                  <w:vAlign w:val="center"/>
                </w:tcPr>
                <w:p w14:paraId="6DB1210D">
                  <w:pPr>
                    <w:pStyle w:val="32"/>
                    <w:bidi w:val="0"/>
                    <w:rPr>
                      <w:rFonts w:hint="default"/>
                      <w:lang w:val="en-US" w:eastAsia="zh-CN"/>
                    </w:rPr>
                  </w:pPr>
                  <w:r>
                    <w:rPr>
                      <w:rFonts w:hint="eastAsia"/>
                      <w:lang w:val="en-US" w:eastAsia="zh-CN"/>
                    </w:rPr>
                    <w:t>2</w:t>
                  </w:r>
                </w:p>
              </w:tc>
              <w:tc>
                <w:tcPr>
                  <w:tcW w:w="251" w:type="pct"/>
                  <w:vMerge w:val="continue"/>
                  <w:shd w:val="clear" w:color="auto" w:fill="auto"/>
                  <w:vAlign w:val="center"/>
                </w:tcPr>
                <w:p w14:paraId="5C206409">
                  <w:pPr>
                    <w:pStyle w:val="32"/>
                    <w:bidi w:val="0"/>
                    <w:rPr>
                      <w:rFonts w:hint="eastAsia"/>
                      <w:lang w:val="en-US" w:eastAsia="zh-CN"/>
                    </w:rPr>
                  </w:pPr>
                </w:p>
              </w:tc>
              <w:tc>
                <w:tcPr>
                  <w:tcW w:w="179" w:type="pct"/>
                  <w:shd w:val="clear" w:color="auto" w:fill="auto"/>
                  <w:vAlign w:val="center"/>
                </w:tcPr>
                <w:p w14:paraId="4CB8DC80">
                  <w:pPr>
                    <w:pStyle w:val="32"/>
                    <w:bidi w:val="0"/>
                    <w:rPr>
                      <w:rFonts w:hint="default"/>
                      <w:lang w:val="en-US" w:eastAsia="zh-CN"/>
                    </w:rPr>
                  </w:pPr>
                  <w:r>
                    <w:rPr>
                      <w:rFonts w:hint="eastAsia"/>
                      <w:lang w:val="en-US" w:eastAsia="zh-CN"/>
                    </w:rPr>
                    <w:t>12</w:t>
                  </w:r>
                </w:p>
              </w:tc>
              <w:tc>
                <w:tcPr>
                  <w:tcW w:w="179" w:type="pct"/>
                  <w:shd w:val="clear" w:color="auto" w:fill="auto"/>
                  <w:vAlign w:val="center"/>
                </w:tcPr>
                <w:p w14:paraId="1BC80492">
                  <w:pPr>
                    <w:pStyle w:val="32"/>
                    <w:bidi w:val="0"/>
                    <w:rPr>
                      <w:rFonts w:hint="default"/>
                      <w:lang w:val="en-US" w:eastAsia="zh-CN"/>
                    </w:rPr>
                  </w:pPr>
                  <w:r>
                    <w:rPr>
                      <w:rFonts w:hint="eastAsia"/>
                      <w:lang w:val="en-US" w:eastAsia="zh-CN"/>
                    </w:rPr>
                    <w:t>1</w:t>
                  </w:r>
                </w:p>
              </w:tc>
              <w:tc>
                <w:tcPr>
                  <w:tcW w:w="191" w:type="pct"/>
                  <w:shd w:val="clear" w:color="auto" w:fill="auto"/>
                  <w:vAlign w:val="center"/>
                </w:tcPr>
                <w:p w14:paraId="118DC5AF">
                  <w:pPr>
                    <w:pStyle w:val="32"/>
                    <w:bidi w:val="0"/>
                    <w:rPr>
                      <w:rFonts w:hint="default"/>
                      <w:lang w:val="en-US" w:eastAsia="zh-CN"/>
                    </w:rPr>
                  </w:pPr>
                  <w:r>
                    <w:rPr>
                      <w:rFonts w:hint="eastAsia"/>
                      <w:lang w:val="en-US" w:eastAsia="zh-CN"/>
                    </w:rPr>
                    <w:t>1.5</w:t>
                  </w:r>
                </w:p>
              </w:tc>
              <w:tc>
                <w:tcPr>
                  <w:tcW w:w="168" w:type="pct"/>
                  <w:shd w:val="clear" w:color="auto" w:fill="auto"/>
                  <w:vAlign w:val="center"/>
                </w:tcPr>
                <w:p w14:paraId="0748621E">
                  <w:pPr>
                    <w:pStyle w:val="32"/>
                    <w:bidi w:val="0"/>
                    <w:rPr>
                      <w:rFonts w:hint="default"/>
                      <w:lang w:val="en-US" w:eastAsia="zh-CN"/>
                    </w:rPr>
                  </w:pPr>
                  <w:r>
                    <w:rPr>
                      <w:rFonts w:hint="eastAsia"/>
                      <w:lang w:val="en-US" w:eastAsia="zh-CN"/>
                    </w:rPr>
                    <w:t>7.2</w:t>
                  </w:r>
                </w:p>
              </w:tc>
              <w:tc>
                <w:tcPr>
                  <w:tcW w:w="168" w:type="pct"/>
                  <w:shd w:val="clear" w:color="auto" w:fill="auto"/>
                  <w:vAlign w:val="center"/>
                </w:tcPr>
                <w:p w14:paraId="70141231">
                  <w:pPr>
                    <w:pStyle w:val="32"/>
                    <w:bidi w:val="0"/>
                    <w:rPr>
                      <w:rFonts w:hint="default"/>
                      <w:lang w:val="en-US" w:eastAsia="zh-CN"/>
                    </w:rPr>
                  </w:pPr>
                  <w:r>
                    <w:rPr>
                      <w:rFonts w:hint="eastAsia"/>
                      <w:lang w:val="en-US" w:eastAsia="zh-CN"/>
                    </w:rPr>
                    <w:t>12</w:t>
                  </w:r>
                </w:p>
              </w:tc>
              <w:tc>
                <w:tcPr>
                  <w:tcW w:w="173" w:type="pct"/>
                  <w:shd w:val="clear" w:color="auto" w:fill="auto"/>
                  <w:vAlign w:val="center"/>
                </w:tcPr>
                <w:p w14:paraId="246C1544">
                  <w:pPr>
                    <w:pStyle w:val="32"/>
                    <w:bidi w:val="0"/>
                    <w:rPr>
                      <w:rFonts w:hint="default"/>
                      <w:lang w:val="en-US" w:eastAsia="zh-CN"/>
                    </w:rPr>
                  </w:pPr>
                  <w:r>
                    <w:rPr>
                      <w:rFonts w:hint="eastAsia"/>
                      <w:lang w:val="en-US" w:eastAsia="zh-CN"/>
                    </w:rPr>
                    <w:t>1</w:t>
                  </w:r>
                </w:p>
              </w:tc>
              <w:tc>
                <w:tcPr>
                  <w:tcW w:w="190" w:type="pct"/>
                  <w:shd w:val="clear" w:color="auto" w:fill="auto"/>
                  <w:vAlign w:val="center"/>
                </w:tcPr>
                <w:p w14:paraId="6B4C1A0F">
                  <w:pPr>
                    <w:pStyle w:val="32"/>
                    <w:bidi w:val="0"/>
                    <w:rPr>
                      <w:rFonts w:hint="default"/>
                      <w:lang w:val="en-US" w:eastAsia="zh-CN"/>
                    </w:rPr>
                  </w:pPr>
                  <w:r>
                    <w:rPr>
                      <w:rFonts w:hint="eastAsia"/>
                      <w:lang w:val="en-US" w:eastAsia="zh-CN"/>
                    </w:rPr>
                    <w:t>6.2</w:t>
                  </w:r>
                </w:p>
              </w:tc>
              <w:tc>
                <w:tcPr>
                  <w:tcW w:w="242" w:type="pct"/>
                  <w:shd w:val="clear" w:color="auto" w:fill="auto"/>
                  <w:vAlign w:val="center"/>
                </w:tcPr>
                <w:p w14:paraId="2E510294">
                  <w:pPr>
                    <w:pStyle w:val="32"/>
                    <w:bidi w:val="0"/>
                    <w:rPr>
                      <w:rFonts w:hint="default"/>
                      <w:lang w:val="en-US" w:eastAsia="zh-CN"/>
                    </w:rPr>
                  </w:pPr>
                  <w:r>
                    <w:rPr>
                      <w:rFonts w:hint="eastAsia"/>
                      <w:lang w:val="en-US" w:eastAsia="zh-CN"/>
                    </w:rPr>
                    <w:t>75.6</w:t>
                  </w:r>
                </w:p>
              </w:tc>
              <w:tc>
                <w:tcPr>
                  <w:tcW w:w="226" w:type="pct"/>
                  <w:shd w:val="clear" w:color="auto" w:fill="auto"/>
                  <w:vAlign w:val="center"/>
                </w:tcPr>
                <w:p w14:paraId="2361FA97">
                  <w:pPr>
                    <w:pStyle w:val="32"/>
                    <w:bidi w:val="0"/>
                    <w:rPr>
                      <w:rFonts w:hint="default"/>
                      <w:lang w:val="en-US" w:eastAsia="zh-CN"/>
                    </w:rPr>
                  </w:pPr>
                  <w:r>
                    <w:rPr>
                      <w:rFonts w:hint="eastAsia"/>
                      <w:lang w:val="en-US" w:eastAsia="zh-CN"/>
                    </w:rPr>
                    <w:t>75.4</w:t>
                  </w:r>
                </w:p>
              </w:tc>
              <w:tc>
                <w:tcPr>
                  <w:tcW w:w="237" w:type="pct"/>
                  <w:shd w:val="clear" w:color="auto" w:fill="auto"/>
                  <w:vAlign w:val="center"/>
                </w:tcPr>
                <w:p w14:paraId="166BF01D">
                  <w:pPr>
                    <w:pStyle w:val="32"/>
                    <w:bidi w:val="0"/>
                    <w:rPr>
                      <w:rFonts w:hint="default"/>
                      <w:lang w:val="en-US" w:eastAsia="zh-CN"/>
                    </w:rPr>
                  </w:pPr>
                  <w:r>
                    <w:rPr>
                      <w:rFonts w:hint="eastAsia"/>
                      <w:lang w:val="en-US" w:eastAsia="zh-CN"/>
                    </w:rPr>
                    <w:t>80.6</w:t>
                  </w:r>
                </w:p>
              </w:tc>
              <w:tc>
                <w:tcPr>
                  <w:tcW w:w="242" w:type="pct"/>
                  <w:shd w:val="clear" w:color="auto" w:fill="auto"/>
                  <w:vAlign w:val="center"/>
                </w:tcPr>
                <w:p w14:paraId="5BD8860D">
                  <w:pPr>
                    <w:pStyle w:val="32"/>
                    <w:bidi w:val="0"/>
                    <w:rPr>
                      <w:rFonts w:hint="default"/>
                      <w:lang w:val="en-US" w:eastAsia="zh-CN"/>
                    </w:rPr>
                  </w:pPr>
                  <w:r>
                    <w:rPr>
                      <w:rFonts w:hint="eastAsia"/>
                      <w:lang w:val="en-US" w:eastAsia="zh-CN"/>
                    </w:rPr>
                    <w:t>75.6</w:t>
                  </w:r>
                </w:p>
              </w:tc>
              <w:tc>
                <w:tcPr>
                  <w:tcW w:w="137" w:type="pct"/>
                  <w:vMerge w:val="continue"/>
                  <w:shd w:val="clear" w:color="auto" w:fill="auto"/>
                  <w:vAlign w:val="center"/>
                </w:tcPr>
                <w:p w14:paraId="55E123EF">
                  <w:pPr>
                    <w:pStyle w:val="32"/>
                    <w:bidi w:val="0"/>
                    <w:rPr>
                      <w:rFonts w:hint="eastAsia"/>
                      <w:lang w:val="en-US" w:eastAsia="zh-CN"/>
                    </w:rPr>
                  </w:pPr>
                </w:p>
              </w:tc>
              <w:tc>
                <w:tcPr>
                  <w:tcW w:w="178" w:type="pct"/>
                  <w:shd w:val="clear" w:color="auto" w:fill="auto"/>
                  <w:vAlign w:val="center"/>
                </w:tcPr>
                <w:p w14:paraId="7322A151">
                  <w:pPr>
                    <w:pStyle w:val="32"/>
                    <w:bidi w:val="0"/>
                    <w:rPr>
                      <w:rFonts w:hint="default"/>
                      <w:lang w:val="en-US" w:eastAsia="zh-CN"/>
                    </w:rPr>
                  </w:pPr>
                  <w:r>
                    <w:rPr>
                      <w:rFonts w:hint="eastAsia"/>
                      <w:lang w:val="en-US" w:eastAsia="zh-CN"/>
                    </w:rPr>
                    <w:t>15</w:t>
                  </w:r>
                </w:p>
              </w:tc>
              <w:tc>
                <w:tcPr>
                  <w:tcW w:w="258" w:type="pct"/>
                  <w:shd w:val="clear" w:color="auto" w:fill="auto"/>
                  <w:vAlign w:val="center"/>
                </w:tcPr>
                <w:p w14:paraId="01E13365">
                  <w:pPr>
                    <w:pStyle w:val="32"/>
                    <w:bidi w:val="0"/>
                    <w:rPr>
                      <w:rFonts w:hint="default"/>
                      <w:lang w:val="en-US" w:eastAsia="zh-CN"/>
                    </w:rPr>
                  </w:pPr>
                  <w:r>
                    <w:rPr>
                      <w:rFonts w:hint="eastAsia"/>
                      <w:lang w:val="en-US" w:eastAsia="zh-CN"/>
                    </w:rPr>
                    <w:t>54.6</w:t>
                  </w:r>
                </w:p>
              </w:tc>
              <w:tc>
                <w:tcPr>
                  <w:tcW w:w="258" w:type="pct"/>
                  <w:shd w:val="clear" w:color="auto" w:fill="auto"/>
                  <w:vAlign w:val="center"/>
                </w:tcPr>
                <w:p w14:paraId="0F28CACA">
                  <w:pPr>
                    <w:pStyle w:val="32"/>
                    <w:bidi w:val="0"/>
                    <w:rPr>
                      <w:rFonts w:hint="default"/>
                      <w:lang w:val="en-US" w:eastAsia="zh-CN"/>
                    </w:rPr>
                  </w:pPr>
                  <w:r>
                    <w:rPr>
                      <w:rFonts w:hint="eastAsia"/>
                      <w:lang w:val="en-US" w:eastAsia="zh-CN"/>
                    </w:rPr>
                    <w:t>54.4</w:t>
                  </w:r>
                </w:p>
              </w:tc>
              <w:tc>
                <w:tcPr>
                  <w:tcW w:w="258" w:type="pct"/>
                  <w:shd w:val="clear" w:color="auto" w:fill="auto"/>
                  <w:vAlign w:val="center"/>
                </w:tcPr>
                <w:p w14:paraId="328C865C">
                  <w:pPr>
                    <w:pStyle w:val="32"/>
                    <w:bidi w:val="0"/>
                    <w:rPr>
                      <w:rFonts w:hint="default"/>
                      <w:lang w:val="en-US" w:eastAsia="zh-CN"/>
                    </w:rPr>
                  </w:pPr>
                  <w:r>
                    <w:rPr>
                      <w:rFonts w:hint="eastAsia"/>
                      <w:lang w:val="en-US" w:eastAsia="zh-CN"/>
                    </w:rPr>
                    <w:t>59.6</w:t>
                  </w:r>
                </w:p>
              </w:tc>
              <w:tc>
                <w:tcPr>
                  <w:tcW w:w="260" w:type="pct"/>
                  <w:shd w:val="clear" w:color="auto" w:fill="auto"/>
                  <w:vAlign w:val="center"/>
                </w:tcPr>
                <w:p w14:paraId="548ED623">
                  <w:pPr>
                    <w:pStyle w:val="32"/>
                    <w:bidi w:val="0"/>
                    <w:rPr>
                      <w:rFonts w:hint="default"/>
                      <w:lang w:val="en-US" w:eastAsia="zh-CN"/>
                    </w:rPr>
                  </w:pPr>
                  <w:r>
                    <w:rPr>
                      <w:rFonts w:hint="eastAsia"/>
                      <w:lang w:val="en-US" w:eastAsia="zh-CN"/>
                    </w:rPr>
                    <w:t>54.6</w:t>
                  </w:r>
                </w:p>
              </w:tc>
              <w:tc>
                <w:tcPr>
                  <w:tcW w:w="193" w:type="pct"/>
                  <w:shd w:val="clear" w:color="auto" w:fill="auto"/>
                  <w:vAlign w:val="center"/>
                </w:tcPr>
                <w:p w14:paraId="164B370C">
                  <w:pPr>
                    <w:pStyle w:val="32"/>
                    <w:bidi w:val="0"/>
                    <w:rPr>
                      <w:rFonts w:hint="default"/>
                      <w:lang w:val="en-US" w:eastAsia="zh-CN"/>
                    </w:rPr>
                  </w:pPr>
                  <w:r>
                    <w:rPr>
                      <w:rFonts w:hint="eastAsia"/>
                      <w:lang w:val="en-US" w:eastAsia="zh-CN"/>
                    </w:rPr>
                    <w:t>1</w:t>
                  </w:r>
                </w:p>
              </w:tc>
            </w:tr>
            <w:tr w14:paraId="7CC3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 w:type="pct"/>
                  <w:shd w:val="clear" w:color="auto" w:fill="auto"/>
                  <w:vAlign w:val="center"/>
                </w:tcPr>
                <w:p w14:paraId="73922F61">
                  <w:pPr>
                    <w:pStyle w:val="32"/>
                    <w:bidi w:val="0"/>
                    <w:rPr>
                      <w:rFonts w:hint="default"/>
                    </w:rPr>
                  </w:pPr>
                  <w:r>
                    <w:rPr>
                      <w:rFonts w:hint="eastAsia"/>
                      <w:lang w:val="en-US" w:eastAsia="zh-CN"/>
                    </w:rPr>
                    <w:t>2</w:t>
                  </w:r>
                </w:p>
              </w:tc>
              <w:tc>
                <w:tcPr>
                  <w:tcW w:w="273" w:type="pct"/>
                  <w:vMerge w:val="restart"/>
                  <w:shd w:val="clear" w:color="auto" w:fill="auto"/>
                  <w:vAlign w:val="center"/>
                </w:tcPr>
                <w:p w14:paraId="51E64611">
                  <w:pPr>
                    <w:pStyle w:val="32"/>
                    <w:bidi w:val="0"/>
                    <w:rPr>
                      <w:rFonts w:hint="default" w:eastAsia="宋体"/>
                      <w:lang w:val="en-US" w:eastAsia="zh-CN"/>
                    </w:rPr>
                  </w:pPr>
                  <w:r>
                    <w:rPr>
                      <w:rFonts w:hint="eastAsia"/>
                      <w:lang w:val="en-US" w:eastAsia="zh-CN"/>
                    </w:rPr>
                    <w:t>污水处理站</w:t>
                  </w:r>
                </w:p>
              </w:tc>
              <w:tc>
                <w:tcPr>
                  <w:tcW w:w="254" w:type="pct"/>
                  <w:shd w:val="clear" w:color="auto" w:fill="auto"/>
                  <w:vAlign w:val="center"/>
                </w:tcPr>
                <w:p w14:paraId="0B90E12D">
                  <w:pPr>
                    <w:pStyle w:val="32"/>
                    <w:bidi w:val="0"/>
                    <w:rPr>
                      <w:rFonts w:hint="eastAsia" w:eastAsia="宋体"/>
                      <w:lang w:val="en-US" w:eastAsia="zh-CN"/>
                    </w:rPr>
                  </w:pPr>
                  <w:r>
                    <w:rPr>
                      <w:rFonts w:hint="eastAsia"/>
                      <w:lang w:val="en-US" w:eastAsia="zh-CN"/>
                    </w:rPr>
                    <w:t>水泵</w:t>
                  </w:r>
                </w:p>
              </w:tc>
              <w:tc>
                <w:tcPr>
                  <w:tcW w:w="173" w:type="pct"/>
                  <w:shd w:val="clear" w:color="auto" w:fill="auto"/>
                  <w:vAlign w:val="center"/>
                </w:tcPr>
                <w:p w14:paraId="226FED1B">
                  <w:pPr>
                    <w:pStyle w:val="32"/>
                    <w:bidi w:val="0"/>
                    <w:rPr>
                      <w:rFonts w:hint="default"/>
                      <w:lang w:val="en-US"/>
                    </w:rPr>
                  </w:pPr>
                  <w:r>
                    <w:rPr>
                      <w:rFonts w:hint="eastAsia"/>
                      <w:lang w:val="en-US" w:eastAsia="zh-CN"/>
                    </w:rPr>
                    <w:t>90</w:t>
                  </w:r>
                </w:p>
              </w:tc>
              <w:tc>
                <w:tcPr>
                  <w:tcW w:w="168" w:type="pct"/>
                  <w:shd w:val="clear" w:color="auto" w:fill="auto"/>
                  <w:vAlign w:val="center"/>
                </w:tcPr>
                <w:p w14:paraId="3E609E0F">
                  <w:pPr>
                    <w:pStyle w:val="32"/>
                    <w:bidi w:val="0"/>
                    <w:rPr>
                      <w:rFonts w:hint="default"/>
                    </w:rPr>
                  </w:pPr>
                  <w:r>
                    <w:rPr>
                      <w:rFonts w:hint="default"/>
                      <w:lang w:val="en-US" w:eastAsia="zh-CN"/>
                    </w:rPr>
                    <w:t>1</w:t>
                  </w:r>
                </w:p>
              </w:tc>
              <w:tc>
                <w:tcPr>
                  <w:tcW w:w="251" w:type="pct"/>
                  <w:vMerge w:val="continue"/>
                  <w:shd w:val="clear" w:color="auto" w:fill="auto"/>
                  <w:vAlign w:val="center"/>
                </w:tcPr>
                <w:p w14:paraId="10153F44">
                  <w:pPr>
                    <w:pStyle w:val="32"/>
                    <w:bidi w:val="0"/>
                    <w:rPr>
                      <w:rFonts w:hint="eastAsia"/>
                    </w:rPr>
                  </w:pPr>
                </w:p>
              </w:tc>
              <w:tc>
                <w:tcPr>
                  <w:tcW w:w="179" w:type="pct"/>
                  <w:shd w:val="clear" w:color="auto" w:fill="auto"/>
                  <w:vAlign w:val="center"/>
                </w:tcPr>
                <w:p w14:paraId="2D2B8136">
                  <w:pPr>
                    <w:pStyle w:val="32"/>
                    <w:bidi w:val="0"/>
                    <w:rPr>
                      <w:rFonts w:hint="eastAsia" w:eastAsia="宋体"/>
                      <w:lang w:val="en-US" w:eastAsia="zh-CN"/>
                    </w:rPr>
                  </w:pPr>
                  <w:r>
                    <w:rPr>
                      <w:rFonts w:hint="eastAsia"/>
                      <w:lang w:val="en-US" w:eastAsia="zh-CN"/>
                    </w:rPr>
                    <w:t>4</w:t>
                  </w:r>
                </w:p>
              </w:tc>
              <w:tc>
                <w:tcPr>
                  <w:tcW w:w="179" w:type="pct"/>
                  <w:shd w:val="clear" w:color="auto" w:fill="auto"/>
                  <w:vAlign w:val="center"/>
                </w:tcPr>
                <w:p w14:paraId="4D5950AA">
                  <w:pPr>
                    <w:pStyle w:val="32"/>
                    <w:bidi w:val="0"/>
                    <w:rPr>
                      <w:rFonts w:hint="eastAsia" w:eastAsia="宋体"/>
                      <w:lang w:val="en-US" w:eastAsia="zh-CN"/>
                    </w:rPr>
                  </w:pPr>
                  <w:r>
                    <w:rPr>
                      <w:rFonts w:hint="eastAsia"/>
                      <w:lang w:val="en-US" w:eastAsia="zh-CN"/>
                    </w:rPr>
                    <w:t>7</w:t>
                  </w:r>
                </w:p>
              </w:tc>
              <w:tc>
                <w:tcPr>
                  <w:tcW w:w="191" w:type="pct"/>
                  <w:shd w:val="clear" w:color="auto" w:fill="auto"/>
                  <w:vAlign w:val="center"/>
                </w:tcPr>
                <w:p w14:paraId="490689D7">
                  <w:pPr>
                    <w:pStyle w:val="32"/>
                    <w:bidi w:val="0"/>
                    <w:rPr>
                      <w:rFonts w:hint="default" w:eastAsia="宋体"/>
                      <w:lang w:val="en-US" w:eastAsia="zh-CN"/>
                    </w:rPr>
                  </w:pPr>
                  <w:r>
                    <w:rPr>
                      <w:rFonts w:hint="eastAsia"/>
                      <w:lang w:val="en-US" w:eastAsia="zh-CN"/>
                    </w:rPr>
                    <w:t>0.5</w:t>
                  </w:r>
                </w:p>
              </w:tc>
              <w:tc>
                <w:tcPr>
                  <w:tcW w:w="168" w:type="pct"/>
                  <w:shd w:val="clear" w:color="auto" w:fill="auto"/>
                  <w:vAlign w:val="center"/>
                </w:tcPr>
                <w:p w14:paraId="097E18D9">
                  <w:pPr>
                    <w:pStyle w:val="32"/>
                    <w:bidi w:val="0"/>
                    <w:rPr>
                      <w:rFonts w:hint="default" w:eastAsia="宋体"/>
                      <w:lang w:val="en-US" w:eastAsia="zh-CN"/>
                    </w:rPr>
                  </w:pPr>
                  <w:r>
                    <w:rPr>
                      <w:rFonts w:hint="eastAsia"/>
                      <w:lang w:val="en-US" w:eastAsia="zh-CN"/>
                    </w:rPr>
                    <w:t>9.9</w:t>
                  </w:r>
                </w:p>
              </w:tc>
              <w:tc>
                <w:tcPr>
                  <w:tcW w:w="168" w:type="pct"/>
                  <w:shd w:val="clear" w:color="auto" w:fill="auto"/>
                  <w:vAlign w:val="center"/>
                </w:tcPr>
                <w:p w14:paraId="59C6787F">
                  <w:pPr>
                    <w:pStyle w:val="32"/>
                    <w:bidi w:val="0"/>
                    <w:rPr>
                      <w:rFonts w:hint="eastAsia" w:eastAsia="宋体"/>
                      <w:lang w:val="en-US" w:eastAsia="zh-CN"/>
                    </w:rPr>
                  </w:pPr>
                  <w:r>
                    <w:rPr>
                      <w:rFonts w:hint="eastAsia"/>
                      <w:lang w:val="en-US" w:eastAsia="zh-CN"/>
                    </w:rPr>
                    <w:t>4</w:t>
                  </w:r>
                </w:p>
              </w:tc>
              <w:tc>
                <w:tcPr>
                  <w:tcW w:w="173" w:type="pct"/>
                  <w:shd w:val="clear" w:color="auto" w:fill="auto"/>
                  <w:vAlign w:val="center"/>
                </w:tcPr>
                <w:p w14:paraId="24C3F8DD">
                  <w:pPr>
                    <w:pStyle w:val="32"/>
                    <w:bidi w:val="0"/>
                    <w:rPr>
                      <w:rFonts w:hint="default" w:eastAsia="宋体"/>
                      <w:lang w:val="en-US" w:eastAsia="zh-CN"/>
                    </w:rPr>
                  </w:pPr>
                  <w:r>
                    <w:rPr>
                      <w:rFonts w:hint="eastAsia"/>
                      <w:lang w:val="en-US" w:eastAsia="zh-CN"/>
                    </w:rPr>
                    <w:t>7</w:t>
                  </w:r>
                </w:p>
              </w:tc>
              <w:tc>
                <w:tcPr>
                  <w:tcW w:w="190" w:type="pct"/>
                  <w:shd w:val="clear" w:color="auto" w:fill="auto"/>
                  <w:vAlign w:val="center"/>
                </w:tcPr>
                <w:p w14:paraId="6EC34014">
                  <w:pPr>
                    <w:pStyle w:val="32"/>
                    <w:bidi w:val="0"/>
                    <w:rPr>
                      <w:rFonts w:hint="default" w:eastAsia="宋体"/>
                      <w:lang w:val="en-US" w:eastAsia="zh-CN"/>
                    </w:rPr>
                  </w:pPr>
                  <w:r>
                    <w:rPr>
                      <w:rFonts w:hint="eastAsia"/>
                      <w:lang w:val="en-US" w:eastAsia="zh-CN"/>
                    </w:rPr>
                    <w:t>1</w:t>
                  </w:r>
                </w:p>
              </w:tc>
              <w:tc>
                <w:tcPr>
                  <w:tcW w:w="242" w:type="pct"/>
                  <w:shd w:val="clear" w:color="auto" w:fill="auto"/>
                  <w:vAlign w:val="center"/>
                </w:tcPr>
                <w:p w14:paraId="1B64AF6A">
                  <w:pPr>
                    <w:pStyle w:val="32"/>
                    <w:bidi w:val="0"/>
                    <w:rPr>
                      <w:rFonts w:hint="default" w:eastAsia="宋体"/>
                      <w:lang w:val="en-US" w:eastAsia="zh-CN"/>
                    </w:rPr>
                  </w:pPr>
                  <w:r>
                    <w:rPr>
                      <w:rFonts w:hint="eastAsia"/>
                      <w:lang w:val="en-US" w:eastAsia="zh-CN"/>
                    </w:rPr>
                    <w:t>75.5</w:t>
                  </w:r>
                </w:p>
              </w:tc>
              <w:tc>
                <w:tcPr>
                  <w:tcW w:w="226" w:type="pct"/>
                  <w:shd w:val="clear" w:color="auto" w:fill="auto"/>
                  <w:vAlign w:val="center"/>
                </w:tcPr>
                <w:p w14:paraId="2A53606E">
                  <w:pPr>
                    <w:pStyle w:val="32"/>
                    <w:bidi w:val="0"/>
                    <w:rPr>
                      <w:rFonts w:hint="default" w:eastAsia="宋体"/>
                      <w:lang w:val="en-US" w:eastAsia="zh-CN"/>
                    </w:rPr>
                  </w:pPr>
                  <w:r>
                    <w:rPr>
                      <w:rFonts w:hint="eastAsia"/>
                      <w:lang w:val="en-US" w:eastAsia="zh-CN"/>
                    </w:rPr>
                    <w:t>75.9</w:t>
                  </w:r>
                </w:p>
              </w:tc>
              <w:tc>
                <w:tcPr>
                  <w:tcW w:w="237" w:type="pct"/>
                  <w:shd w:val="clear" w:color="auto" w:fill="auto"/>
                  <w:vAlign w:val="center"/>
                </w:tcPr>
                <w:p w14:paraId="026F408F">
                  <w:pPr>
                    <w:pStyle w:val="32"/>
                    <w:bidi w:val="0"/>
                    <w:rPr>
                      <w:rFonts w:hint="default" w:eastAsia="宋体"/>
                      <w:lang w:val="en-US" w:eastAsia="zh-CN"/>
                    </w:rPr>
                  </w:pPr>
                  <w:r>
                    <w:rPr>
                      <w:rFonts w:hint="eastAsia"/>
                      <w:lang w:val="en-US" w:eastAsia="zh-CN"/>
                    </w:rPr>
                    <w:t>75.6</w:t>
                  </w:r>
                </w:p>
              </w:tc>
              <w:tc>
                <w:tcPr>
                  <w:tcW w:w="242" w:type="pct"/>
                  <w:shd w:val="clear" w:color="auto" w:fill="auto"/>
                  <w:vAlign w:val="center"/>
                </w:tcPr>
                <w:p w14:paraId="088C966F">
                  <w:pPr>
                    <w:pStyle w:val="32"/>
                    <w:bidi w:val="0"/>
                    <w:rPr>
                      <w:rFonts w:hint="default" w:eastAsia="宋体"/>
                      <w:lang w:val="en-US" w:eastAsia="zh-CN"/>
                    </w:rPr>
                  </w:pPr>
                  <w:r>
                    <w:rPr>
                      <w:rFonts w:hint="eastAsia"/>
                      <w:lang w:val="en-US" w:eastAsia="zh-CN"/>
                    </w:rPr>
                    <w:t>80.6</w:t>
                  </w:r>
                </w:p>
              </w:tc>
              <w:tc>
                <w:tcPr>
                  <w:tcW w:w="137" w:type="pct"/>
                  <w:vMerge w:val="continue"/>
                  <w:shd w:val="clear" w:color="auto" w:fill="auto"/>
                  <w:vAlign w:val="center"/>
                </w:tcPr>
                <w:p w14:paraId="66FDAA72">
                  <w:pPr>
                    <w:pStyle w:val="32"/>
                    <w:bidi w:val="0"/>
                    <w:rPr>
                      <w:rFonts w:hint="eastAsia"/>
                    </w:rPr>
                  </w:pPr>
                </w:p>
              </w:tc>
              <w:tc>
                <w:tcPr>
                  <w:tcW w:w="178" w:type="pct"/>
                  <w:shd w:val="clear" w:color="auto" w:fill="auto"/>
                  <w:vAlign w:val="center"/>
                </w:tcPr>
                <w:p w14:paraId="347758CC">
                  <w:pPr>
                    <w:pStyle w:val="32"/>
                    <w:bidi w:val="0"/>
                    <w:rPr>
                      <w:rFonts w:hint="default"/>
                    </w:rPr>
                  </w:pPr>
                  <w:r>
                    <w:rPr>
                      <w:rFonts w:hint="default"/>
                      <w:lang w:val="en-US" w:eastAsia="zh-CN"/>
                    </w:rPr>
                    <w:t>15</w:t>
                  </w:r>
                </w:p>
              </w:tc>
              <w:tc>
                <w:tcPr>
                  <w:tcW w:w="258" w:type="pct"/>
                  <w:shd w:val="clear" w:color="auto" w:fill="auto"/>
                  <w:vAlign w:val="center"/>
                </w:tcPr>
                <w:p w14:paraId="2BBF31FD">
                  <w:pPr>
                    <w:pStyle w:val="32"/>
                    <w:bidi w:val="0"/>
                    <w:rPr>
                      <w:rFonts w:hint="default" w:eastAsia="宋体"/>
                      <w:lang w:val="en-US" w:eastAsia="zh-CN"/>
                    </w:rPr>
                  </w:pPr>
                  <w:r>
                    <w:rPr>
                      <w:rFonts w:hint="eastAsia"/>
                      <w:lang w:val="en-US" w:eastAsia="zh-CN"/>
                    </w:rPr>
                    <w:t>54.5</w:t>
                  </w:r>
                </w:p>
              </w:tc>
              <w:tc>
                <w:tcPr>
                  <w:tcW w:w="258" w:type="pct"/>
                  <w:shd w:val="clear" w:color="auto" w:fill="auto"/>
                  <w:vAlign w:val="center"/>
                </w:tcPr>
                <w:p w14:paraId="5D000642">
                  <w:pPr>
                    <w:pStyle w:val="32"/>
                    <w:bidi w:val="0"/>
                    <w:rPr>
                      <w:rFonts w:hint="default" w:eastAsia="宋体"/>
                      <w:lang w:val="en-US" w:eastAsia="zh-CN"/>
                    </w:rPr>
                  </w:pPr>
                  <w:r>
                    <w:rPr>
                      <w:rFonts w:hint="eastAsia"/>
                      <w:lang w:val="en-US" w:eastAsia="zh-CN"/>
                    </w:rPr>
                    <w:t>54.9</w:t>
                  </w:r>
                </w:p>
              </w:tc>
              <w:tc>
                <w:tcPr>
                  <w:tcW w:w="258" w:type="pct"/>
                  <w:shd w:val="clear" w:color="auto" w:fill="auto"/>
                  <w:vAlign w:val="center"/>
                </w:tcPr>
                <w:p w14:paraId="53757DE4">
                  <w:pPr>
                    <w:pStyle w:val="32"/>
                    <w:bidi w:val="0"/>
                    <w:rPr>
                      <w:rFonts w:hint="default" w:eastAsia="宋体"/>
                      <w:lang w:val="en-US" w:eastAsia="zh-CN"/>
                    </w:rPr>
                  </w:pPr>
                  <w:r>
                    <w:rPr>
                      <w:rFonts w:hint="eastAsia"/>
                      <w:lang w:val="en-US" w:eastAsia="zh-CN"/>
                    </w:rPr>
                    <w:t>54.6</w:t>
                  </w:r>
                </w:p>
              </w:tc>
              <w:tc>
                <w:tcPr>
                  <w:tcW w:w="260" w:type="pct"/>
                  <w:shd w:val="clear" w:color="auto" w:fill="auto"/>
                  <w:vAlign w:val="center"/>
                </w:tcPr>
                <w:p w14:paraId="030D2A37">
                  <w:pPr>
                    <w:pStyle w:val="32"/>
                    <w:bidi w:val="0"/>
                    <w:rPr>
                      <w:rFonts w:hint="default" w:eastAsia="宋体"/>
                      <w:lang w:val="en-US" w:eastAsia="zh-CN"/>
                    </w:rPr>
                  </w:pPr>
                  <w:r>
                    <w:rPr>
                      <w:rFonts w:hint="eastAsia"/>
                      <w:lang w:val="en-US" w:eastAsia="zh-CN"/>
                    </w:rPr>
                    <w:t>59.6</w:t>
                  </w:r>
                </w:p>
              </w:tc>
              <w:tc>
                <w:tcPr>
                  <w:tcW w:w="193" w:type="pct"/>
                  <w:shd w:val="clear" w:color="auto" w:fill="auto"/>
                  <w:vAlign w:val="center"/>
                </w:tcPr>
                <w:p w14:paraId="713335C8">
                  <w:pPr>
                    <w:pStyle w:val="32"/>
                    <w:bidi w:val="0"/>
                    <w:rPr>
                      <w:rFonts w:hint="default"/>
                    </w:rPr>
                  </w:pPr>
                  <w:r>
                    <w:rPr>
                      <w:rFonts w:hint="default"/>
                      <w:lang w:val="en-US" w:eastAsia="zh-CN"/>
                    </w:rPr>
                    <w:t>1</w:t>
                  </w:r>
                </w:p>
              </w:tc>
            </w:tr>
            <w:tr w14:paraId="5F77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 w:type="pct"/>
                  <w:shd w:val="clear" w:color="auto" w:fill="auto"/>
                  <w:vAlign w:val="center"/>
                </w:tcPr>
                <w:p w14:paraId="435DC8E0">
                  <w:pPr>
                    <w:pStyle w:val="32"/>
                    <w:bidi w:val="0"/>
                    <w:rPr>
                      <w:rFonts w:hint="default"/>
                    </w:rPr>
                  </w:pPr>
                  <w:r>
                    <w:rPr>
                      <w:rFonts w:hint="eastAsia"/>
                      <w:lang w:val="en-US" w:eastAsia="zh-CN"/>
                    </w:rPr>
                    <w:t>3</w:t>
                  </w:r>
                </w:p>
              </w:tc>
              <w:tc>
                <w:tcPr>
                  <w:tcW w:w="273" w:type="pct"/>
                  <w:vMerge w:val="continue"/>
                  <w:shd w:val="clear" w:color="auto" w:fill="auto"/>
                  <w:vAlign w:val="center"/>
                </w:tcPr>
                <w:p w14:paraId="309D942A">
                  <w:pPr>
                    <w:pStyle w:val="32"/>
                    <w:bidi w:val="0"/>
                    <w:rPr>
                      <w:rFonts w:hint="eastAsia"/>
                    </w:rPr>
                  </w:pPr>
                </w:p>
              </w:tc>
              <w:tc>
                <w:tcPr>
                  <w:tcW w:w="254" w:type="pct"/>
                  <w:shd w:val="clear" w:color="auto" w:fill="auto"/>
                  <w:vAlign w:val="center"/>
                </w:tcPr>
                <w:p w14:paraId="1B8DEBB0">
                  <w:pPr>
                    <w:pStyle w:val="32"/>
                    <w:bidi w:val="0"/>
                    <w:rPr>
                      <w:rFonts w:hint="eastAsia"/>
                    </w:rPr>
                  </w:pPr>
                  <w:r>
                    <w:rPr>
                      <w:rFonts w:hint="eastAsia"/>
                      <w:lang w:val="en-US" w:eastAsia="zh-CN"/>
                    </w:rPr>
                    <w:t>鼓风机</w:t>
                  </w:r>
                </w:p>
              </w:tc>
              <w:tc>
                <w:tcPr>
                  <w:tcW w:w="173" w:type="pct"/>
                  <w:shd w:val="clear" w:color="auto" w:fill="auto"/>
                  <w:vAlign w:val="center"/>
                </w:tcPr>
                <w:p w14:paraId="02360BEE">
                  <w:pPr>
                    <w:pStyle w:val="32"/>
                    <w:bidi w:val="0"/>
                    <w:rPr>
                      <w:rFonts w:hint="default"/>
                      <w:lang w:val="en-US"/>
                    </w:rPr>
                  </w:pPr>
                  <w:r>
                    <w:rPr>
                      <w:rFonts w:hint="eastAsia"/>
                      <w:lang w:val="en-US" w:eastAsia="zh-CN"/>
                    </w:rPr>
                    <w:t>85</w:t>
                  </w:r>
                </w:p>
              </w:tc>
              <w:tc>
                <w:tcPr>
                  <w:tcW w:w="168" w:type="pct"/>
                  <w:shd w:val="clear" w:color="auto" w:fill="auto"/>
                  <w:vAlign w:val="center"/>
                </w:tcPr>
                <w:p w14:paraId="27E89051">
                  <w:pPr>
                    <w:pStyle w:val="32"/>
                    <w:bidi w:val="0"/>
                    <w:rPr>
                      <w:rFonts w:hint="default"/>
                    </w:rPr>
                  </w:pPr>
                  <w:r>
                    <w:rPr>
                      <w:rFonts w:hint="default"/>
                      <w:lang w:val="en-US" w:eastAsia="zh-CN"/>
                    </w:rPr>
                    <w:t>1</w:t>
                  </w:r>
                </w:p>
              </w:tc>
              <w:tc>
                <w:tcPr>
                  <w:tcW w:w="251" w:type="pct"/>
                  <w:vMerge w:val="continue"/>
                  <w:shd w:val="clear" w:color="auto" w:fill="auto"/>
                  <w:vAlign w:val="center"/>
                </w:tcPr>
                <w:p w14:paraId="633CDC20">
                  <w:pPr>
                    <w:pStyle w:val="32"/>
                    <w:bidi w:val="0"/>
                    <w:rPr>
                      <w:rFonts w:hint="eastAsia"/>
                    </w:rPr>
                  </w:pPr>
                </w:p>
              </w:tc>
              <w:tc>
                <w:tcPr>
                  <w:tcW w:w="179" w:type="pct"/>
                  <w:shd w:val="clear" w:color="auto" w:fill="auto"/>
                  <w:vAlign w:val="center"/>
                </w:tcPr>
                <w:p w14:paraId="3AB204D3">
                  <w:pPr>
                    <w:pStyle w:val="32"/>
                    <w:bidi w:val="0"/>
                    <w:rPr>
                      <w:rFonts w:hint="eastAsia" w:eastAsia="宋体"/>
                      <w:lang w:val="en-US" w:eastAsia="zh-CN"/>
                    </w:rPr>
                  </w:pPr>
                  <w:r>
                    <w:rPr>
                      <w:rFonts w:hint="eastAsia"/>
                      <w:lang w:val="en-US" w:eastAsia="zh-CN"/>
                    </w:rPr>
                    <w:t>6</w:t>
                  </w:r>
                </w:p>
              </w:tc>
              <w:tc>
                <w:tcPr>
                  <w:tcW w:w="179" w:type="pct"/>
                  <w:shd w:val="clear" w:color="auto" w:fill="auto"/>
                  <w:vAlign w:val="center"/>
                </w:tcPr>
                <w:p w14:paraId="1CC82B09">
                  <w:pPr>
                    <w:pStyle w:val="32"/>
                    <w:bidi w:val="0"/>
                    <w:rPr>
                      <w:rFonts w:hint="eastAsia" w:eastAsia="宋体"/>
                      <w:lang w:val="en-US" w:eastAsia="zh-CN"/>
                    </w:rPr>
                  </w:pPr>
                  <w:r>
                    <w:rPr>
                      <w:rFonts w:hint="eastAsia"/>
                      <w:lang w:val="en-US" w:eastAsia="zh-CN"/>
                    </w:rPr>
                    <w:t>7</w:t>
                  </w:r>
                </w:p>
              </w:tc>
              <w:tc>
                <w:tcPr>
                  <w:tcW w:w="191" w:type="pct"/>
                  <w:shd w:val="clear" w:color="auto" w:fill="auto"/>
                  <w:vAlign w:val="center"/>
                </w:tcPr>
                <w:p w14:paraId="78A69587">
                  <w:pPr>
                    <w:pStyle w:val="32"/>
                    <w:bidi w:val="0"/>
                    <w:rPr>
                      <w:rFonts w:hint="default" w:eastAsia="宋体"/>
                      <w:lang w:val="en-US" w:eastAsia="zh-CN"/>
                    </w:rPr>
                  </w:pPr>
                  <w:r>
                    <w:rPr>
                      <w:rFonts w:hint="eastAsia"/>
                      <w:lang w:val="en-US" w:eastAsia="zh-CN"/>
                    </w:rPr>
                    <w:t>0.5</w:t>
                  </w:r>
                </w:p>
              </w:tc>
              <w:tc>
                <w:tcPr>
                  <w:tcW w:w="168" w:type="pct"/>
                  <w:shd w:val="clear" w:color="auto" w:fill="auto"/>
                  <w:vAlign w:val="center"/>
                </w:tcPr>
                <w:p w14:paraId="16BBB25D">
                  <w:pPr>
                    <w:pStyle w:val="32"/>
                    <w:bidi w:val="0"/>
                    <w:rPr>
                      <w:rFonts w:hint="default" w:eastAsia="宋体"/>
                      <w:lang w:val="en-US" w:eastAsia="zh-CN"/>
                    </w:rPr>
                  </w:pPr>
                  <w:r>
                    <w:rPr>
                      <w:rFonts w:hint="eastAsia"/>
                      <w:lang w:val="en-US" w:eastAsia="zh-CN"/>
                    </w:rPr>
                    <w:t>7.9</w:t>
                  </w:r>
                </w:p>
              </w:tc>
              <w:tc>
                <w:tcPr>
                  <w:tcW w:w="168" w:type="pct"/>
                  <w:shd w:val="clear" w:color="auto" w:fill="auto"/>
                  <w:vAlign w:val="center"/>
                </w:tcPr>
                <w:p w14:paraId="55E52D95">
                  <w:pPr>
                    <w:pStyle w:val="32"/>
                    <w:bidi w:val="0"/>
                    <w:rPr>
                      <w:rFonts w:hint="eastAsia" w:eastAsia="宋体"/>
                      <w:lang w:val="en-US" w:eastAsia="zh-CN"/>
                    </w:rPr>
                  </w:pPr>
                  <w:r>
                    <w:rPr>
                      <w:rFonts w:hint="eastAsia"/>
                      <w:lang w:val="en-US" w:eastAsia="zh-CN"/>
                    </w:rPr>
                    <w:t>6</w:t>
                  </w:r>
                </w:p>
              </w:tc>
              <w:tc>
                <w:tcPr>
                  <w:tcW w:w="173" w:type="pct"/>
                  <w:shd w:val="clear" w:color="auto" w:fill="auto"/>
                  <w:vAlign w:val="center"/>
                </w:tcPr>
                <w:p w14:paraId="68406348">
                  <w:pPr>
                    <w:pStyle w:val="32"/>
                    <w:bidi w:val="0"/>
                    <w:rPr>
                      <w:rFonts w:hint="default" w:eastAsia="宋体"/>
                      <w:lang w:val="en-US" w:eastAsia="zh-CN"/>
                    </w:rPr>
                  </w:pPr>
                  <w:r>
                    <w:rPr>
                      <w:rFonts w:hint="eastAsia"/>
                      <w:lang w:val="en-US" w:eastAsia="zh-CN"/>
                    </w:rPr>
                    <w:t>7</w:t>
                  </w:r>
                </w:p>
              </w:tc>
              <w:tc>
                <w:tcPr>
                  <w:tcW w:w="190" w:type="pct"/>
                  <w:shd w:val="clear" w:color="auto" w:fill="auto"/>
                  <w:vAlign w:val="center"/>
                </w:tcPr>
                <w:p w14:paraId="54A30D60">
                  <w:pPr>
                    <w:pStyle w:val="32"/>
                    <w:bidi w:val="0"/>
                    <w:rPr>
                      <w:rFonts w:hint="default" w:eastAsia="宋体"/>
                      <w:lang w:val="en-US" w:eastAsia="zh-CN"/>
                    </w:rPr>
                  </w:pPr>
                  <w:r>
                    <w:rPr>
                      <w:rFonts w:hint="eastAsia"/>
                      <w:lang w:val="en-US" w:eastAsia="zh-CN"/>
                    </w:rPr>
                    <w:t>1</w:t>
                  </w:r>
                </w:p>
              </w:tc>
              <w:tc>
                <w:tcPr>
                  <w:tcW w:w="242" w:type="pct"/>
                  <w:shd w:val="clear" w:color="auto" w:fill="auto"/>
                  <w:vAlign w:val="center"/>
                </w:tcPr>
                <w:p w14:paraId="23AFA04A">
                  <w:pPr>
                    <w:pStyle w:val="32"/>
                    <w:bidi w:val="0"/>
                    <w:rPr>
                      <w:rFonts w:hint="default" w:eastAsia="宋体"/>
                      <w:lang w:val="en-US" w:eastAsia="zh-CN"/>
                    </w:rPr>
                  </w:pPr>
                  <w:r>
                    <w:rPr>
                      <w:rFonts w:hint="eastAsia"/>
                      <w:lang w:val="en-US" w:eastAsia="zh-CN"/>
                    </w:rPr>
                    <w:t>70.5</w:t>
                  </w:r>
                </w:p>
              </w:tc>
              <w:tc>
                <w:tcPr>
                  <w:tcW w:w="226" w:type="pct"/>
                  <w:shd w:val="clear" w:color="auto" w:fill="auto"/>
                  <w:vAlign w:val="center"/>
                </w:tcPr>
                <w:p w14:paraId="5BDDE24C">
                  <w:pPr>
                    <w:pStyle w:val="32"/>
                    <w:bidi w:val="0"/>
                    <w:rPr>
                      <w:rFonts w:hint="default" w:eastAsia="宋体"/>
                      <w:lang w:val="en-US" w:eastAsia="zh-CN"/>
                    </w:rPr>
                  </w:pPr>
                  <w:r>
                    <w:rPr>
                      <w:rFonts w:hint="eastAsia"/>
                      <w:lang w:val="en-US" w:eastAsia="zh-CN"/>
                    </w:rPr>
                    <w:t>70.6</w:t>
                  </w:r>
                </w:p>
              </w:tc>
              <w:tc>
                <w:tcPr>
                  <w:tcW w:w="237" w:type="pct"/>
                  <w:shd w:val="clear" w:color="auto" w:fill="auto"/>
                  <w:vAlign w:val="center"/>
                </w:tcPr>
                <w:p w14:paraId="7C10F22A">
                  <w:pPr>
                    <w:pStyle w:val="32"/>
                    <w:bidi w:val="0"/>
                    <w:rPr>
                      <w:rFonts w:hint="default" w:eastAsia="宋体"/>
                      <w:lang w:val="en-US" w:eastAsia="zh-CN"/>
                    </w:rPr>
                  </w:pPr>
                  <w:r>
                    <w:rPr>
                      <w:rFonts w:hint="eastAsia"/>
                      <w:lang w:val="en-US" w:eastAsia="zh-CN"/>
                    </w:rPr>
                    <w:t>70.6</w:t>
                  </w:r>
                </w:p>
              </w:tc>
              <w:tc>
                <w:tcPr>
                  <w:tcW w:w="242" w:type="pct"/>
                  <w:shd w:val="clear" w:color="auto" w:fill="auto"/>
                  <w:vAlign w:val="center"/>
                </w:tcPr>
                <w:p w14:paraId="4A5DB7E4">
                  <w:pPr>
                    <w:pStyle w:val="32"/>
                    <w:bidi w:val="0"/>
                    <w:rPr>
                      <w:rFonts w:hint="default" w:eastAsia="宋体"/>
                      <w:lang w:val="en-US" w:eastAsia="zh-CN"/>
                    </w:rPr>
                  </w:pPr>
                  <w:r>
                    <w:rPr>
                      <w:rFonts w:hint="eastAsia"/>
                      <w:lang w:val="en-US" w:eastAsia="zh-CN"/>
                    </w:rPr>
                    <w:t>75.6</w:t>
                  </w:r>
                </w:p>
              </w:tc>
              <w:tc>
                <w:tcPr>
                  <w:tcW w:w="137" w:type="pct"/>
                  <w:vMerge w:val="continue"/>
                  <w:shd w:val="clear" w:color="auto" w:fill="auto"/>
                  <w:vAlign w:val="center"/>
                </w:tcPr>
                <w:p w14:paraId="6B255A9F">
                  <w:pPr>
                    <w:pStyle w:val="32"/>
                    <w:bidi w:val="0"/>
                    <w:rPr>
                      <w:rFonts w:hint="eastAsia"/>
                    </w:rPr>
                  </w:pPr>
                </w:p>
              </w:tc>
              <w:tc>
                <w:tcPr>
                  <w:tcW w:w="178" w:type="pct"/>
                  <w:shd w:val="clear" w:color="auto" w:fill="auto"/>
                  <w:vAlign w:val="center"/>
                </w:tcPr>
                <w:p w14:paraId="750DFFD3">
                  <w:pPr>
                    <w:pStyle w:val="32"/>
                    <w:bidi w:val="0"/>
                    <w:rPr>
                      <w:rFonts w:hint="default"/>
                    </w:rPr>
                  </w:pPr>
                  <w:r>
                    <w:rPr>
                      <w:rFonts w:hint="default"/>
                      <w:lang w:val="en-US" w:eastAsia="zh-CN"/>
                    </w:rPr>
                    <w:t>15</w:t>
                  </w:r>
                </w:p>
              </w:tc>
              <w:tc>
                <w:tcPr>
                  <w:tcW w:w="258" w:type="pct"/>
                  <w:shd w:val="clear" w:color="auto" w:fill="auto"/>
                  <w:vAlign w:val="center"/>
                </w:tcPr>
                <w:p w14:paraId="7D45E050">
                  <w:pPr>
                    <w:pStyle w:val="32"/>
                    <w:bidi w:val="0"/>
                    <w:rPr>
                      <w:rFonts w:hint="default" w:eastAsia="宋体"/>
                      <w:lang w:val="en-US" w:eastAsia="zh-CN"/>
                    </w:rPr>
                  </w:pPr>
                  <w:r>
                    <w:rPr>
                      <w:rFonts w:hint="eastAsia"/>
                      <w:lang w:val="en-US" w:eastAsia="zh-CN"/>
                    </w:rPr>
                    <w:t>49.5</w:t>
                  </w:r>
                </w:p>
              </w:tc>
              <w:tc>
                <w:tcPr>
                  <w:tcW w:w="258" w:type="pct"/>
                  <w:shd w:val="clear" w:color="auto" w:fill="auto"/>
                  <w:vAlign w:val="center"/>
                </w:tcPr>
                <w:p w14:paraId="405727B4">
                  <w:pPr>
                    <w:pStyle w:val="32"/>
                    <w:bidi w:val="0"/>
                    <w:rPr>
                      <w:rFonts w:hint="default" w:eastAsia="宋体"/>
                      <w:lang w:val="en-US" w:eastAsia="zh-CN"/>
                    </w:rPr>
                  </w:pPr>
                  <w:r>
                    <w:rPr>
                      <w:rFonts w:hint="eastAsia"/>
                      <w:lang w:val="en-US" w:eastAsia="zh-CN"/>
                    </w:rPr>
                    <w:t>49.6</w:t>
                  </w:r>
                </w:p>
              </w:tc>
              <w:tc>
                <w:tcPr>
                  <w:tcW w:w="258" w:type="pct"/>
                  <w:shd w:val="clear" w:color="auto" w:fill="auto"/>
                  <w:vAlign w:val="center"/>
                </w:tcPr>
                <w:p w14:paraId="23D5A9EA">
                  <w:pPr>
                    <w:pStyle w:val="32"/>
                    <w:bidi w:val="0"/>
                    <w:rPr>
                      <w:rFonts w:hint="default" w:eastAsia="宋体"/>
                      <w:lang w:val="en-US" w:eastAsia="zh-CN"/>
                    </w:rPr>
                  </w:pPr>
                  <w:r>
                    <w:rPr>
                      <w:rFonts w:hint="eastAsia"/>
                      <w:lang w:val="en-US" w:eastAsia="zh-CN"/>
                    </w:rPr>
                    <w:t>49.6</w:t>
                  </w:r>
                </w:p>
              </w:tc>
              <w:tc>
                <w:tcPr>
                  <w:tcW w:w="260" w:type="pct"/>
                  <w:shd w:val="clear" w:color="auto" w:fill="auto"/>
                  <w:vAlign w:val="center"/>
                </w:tcPr>
                <w:p w14:paraId="2D3D648B">
                  <w:pPr>
                    <w:pStyle w:val="32"/>
                    <w:bidi w:val="0"/>
                    <w:rPr>
                      <w:rFonts w:hint="default" w:eastAsia="宋体"/>
                      <w:lang w:val="en-US" w:eastAsia="zh-CN"/>
                    </w:rPr>
                  </w:pPr>
                  <w:r>
                    <w:rPr>
                      <w:rFonts w:hint="eastAsia"/>
                      <w:lang w:val="en-US" w:eastAsia="zh-CN"/>
                    </w:rPr>
                    <w:t>54.6</w:t>
                  </w:r>
                </w:p>
              </w:tc>
              <w:tc>
                <w:tcPr>
                  <w:tcW w:w="193" w:type="pct"/>
                  <w:shd w:val="clear" w:color="auto" w:fill="auto"/>
                  <w:vAlign w:val="center"/>
                </w:tcPr>
                <w:p w14:paraId="2776C224">
                  <w:pPr>
                    <w:pStyle w:val="32"/>
                    <w:bidi w:val="0"/>
                    <w:rPr>
                      <w:rFonts w:hint="default"/>
                    </w:rPr>
                  </w:pPr>
                  <w:r>
                    <w:rPr>
                      <w:rFonts w:hint="default"/>
                      <w:lang w:val="en-US" w:eastAsia="zh-CN"/>
                    </w:rPr>
                    <w:t>1</w:t>
                  </w:r>
                </w:p>
              </w:tc>
            </w:tr>
            <w:tr w14:paraId="1EFB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 w:type="pct"/>
                  <w:shd w:val="clear" w:color="auto" w:fill="auto"/>
                  <w:vAlign w:val="center"/>
                </w:tcPr>
                <w:p w14:paraId="480902BC">
                  <w:pPr>
                    <w:pStyle w:val="32"/>
                    <w:bidi w:val="0"/>
                    <w:rPr>
                      <w:rFonts w:hint="default"/>
                      <w:lang w:val="en-US" w:eastAsia="zh-CN"/>
                    </w:rPr>
                  </w:pPr>
                  <w:r>
                    <w:rPr>
                      <w:rFonts w:hint="eastAsia"/>
                      <w:lang w:val="en-US" w:eastAsia="zh-CN"/>
                    </w:rPr>
                    <w:t>4</w:t>
                  </w:r>
                </w:p>
              </w:tc>
              <w:tc>
                <w:tcPr>
                  <w:tcW w:w="273" w:type="pct"/>
                  <w:shd w:val="clear" w:color="auto" w:fill="auto"/>
                  <w:vAlign w:val="center"/>
                </w:tcPr>
                <w:p w14:paraId="14E70ABA">
                  <w:pPr>
                    <w:pStyle w:val="32"/>
                    <w:bidi w:val="0"/>
                    <w:rPr>
                      <w:rFonts w:hint="default" w:eastAsia="宋体"/>
                      <w:lang w:val="en-US" w:eastAsia="zh-CN"/>
                    </w:rPr>
                  </w:pPr>
                  <w:r>
                    <w:rPr>
                      <w:rFonts w:hint="eastAsia"/>
                      <w:lang w:val="en-US" w:eastAsia="zh-CN"/>
                    </w:rPr>
                    <w:t>废气处理间</w:t>
                  </w:r>
                </w:p>
              </w:tc>
              <w:tc>
                <w:tcPr>
                  <w:tcW w:w="254" w:type="pct"/>
                  <w:shd w:val="clear" w:color="auto" w:fill="auto"/>
                  <w:vAlign w:val="center"/>
                </w:tcPr>
                <w:p w14:paraId="0E9CE278">
                  <w:pPr>
                    <w:pStyle w:val="3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环保风机</w:t>
                  </w:r>
                </w:p>
              </w:tc>
              <w:tc>
                <w:tcPr>
                  <w:tcW w:w="173" w:type="pct"/>
                  <w:shd w:val="clear" w:color="auto" w:fill="auto"/>
                  <w:vAlign w:val="center"/>
                </w:tcPr>
                <w:p w14:paraId="7FF548CD">
                  <w:pPr>
                    <w:pStyle w:val="32"/>
                    <w:bidi w:val="0"/>
                    <w:rPr>
                      <w:rFonts w:hint="default"/>
                      <w:lang w:val="en-US" w:eastAsia="zh-CN"/>
                    </w:rPr>
                  </w:pPr>
                  <w:r>
                    <w:rPr>
                      <w:rFonts w:hint="eastAsia"/>
                      <w:lang w:val="en-US" w:eastAsia="zh-CN"/>
                    </w:rPr>
                    <w:t>85</w:t>
                  </w:r>
                </w:p>
              </w:tc>
              <w:tc>
                <w:tcPr>
                  <w:tcW w:w="168" w:type="pct"/>
                  <w:shd w:val="clear" w:color="auto" w:fill="auto"/>
                  <w:vAlign w:val="center"/>
                </w:tcPr>
                <w:p w14:paraId="5F68593D">
                  <w:pPr>
                    <w:pStyle w:val="32"/>
                    <w:bidi w:val="0"/>
                    <w:rPr>
                      <w:rFonts w:hint="default"/>
                      <w:lang w:val="en-US" w:eastAsia="zh-CN"/>
                    </w:rPr>
                  </w:pPr>
                  <w:r>
                    <w:rPr>
                      <w:rFonts w:hint="eastAsia"/>
                      <w:lang w:val="en-US" w:eastAsia="zh-CN"/>
                    </w:rPr>
                    <w:t>1</w:t>
                  </w:r>
                </w:p>
              </w:tc>
              <w:tc>
                <w:tcPr>
                  <w:tcW w:w="251" w:type="pct"/>
                  <w:vMerge w:val="continue"/>
                  <w:shd w:val="clear" w:color="auto" w:fill="auto"/>
                  <w:vAlign w:val="center"/>
                </w:tcPr>
                <w:p w14:paraId="4150A0AE">
                  <w:pPr>
                    <w:pStyle w:val="32"/>
                    <w:bidi w:val="0"/>
                    <w:rPr>
                      <w:rFonts w:hint="eastAsia"/>
                    </w:rPr>
                  </w:pPr>
                </w:p>
              </w:tc>
              <w:tc>
                <w:tcPr>
                  <w:tcW w:w="179" w:type="pct"/>
                  <w:shd w:val="clear" w:color="auto" w:fill="auto"/>
                  <w:vAlign w:val="center"/>
                </w:tcPr>
                <w:p w14:paraId="2F7BAB04">
                  <w:pPr>
                    <w:pStyle w:val="32"/>
                    <w:bidi w:val="0"/>
                    <w:rPr>
                      <w:rFonts w:hint="default"/>
                      <w:lang w:val="en-US" w:eastAsia="zh-CN"/>
                    </w:rPr>
                  </w:pPr>
                  <w:r>
                    <w:rPr>
                      <w:rFonts w:hint="eastAsia"/>
                      <w:lang w:val="en-US" w:eastAsia="zh-CN"/>
                    </w:rPr>
                    <w:t>7</w:t>
                  </w:r>
                </w:p>
              </w:tc>
              <w:tc>
                <w:tcPr>
                  <w:tcW w:w="179" w:type="pct"/>
                  <w:shd w:val="clear" w:color="auto" w:fill="auto"/>
                  <w:vAlign w:val="center"/>
                </w:tcPr>
                <w:p w14:paraId="0C9329FD">
                  <w:pPr>
                    <w:pStyle w:val="32"/>
                    <w:bidi w:val="0"/>
                    <w:rPr>
                      <w:rFonts w:hint="default"/>
                      <w:lang w:val="en-US" w:eastAsia="zh-CN"/>
                    </w:rPr>
                  </w:pPr>
                  <w:r>
                    <w:rPr>
                      <w:rFonts w:hint="eastAsia"/>
                      <w:lang w:val="en-US" w:eastAsia="zh-CN"/>
                    </w:rPr>
                    <w:t>2</w:t>
                  </w:r>
                </w:p>
              </w:tc>
              <w:tc>
                <w:tcPr>
                  <w:tcW w:w="191" w:type="pct"/>
                  <w:shd w:val="clear" w:color="auto" w:fill="auto"/>
                  <w:vAlign w:val="center"/>
                </w:tcPr>
                <w:p w14:paraId="68FACBBA">
                  <w:pPr>
                    <w:pStyle w:val="32"/>
                    <w:bidi w:val="0"/>
                    <w:rPr>
                      <w:rFonts w:hint="default"/>
                      <w:lang w:val="en-US" w:eastAsia="zh-CN"/>
                    </w:rPr>
                  </w:pPr>
                  <w:r>
                    <w:rPr>
                      <w:rFonts w:hint="eastAsia"/>
                      <w:lang w:val="en-US" w:eastAsia="zh-CN"/>
                    </w:rPr>
                    <w:t>0.5</w:t>
                  </w:r>
                </w:p>
              </w:tc>
              <w:tc>
                <w:tcPr>
                  <w:tcW w:w="168" w:type="pct"/>
                  <w:shd w:val="clear" w:color="auto" w:fill="auto"/>
                  <w:vAlign w:val="center"/>
                </w:tcPr>
                <w:p w14:paraId="663D1393">
                  <w:pPr>
                    <w:pStyle w:val="32"/>
                    <w:bidi w:val="0"/>
                    <w:rPr>
                      <w:rFonts w:hint="default"/>
                      <w:lang w:val="en-US" w:eastAsia="zh-CN"/>
                    </w:rPr>
                  </w:pPr>
                  <w:r>
                    <w:rPr>
                      <w:rFonts w:hint="eastAsia"/>
                      <w:lang w:val="en-US" w:eastAsia="zh-CN"/>
                    </w:rPr>
                    <w:t>4</w:t>
                  </w:r>
                </w:p>
              </w:tc>
              <w:tc>
                <w:tcPr>
                  <w:tcW w:w="168" w:type="pct"/>
                  <w:shd w:val="clear" w:color="auto" w:fill="auto"/>
                  <w:vAlign w:val="center"/>
                </w:tcPr>
                <w:p w14:paraId="097C1ED3">
                  <w:pPr>
                    <w:pStyle w:val="32"/>
                    <w:bidi w:val="0"/>
                    <w:rPr>
                      <w:rFonts w:hint="default"/>
                      <w:lang w:val="en-US" w:eastAsia="zh-CN"/>
                    </w:rPr>
                  </w:pPr>
                  <w:r>
                    <w:rPr>
                      <w:rFonts w:hint="eastAsia"/>
                      <w:lang w:val="en-US" w:eastAsia="zh-CN"/>
                    </w:rPr>
                    <w:t>7</w:t>
                  </w:r>
                </w:p>
              </w:tc>
              <w:tc>
                <w:tcPr>
                  <w:tcW w:w="173" w:type="pct"/>
                  <w:shd w:val="clear" w:color="auto" w:fill="auto"/>
                  <w:vAlign w:val="center"/>
                </w:tcPr>
                <w:p w14:paraId="1AD4FF24">
                  <w:pPr>
                    <w:pStyle w:val="32"/>
                    <w:bidi w:val="0"/>
                    <w:rPr>
                      <w:rFonts w:hint="default"/>
                      <w:lang w:val="en-US" w:eastAsia="zh-CN"/>
                    </w:rPr>
                  </w:pPr>
                  <w:r>
                    <w:rPr>
                      <w:rFonts w:hint="eastAsia"/>
                      <w:lang w:val="en-US" w:eastAsia="zh-CN"/>
                    </w:rPr>
                    <w:t>2</w:t>
                  </w:r>
                </w:p>
              </w:tc>
              <w:tc>
                <w:tcPr>
                  <w:tcW w:w="190" w:type="pct"/>
                  <w:shd w:val="clear" w:color="auto" w:fill="auto"/>
                  <w:vAlign w:val="center"/>
                </w:tcPr>
                <w:p w14:paraId="3ADBF350">
                  <w:pPr>
                    <w:pStyle w:val="32"/>
                    <w:bidi w:val="0"/>
                    <w:rPr>
                      <w:rFonts w:hint="default"/>
                      <w:lang w:val="en-US" w:eastAsia="zh-CN"/>
                    </w:rPr>
                  </w:pPr>
                  <w:r>
                    <w:rPr>
                      <w:rFonts w:hint="eastAsia"/>
                      <w:lang w:val="en-US" w:eastAsia="zh-CN"/>
                    </w:rPr>
                    <w:t>1</w:t>
                  </w:r>
                </w:p>
              </w:tc>
              <w:tc>
                <w:tcPr>
                  <w:tcW w:w="242" w:type="pct"/>
                  <w:shd w:val="clear" w:color="auto" w:fill="auto"/>
                  <w:vAlign w:val="center"/>
                </w:tcPr>
                <w:p w14:paraId="435801AD">
                  <w:pPr>
                    <w:pStyle w:val="32"/>
                    <w:bidi w:val="0"/>
                    <w:rPr>
                      <w:rFonts w:hint="default"/>
                      <w:lang w:val="en-US" w:eastAsia="zh-CN"/>
                    </w:rPr>
                  </w:pPr>
                  <w:r>
                    <w:rPr>
                      <w:rFonts w:hint="eastAsia"/>
                      <w:lang w:val="en-US" w:eastAsia="zh-CN"/>
                    </w:rPr>
                    <w:t>70.9</w:t>
                  </w:r>
                </w:p>
              </w:tc>
              <w:tc>
                <w:tcPr>
                  <w:tcW w:w="226" w:type="pct"/>
                  <w:shd w:val="clear" w:color="auto" w:fill="auto"/>
                  <w:vAlign w:val="center"/>
                </w:tcPr>
                <w:p w14:paraId="4976BF6E">
                  <w:pPr>
                    <w:pStyle w:val="32"/>
                    <w:bidi w:val="0"/>
                    <w:rPr>
                      <w:rFonts w:hint="default"/>
                      <w:lang w:val="en-US" w:eastAsia="zh-CN"/>
                    </w:rPr>
                  </w:pPr>
                  <w:r>
                    <w:rPr>
                      <w:rFonts w:hint="eastAsia"/>
                      <w:lang w:val="en-US" w:eastAsia="zh-CN"/>
                    </w:rPr>
                    <w:t>70.6</w:t>
                  </w:r>
                </w:p>
              </w:tc>
              <w:tc>
                <w:tcPr>
                  <w:tcW w:w="237" w:type="pct"/>
                  <w:shd w:val="clear" w:color="auto" w:fill="auto"/>
                  <w:vAlign w:val="center"/>
                </w:tcPr>
                <w:p w14:paraId="6293EAF1">
                  <w:pPr>
                    <w:pStyle w:val="32"/>
                    <w:bidi w:val="0"/>
                    <w:rPr>
                      <w:rFonts w:hint="default"/>
                      <w:lang w:val="en-US" w:eastAsia="zh-CN"/>
                    </w:rPr>
                  </w:pPr>
                  <w:r>
                    <w:rPr>
                      <w:rFonts w:hint="eastAsia"/>
                      <w:lang w:val="en-US" w:eastAsia="zh-CN"/>
                    </w:rPr>
                    <w:t>72.3</w:t>
                  </w:r>
                </w:p>
              </w:tc>
              <w:tc>
                <w:tcPr>
                  <w:tcW w:w="242" w:type="pct"/>
                  <w:shd w:val="clear" w:color="auto" w:fill="auto"/>
                  <w:vAlign w:val="center"/>
                </w:tcPr>
                <w:p w14:paraId="25999009">
                  <w:pPr>
                    <w:pStyle w:val="32"/>
                    <w:bidi w:val="0"/>
                    <w:rPr>
                      <w:rFonts w:hint="default"/>
                      <w:lang w:val="en-US" w:eastAsia="zh-CN"/>
                    </w:rPr>
                  </w:pPr>
                  <w:r>
                    <w:rPr>
                      <w:rFonts w:hint="eastAsia"/>
                      <w:lang w:val="en-US" w:eastAsia="zh-CN"/>
                    </w:rPr>
                    <w:t>75.6</w:t>
                  </w:r>
                </w:p>
              </w:tc>
              <w:tc>
                <w:tcPr>
                  <w:tcW w:w="137" w:type="pct"/>
                  <w:vMerge w:val="continue"/>
                  <w:shd w:val="clear" w:color="auto" w:fill="auto"/>
                  <w:vAlign w:val="center"/>
                </w:tcPr>
                <w:p w14:paraId="5ED558D5">
                  <w:pPr>
                    <w:pStyle w:val="32"/>
                    <w:bidi w:val="0"/>
                    <w:rPr>
                      <w:rFonts w:hint="eastAsia"/>
                    </w:rPr>
                  </w:pPr>
                </w:p>
              </w:tc>
              <w:tc>
                <w:tcPr>
                  <w:tcW w:w="178" w:type="pct"/>
                  <w:shd w:val="clear" w:color="auto" w:fill="auto"/>
                  <w:vAlign w:val="center"/>
                </w:tcPr>
                <w:p w14:paraId="5B9EBF6A">
                  <w:pPr>
                    <w:pStyle w:val="32"/>
                    <w:bidi w:val="0"/>
                    <w:rPr>
                      <w:rFonts w:hint="default"/>
                      <w:lang w:val="en-US" w:eastAsia="zh-CN"/>
                    </w:rPr>
                  </w:pPr>
                  <w:r>
                    <w:rPr>
                      <w:rFonts w:hint="eastAsia"/>
                      <w:lang w:val="en-US" w:eastAsia="zh-CN"/>
                    </w:rPr>
                    <w:t>15</w:t>
                  </w:r>
                </w:p>
              </w:tc>
              <w:tc>
                <w:tcPr>
                  <w:tcW w:w="258" w:type="pct"/>
                  <w:shd w:val="clear" w:color="auto" w:fill="auto"/>
                  <w:vAlign w:val="center"/>
                </w:tcPr>
                <w:p w14:paraId="6C7A3307">
                  <w:pPr>
                    <w:pStyle w:val="32"/>
                    <w:bidi w:val="0"/>
                    <w:rPr>
                      <w:rFonts w:hint="default"/>
                      <w:lang w:val="en-US" w:eastAsia="zh-CN"/>
                    </w:rPr>
                  </w:pPr>
                  <w:r>
                    <w:rPr>
                      <w:rFonts w:hint="eastAsia"/>
                      <w:lang w:val="en-US" w:eastAsia="zh-CN"/>
                    </w:rPr>
                    <w:t>49.9</w:t>
                  </w:r>
                </w:p>
              </w:tc>
              <w:tc>
                <w:tcPr>
                  <w:tcW w:w="258" w:type="pct"/>
                  <w:shd w:val="clear" w:color="auto" w:fill="auto"/>
                  <w:vAlign w:val="center"/>
                </w:tcPr>
                <w:p w14:paraId="0C8E196C">
                  <w:pPr>
                    <w:pStyle w:val="32"/>
                    <w:bidi w:val="0"/>
                    <w:rPr>
                      <w:rFonts w:hint="default"/>
                      <w:lang w:val="en-US" w:eastAsia="zh-CN"/>
                    </w:rPr>
                  </w:pPr>
                  <w:r>
                    <w:rPr>
                      <w:rFonts w:hint="eastAsia"/>
                      <w:lang w:val="en-US" w:eastAsia="zh-CN"/>
                    </w:rPr>
                    <w:t>49.6</w:t>
                  </w:r>
                </w:p>
              </w:tc>
              <w:tc>
                <w:tcPr>
                  <w:tcW w:w="258" w:type="pct"/>
                  <w:shd w:val="clear" w:color="auto" w:fill="auto"/>
                  <w:vAlign w:val="center"/>
                </w:tcPr>
                <w:p w14:paraId="60F5562D">
                  <w:pPr>
                    <w:pStyle w:val="32"/>
                    <w:bidi w:val="0"/>
                    <w:rPr>
                      <w:rFonts w:hint="default"/>
                      <w:lang w:val="en-US" w:eastAsia="zh-CN"/>
                    </w:rPr>
                  </w:pPr>
                  <w:r>
                    <w:rPr>
                      <w:rFonts w:hint="eastAsia"/>
                      <w:lang w:val="en-US" w:eastAsia="zh-CN"/>
                    </w:rPr>
                    <w:t>51.3</w:t>
                  </w:r>
                </w:p>
              </w:tc>
              <w:tc>
                <w:tcPr>
                  <w:tcW w:w="260" w:type="pct"/>
                  <w:shd w:val="clear" w:color="auto" w:fill="auto"/>
                  <w:vAlign w:val="center"/>
                </w:tcPr>
                <w:p w14:paraId="4BB3B741">
                  <w:pPr>
                    <w:pStyle w:val="32"/>
                    <w:bidi w:val="0"/>
                    <w:rPr>
                      <w:rFonts w:hint="default"/>
                      <w:lang w:val="en-US" w:eastAsia="zh-CN"/>
                    </w:rPr>
                  </w:pPr>
                  <w:r>
                    <w:rPr>
                      <w:rFonts w:hint="eastAsia"/>
                      <w:lang w:val="en-US" w:eastAsia="zh-CN"/>
                    </w:rPr>
                    <w:t>54.6</w:t>
                  </w:r>
                </w:p>
              </w:tc>
              <w:tc>
                <w:tcPr>
                  <w:tcW w:w="193" w:type="pct"/>
                  <w:shd w:val="clear" w:color="auto" w:fill="auto"/>
                  <w:vAlign w:val="center"/>
                </w:tcPr>
                <w:p w14:paraId="462ABDD7">
                  <w:pPr>
                    <w:pStyle w:val="32"/>
                    <w:bidi w:val="0"/>
                    <w:rPr>
                      <w:rFonts w:hint="default"/>
                      <w:lang w:val="en-US" w:eastAsia="zh-CN"/>
                    </w:rPr>
                  </w:pPr>
                  <w:r>
                    <w:rPr>
                      <w:rFonts w:hint="eastAsia"/>
                      <w:lang w:val="en-US" w:eastAsia="zh-CN"/>
                    </w:rPr>
                    <w:t>1</w:t>
                  </w:r>
                </w:p>
              </w:tc>
            </w:tr>
            <w:tr w14:paraId="03EB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24"/>
                  <w:shd w:val="clear" w:color="auto" w:fill="auto"/>
                  <w:vAlign w:val="center"/>
                </w:tcPr>
                <w:p w14:paraId="28189E26">
                  <w:pPr>
                    <w:pStyle w:val="32"/>
                    <w:bidi w:val="0"/>
                    <w:jc w:val="left"/>
                    <w:rPr>
                      <w:rFonts w:hint="eastAsia"/>
                      <w:b/>
                      <w:bCs/>
                      <w:sz w:val="18"/>
                      <w:szCs w:val="18"/>
                      <w:lang w:val="en-US" w:eastAsia="zh-CN"/>
                    </w:rPr>
                  </w:pPr>
                  <w:r>
                    <w:rPr>
                      <w:rFonts w:hint="eastAsia"/>
                      <w:b/>
                      <w:bCs/>
                      <w:sz w:val="18"/>
                      <w:szCs w:val="18"/>
                      <w:lang w:val="en-US" w:eastAsia="zh-CN"/>
                    </w:rPr>
                    <w:t>备注：①以各建筑物西南角为原点；</w:t>
                  </w:r>
                </w:p>
                <w:p w14:paraId="32506947">
                  <w:pPr>
                    <w:pStyle w:val="32"/>
                    <w:bidi w:val="0"/>
                    <w:jc w:val="left"/>
                    <w:rPr>
                      <w:rFonts w:hint="eastAsia"/>
                      <w:b/>
                      <w:bCs/>
                      <w:sz w:val="18"/>
                      <w:szCs w:val="18"/>
                      <w:lang w:val="en-US" w:eastAsia="zh-CN"/>
                    </w:rPr>
                  </w:pPr>
                  <w:r>
                    <w:rPr>
                      <w:rFonts w:hint="eastAsia"/>
                      <w:b/>
                      <w:bCs/>
                      <w:sz w:val="18"/>
                      <w:szCs w:val="18"/>
                      <w:lang w:val="en-US" w:eastAsia="zh-CN"/>
                    </w:rPr>
                    <w:t>②风机房位于主楼地下1层，长×宽×高=6.6m×4m×3m；</w:t>
                  </w:r>
                </w:p>
                <w:p w14:paraId="0945F73D">
                  <w:pPr>
                    <w:pStyle w:val="32"/>
                    <w:bidi w:val="0"/>
                    <w:jc w:val="left"/>
                    <w:rPr>
                      <w:rFonts w:hint="default"/>
                      <w:lang w:val="en-US" w:eastAsia="zh-CN"/>
                    </w:rPr>
                  </w:pPr>
                  <w:r>
                    <w:rPr>
                      <w:rFonts w:hint="eastAsia"/>
                      <w:b/>
                      <w:bCs/>
                      <w:sz w:val="18"/>
                      <w:szCs w:val="18"/>
                      <w:lang w:val="en-US" w:eastAsia="zh-CN"/>
                    </w:rPr>
                    <w:t>③污水处理站、废气处理间位于主楼南侧，污水处理站长×宽×高=13.9m×8m×3.5m，废气处理间长×宽×高=11m×3m×3m.。</w:t>
                  </w:r>
                </w:p>
              </w:tc>
            </w:tr>
          </w:tbl>
          <w:p w14:paraId="1B3D9416">
            <w:pPr>
              <w:jc w:val="both"/>
              <w:rPr>
                <w:vertAlign w:val="baseline"/>
              </w:rPr>
            </w:pPr>
          </w:p>
        </w:tc>
      </w:tr>
    </w:tbl>
    <w:p w14:paraId="1763F68B">
      <w:pPr>
        <w:sectPr>
          <w:pgSz w:w="16838" w:h="11906" w:orient="landscape"/>
          <w:pgMar w:top="1417" w:right="1417" w:bottom="1417" w:left="1417" w:header="737" w:footer="850" w:gutter="0"/>
          <w:pgNumType w:fmt="decimal"/>
          <w:cols w:space="0" w:num="1"/>
          <w:docGrid w:type="lines" w:linePitch="336" w:charSpace="0"/>
        </w:sect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786"/>
      </w:tblGrid>
      <w:tr w14:paraId="51AF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5" w:hRule="atLeast"/>
          <w:jc w:val="center"/>
        </w:trPr>
        <w:tc>
          <w:tcPr>
            <w:tcW w:w="270" w:type="pct"/>
            <w:tcBorders>
              <w:tl2br w:val="nil"/>
              <w:tr2bl w:val="nil"/>
            </w:tcBorders>
            <w:vAlign w:val="center"/>
          </w:tcPr>
          <w:p w14:paraId="745E9390">
            <w:pPr>
              <w:spacing w:afterLines="100"/>
              <w:ind w:firstLine="0" w:firstLineChars="0"/>
              <w:jc w:val="center"/>
              <w:rPr>
                <w:color w:val="auto"/>
                <w:sz w:val="28"/>
                <w:szCs w:val="28"/>
              </w:rPr>
            </w:pPr>
            <w:r>
              <w:rPr>
                <w:rFonts w:hint="eastAsia" w:ascii="宋体"/>
                <w:color w:val="auto"/>
              </w:rPr>
              <w:t>运营期环境影响和保护措施</w:t>
            </w:r>
          </w:p>
        </w:tc>
        <w:tc>
          <w:tcPr>
            <w:tcW w:w="4729" w:type="pct"/>
            <w:tcBorders>
              <w:tl2br w:val="nil"/>
              <w:tr2bl w:val="nil"/>
            </w:tcBorders>
          </w:tcPr>
          <w:p w14:paraId="64F95ECD">
            <w:pPr>
              <w:ind w:firstLine="482"/>
              <w:rPr>
                <w:b/>
                <w:bCs/>
                <w:color w:val="auto"/>
              </w:rPr>
            </w:pPr>
            <w:r>
              <w:rPr>
                <w:rFonts w:hint="eastAsia"/>
                <w:b/>
                <w:bCs/>
                <w:color w:val="auto"/>
              </w:rPr>
              <w:t>2、噪声防治措施</w:t>
            </w:r>
          </w:p>
          <w:p w14:paraId="693460B4">
            <w:pPr>
              <w:ind w:firstLine="480"/>
              <w:rPr>
                <w:rFonts w:hint="eastAsia" w:eastAsia="宋体"/>
                <w:color w:val="auto"/>
                <w:lang w:val="en-US" w:eastAsia="zh-CN"/>
              </w:rPr>
            </w:pPr>
            <w:r>
              <w:rPr>
                <w:rFonts w:hint="eastAsia"/>
                <w:color w:val="auto"/>
              </w:rPr>
              <w:t>项目嗓声包括就诊时车流和人流产生的交通嗓声和病员喧闹声，以及设备嗓声。</w:t>
            </w:r>
            <w:r>
              <w:rPr>
                <w:rFonts w:hint="eastAsia"/>
                <w:color w:val="auto"/>
                <w:lang w:val="en-US" w:eastAsia="zh-CN"/>
              </w:rPr>
              <w:t>本项目风机房置于主楼负一层，通</w:t>
            </w:r>
            <w:r>
              <w:rPr>
                <w:rFonts w:hint="eastAsia" w:ascii="Times New Roman" w:hAnsi="Times New Roman" w:eastAsia="宋体" w:cs="Times New Roman"/>
                <w:color w:val="auto"/>
                <w:lang w:val="en-US" w:eastAsia="zh-CN"/>
              </w:rPr>
              <w:t>过</w:t>
            </w:r>
            <w:r>
              <w:rPr>
                <w:rFonts w:hint="eastAsia" w:ascii="Times New Roman" w:hAnsi="Times New Roman" w:eastAsia="宋体" w:cs="Times New Roman"/>
                <w:color w:val="auto"/>
              </w:rPr>
              <w:t>风机房内或外围加装隔音材料</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安装减振垫等措施可有效降低风机噪声</w:t>
            </w:r>
            <w:r>
              <w:rPr>
                <w:rFonts w:hint="eastAsia" w:ascii="Times New Roman" w:hAnsi="Times New Roman" w:eastAsia="宋体" w:cs="Times New Roman"/>
                <w:color w:val="auto"/>
              </w:rPr>
              <w:t>，污</w:t>
            </w:r>
            <w:r>
              <w:rPr>
                <w:rFonts w:hint="eastAsia"/>
                <w:color w:val="auto"/>
              </w:rPr>
              <w:t>水站水泵安装基础减震且设备布置在密闭房间中，经墙体隔声和距离衰减后设备运行嗓声能实现达标排放，对周边环境影响不大。建设单位对进入医院就诊人员进行提醒，设置禁止喧标识，加强医院门前进出车辆嗓声的管理，设置禁鸣、限速等措施可进一步降低</w:t>
            </w:r>
            <w:r>
              <w:rPr>
                <w:rFonts w:hint="eastAsia"/>
                <w:color w:val="auto"/>
                <w:lang w:val="en-US" w:eastAsia="zh-CN"/>
              </w:rPr>
              <w:t>人员</w:t>
            </w:r>
            <w:r>
              <w:rPr>
                <w:rFonts w:hint="eastAsia"/>
                <w:color w:val="auto"/>
              </w:rPr>
              <w:t>活动嗓声对外环境的</w:t>
            </w:r>
            <w:r>
              <w:rPr>
                <w:rFonts w:hint="eastAsia"/>
                <w:color w:val="auto"/>
                <w:lang w:val="en-US" w:eastAsia="zh-CN"/>
              </w:rPr>
              <w:t>影响。</w:t>
            </w:r>
          </w:p>
          <w:p w14:paraId="6CE3C63A">
            <w:pPr>
              <w:ind w:firstLine="480"/>
              <w:rPr>
                <w:rFonts w:hint="eastAsia"/>
                <w:color w:val="auto"/>
                <w:lang w:eastAsia="zh-CN"/>
              </w:rPr>
            </w:pPr>
            <w:r>
              <w:rPr>
                <w:rFonts w:hint="eastAsia"/>
                <w:color w:val="auto"/>
              </w:rPr>
              <w:t>为防止嗓声源对周围环境及医院内部声环境产生影响，本评价就主要嗓声源治理提出以下防治措施</w:t>
            </w:r>
            <w:r>
              <w:rPr>
                <w:rFonts w:hint="eastAsia"/>
                <w:color w:val="auto"/>
                <w:lang w:eastAsia="zh-CN"/>
              </w:rPr>
              <w:t>：</w:t>
            </w:r>
          </w:p>
          <w:p w14:paraId="69063744">
            <w:pPr>
              <w:numPr>
                <w:ilvl w:val="0"/>
                <w:numId w:val="8"/>
              </w:numPr>
              <w:bidi w:val="0"/>
              <w:rPr>
                <w:rFonts w:hint="eastAsia"/>
                <w:b/>
                <w:bCs/>
                <w:lang w:val="en-US" w:eastAsia="zh-CN"/>
              </w:rPr>
            </w:pPr>
            <w:r>
              <w:rPr>
                <w:rFonts w:hint="eastAsia"/>
                <w:b/>
                <w:bCs/>
                <w:lang w:val="en-US" w:eastAsia="zh-CN"/>
              </w:rPr>
              <w:t>水泵噪声防治</w:t>
            </w:r>
          </w:p>
          <w:p w14:paraId="30B8AF7A">
            <w:pPr>
              <w:bidi w:val="0"/>
              <w:rPr>
                <w:rFonts w:hint="eastAsia"/>
              </w:rPr>
            </w:pPr>
            <w:r>
              <w:rPr>
                <w:rFonts w:hint="eastAsia"/>
                <w:lang w:val="en-US" w:eastAsia="zh-CN"/>
              </w:rPr>
              <w:t>①</w:t>
            </w:r>
            <w:r>
              <w:rPr>
                <w:rFonts w:hint="eastAsia"/>
              </w:rPr>
              <w:t>做好水泵等设备的型号、嗓声级的调研工作，优先选用低嗓声水泵</w:t>
            </w:r>
            <w:r>
              <w:rPr>
                <w:rFonts w:hint="eastAsia"/>
                <w:lang w:eastAsia="zh-CN"/>
              </w:rPr>
              <w:t>。</w:t>
            </w:r>
          </w:p>
          <w:p w14:paraId="2107B5FD">
            <w:pPr>
              <w:ind w:firstLine="480"/>
              <w:rPr>
                <w:rFonts w:hint="eastAsia"/>
                <w:color w:val="auto"/>
                <w:lang w:eastAsia="zh-CN"/>
              </w:rPr>
            </w:pPr>
            <w:r>
              <w:rPr>
                <w:rFonts w:hint="eastAsia"/>
                <w:color w:val="auto"/>
                <w:lang w:val="en-US" w:eastAsia="zh-CN"/>
              </w:rPr>
              <w:t>②</w:t>
            </w:r>
            <w:r>
              <w:rPr>
                <w:rFonts w:hint="eastAsia"/>
                <w:color w:val="auto"/>
              </w:rPr>
              <w:t>水泵应安装在泵房内，并对泵房采取密封等降嗓措施</w:t>
            </w:r>
            <w:r>
              <w:rPr>
                <w:rFonts w:hint="eastAsia"/>
                <w:color w:val="auto"/>
                <w:lang w:eastAsia="zh-CN"/>
              </w:rPr>
              <w:t>；</w:t>
            </w:r>
          </w:p>
          <w:p w14:paraId="2BE30DEF">
            <w:pPr>
              <w:ind w:firstLine="480"/>
              <w:rPr>
                <w:rFonts w:hint="eastAsia"/>
                <w:color w:val="auto"/>
              </w:rPr>
            </w:pPr>
            <w:r>
              <w:rPr>
                <w:rFonts w:hint="eastAsia"/>
                <w:color w:val="auto"/>
                <w:lang w:val="en-US" w:eastAsia="zh-CN"/>
              </w:rPr>
              <w:t>③</w:t>
            </w:r>
            <w:r>
              <w:rPr>
                <w:rFonts w:hint="eastAsia"/>
                <w:color w:val="auto"/>
              </w:rPr>
              <w:t>对水泵的基础、管道采取减振降嗓措施</w:t>
            </w:r>
            <w:r>
              <w:rPr>
                <w:rFonts w:hint="eastAsia"/>
                <w:color w:val="auto"/>
                <w:lang w:eastAsia="zh-CN"/>
              </w:rPr>
              <w:t>；</w:t>
            </w:r>
            <w:r>
              <w:rPr>
                <w:rFonts w:hint="eastAsia"/>
                <w:color w:val="auto"/>
              </w:rPr>
              <w:t>合理布局，将泵房等高嗓声设施布置地下层，利用建筑物、构筑物来阻隔声波的传播，减少对周国环境的影响。</w:t>
            </w:r>
          </w:p>
          <w:p w14:paraId="7C85AEF5">
            <w:pPr>
              <w:ind w:firstLine="480"/>
              <w:rPr>
                <w:rFonts w:hint="eastAsia"/>
                <w:color w:val="auto"/>
              </w:rPr>
            </w:pPr>
            <w:r>
              <w:rPr>
                <w:rFonts w:hint="eastAsia"/>
                <w:color w:val="auto"/>
                <w:lang w:val="en-US" w:eastAsia="zh-CN"/>
              </w:rPr>
              <w:t>④</w:t>
            </w:r>
            <w:r>
              <w:rPr>
                <w:rFonts w:hint="eastAsia"/>
                <w:color w:val="auto"/>
              </w:rPr>
              <w:t>.项目后勤管理部门应对院内配套公建加强管理，并加强设备的日常定期检修和维护，以保证各设备正常运转，以免由于设备故障原因产生较大嗓声扰民现象。</w:t>
            </w:r>
          </w:p>
          <w:p w14:paraId="61C9BC1C">
            <w:pPr>
              <w:ind w:firstLine="480"/>
              <w:rPr>
                <w:rFonts w:hint="eastAsia"/>
                <w:b/>
                <w:bCs/>
                <w:color w:val="auto"/>
              </w:rPr>
            </w:pPr>
            <w:r>
              <w:rPr>
                <w:rFonts w:hint="eastAsia"/>
                <w:b/>
                <w:bCs/>
                <w:color w:val="auto"/>
                <w:lang w:val="en-US" w:eastAsia="zh-CN"/>
              </w:rPr>
              <w:t>2）</w:t>
            </w:r>
            <w:r>
              <w:rPr>
                <w:rFonts w:hint="eastAsia"/>
                <w:b/>
                <w:bCs/>
                <w:color w:val="auto"/>
              </w:rPr>
              <w:t>医院内部交通嗓声防治措施</w:t>
            </w:r>
          </w:p>
          <w:p w14:paraId="1AFFCCCF">
            <w:pPr>
              <w:ind w:firstLine="480"/>
              <w:rPr>
                <w:rFonts w:hint="eastAsia"/>
                <w:color w:val="auto"/>
              </w:rPr>
            </w:pPr>
            <w:r>
              <w:rPr>
                <w:rFonts w:hint="eastAsia"/>
                <w:color w:val="auto"/>
                <w:lang w:val="en-US" w:eastAsia="zh-CN"/>
              </w:rPr>
              <w:t>①</w:t>
            </w:r>
            <w:r>
              <w:rPr>
                <w:rFonts w:hint="eastAsia"/>
                <w:color w:val="auto"/>
              </w:rPr>
              <w:t>主入口设置在南侧道路上，机动车进入后可就近进入</w:t>
            </w:r>
            <w:r>
              <w:rPr>
                <w:rFonts w:hint="eastAsia"/>
                <w:color w:val="auto"/>
                <w:lang w:val="en-US" w:eastAsia="zh-CN"/>
              </w:rPr>
              <w:t>地下</w:t>
            </w:r>
            <w:r>
              <w:rPr>
                <w:rFonts w:hint="eastAsia"/>
                <w:color w:val="auto"/>
              </w:rPr>
              <w:t>停车场，避免了汽车</w:t>
            </w:r>
            <w:r>
              <w:rPr>
                <w:rFonts w:hint="eastAsia"/>
                <w:color w:val="auto"/>
                <w:lang w:val="en-US" w:eastAsia="zh-CN"/>
              </w:rPr>
              <w:t>交通</w:t>
            </w:r>
            <w:r>
              <w:rPr>
                <w:rFonts w:hint="eastAsia"/>
                <w:color w:val="auto"/>
              </w:rPr>
              <w:t>对医院内部的影响。</w:t>
            </w:r>
          </w:p>
          <w:p w14:paraId="2CA16732">
            <w:pPr>
              <w:ind w:firstLine="480"/>
              <w:rPr>
                <w:rFonts w:hint="eastAsia"/>
                <w:color w:val="auto"/>
              </w:rPr>
            </w:pPr>
            <w:r>
              <w:rPr>
                <w:rFonts w:hint="eastAsia"/>
                <w:color w:val="auto"/>
                <w:lang w:val="en-US" w:eastAsia="zh-CN"/>
              </w:rPr>
              <w:t>②</w:t>
            </w:r>
            <w:r>
              <w:rPr>
                <w:rFonts w:hint="eastAsia"/>
                <w:color w:val="auto"/>
              </w:rPr>
              <w:t>严格限制大型机动车辆进入项目区，避免办公人员和住院病人受到交通噪声的干扰。</w:t>
            </w:r>
          </w:p>
          <w:p w14:paraId="1DBF380B">
            <w:pPr>
              <w:ind w:firstLine="480"/>
              <w:rPr>
                <w:rFonts w:hint="eastAsia"/>
                <w:color w:val="auto"/>
              </w:rPr>
            </w:pPr>
            <w:r>
              <w:rPr>
                <w:rFonts w:hint="eastAsia"/>
                <w:color w:val="auto"/>
                <w:lang w:val="en-US" w:eastAsia="zh-CN"/>
              </w:rPr>
              <w:t>③</w:t>
            </w:r>
            <w:r>
              <w:rPr>
                <w:rFonts w:hint="eastAsia"/>
                <w:color w:val="auto"/>
              </w:rPr>
              <w:t>控制车辆进出车库的行驶速度，控制车辆出入车库的时间，尽量减少车辆在凌晨或深夜出入车库，同时在道路两旁设置绿化带，避免进出医院的车辆发动和行驶嗓声影响病人的休息和生活。</w:t>
            </w:r>
          </w:p>
          <w:p w14:paraId="3ACEBAD3">
            <w:pPr>
              <w:ind w:firstLine="480"/>
              <w:rPr>
                <w:rFonts w:hint="eastAsia"/>
                <w:color w:val="auto"/>
              </w:rPr>
            </w:pPr>
            <w:r>
              <w:rPr>
                <w:rFonts w:hint="eastAsia"/>
                <w:color w:val="auto"/>
                <w:lang w:val="en-US" w:eastAsia="zh-CN"/>
              </w:rPr>
              <w:t>④</w:t>
            </w:r>
            <w:r>
              <w:rPr>
                <w:rFonts w:hint="eastAsia"/>
                <w:color w:val="auto"/>
              </w:rPr>
              <w:t>医院地面停车位沿道路有规律的分散分布，地面停车位须设置明显的标识，以小型车为标准停车面积、标识地面停车位的具体设置，且设置了绿化带进行阻隔，不会因地面停车而影响病人的休息和生活。</w:t>
            </w:r>
          </w:p>
          <w:p w14:paraId="48C95848">
            <w:pPr>
              <w:ind w:firstLine="480"/>
              <w:rPr>
                <w:rFonts w:hint="eastAsia"/>
                <w:color w:val="auto"/>
                <w:lang w:val="en-US" w:eastAsia="zh-CN"/>
              </w:rPr>
            </w:pPr>
            <w:r>
              <w:rPr>
                <w:rFonts w:hint="eastAsia"/>
                <w:color w:val="auto"/>
                <w:lang w:val="en-US" w:eastAsia="zh-CN"/>
              </w:rPr>
              <w:t>⑤降低医院周围交通嗓声和医院就医人群活动嗓声对医院内部声环境的影响，要求医院内部布局合理，并采取绿化等措施。</w:t>
            </w:r>
          </w:p>
          <w:p w14:paraId="502F9A7C">
            <w:pPr>
              <w:numPr>
                <w:ilvl w:val="0"/>
                <w:numId w:val="0"/>
              </w:numPr>
              <w:ind w:leftChars="200"/>
              <w:rPr>
                <w:rFonts w:hint="eastAsia"/>
                <w:b/>
                <w:bCs/>
                <w:color w:val="auto"/>
                <w:lang w:val="en-US" w:eastAsia="zh-CN"/>
              </w:rPr>
            </w:pPr>
            <w:r>
              <w:rPr>
                <w:rFonts w:hint="eastAsia"/>
                <w:b/>
                <w:bCs/>
                <w:color w:val="auto"/>
                <w:lang w:val="en-US" w:eastAsia="zh-CN"/>
              </w:rPr>
              <w:t>3）人员活动噪声防治措施</w:t>
            </w:r>
          </w:p>
          <w:p w14:paraId="2F0F61D5">
            <w:pPr>
              <w:bidi w:val="0"/>
              <w:rPr>
                <w:rFonts w:hint="default"/>
                <w:lang w:val="en-US" w:eastAsia="zh-CN"/>
              </w:rPr>
            </w:pPr>
            <w:r>
              <w:rPr>
                <w:rFonts w:hint="eastAsia"/>
                <w:lang w:val="en-US" w:eastAsia="zh-CN"/>
              </w:rPr>
              <w:t>人员活动噪声</w:t>
            </w:r>
            <w:r>
              <w:rPr>
                <w:rFonts w:hint="default"/>
                <w:lang w:val="en-US" w:eastAsia="zh-CN"/>
              </w:rPr>
              <w:t>主要为医护人员和就诊人员日常工作和活动产生的噪声，根据类比调查这类噪声声级一般在 55~65dB(A)。人群活动噪声是不稳定的、短暂的，通过加强管理和宣传教育，医院区域内禁止喧哗、吵闹，可有效控制由于人群活动过声环境的影响。</w:t>
            </w:r>
          </w:p>
          <w:p w14:paraId="5936F93B">
            <w:pPr>
              <w:ind w:firstLine="480"/>
              <w:rPr>
                <w:color w:val="auto"/>
              </w:rPr>
            </w:pPr>
            <w:r>
              <w:rPr>
                <w:rFonts w:hint="eastAsia"/>
                <w:color w:val="auto"/>
              </w:rPr>
              <w:t>通过上述措施处理后，各排放点噪声源强可下降</w:t>
            </w:r>
            <w:r>
              <w:rPr>
                <w:rFonts w:hint="eastAsia"/>
                <w:color w:val="auto"/>
                <w:lang w:val="en-US" w:eastAsia="zh-CN"/>
              </w:rPr>
              <w:t>30</w:t>
            </w:r>
            <w:r>
              <w:rPr>
                <w:rFonts w:hint="eastAsia"/>
                <w:color w:val="auto"/>
              </w:rPr>
              <w:t>~</w:t>
            </w:r>
            <w:r>
              <w:rPr>
                <w:rFonts w:hint="eastAsia"/>
                <w:color w:val="auto"/>
                <w:lang w:val="en-US" w:eastAsia="zh-CN"/>
              </w:rPr>
              <w:t>40</w:t>
            </w:r>
            <w:r>
              <w:rPr>
                <w:rFonts w:hint="eastAsia"/>
                <w:color w:val="auto"/>
              </w:rPr>
              <w:t>dB</w:t>
            </w:r>
            <w:r>
              <w:rPr>
                <w:rFonts w:hint="eastAsia"/>
                <w:color w:val="auto"/>
                <w:lang w:eastAsia="zh-CN"/>
              </w:rPr>
              <w:t>（</w:t>
            </w:r>
            <w:r>
              <w:rPr>
                <w:rFonts w:hint="eastAsia"/>
                <w:color w:val="auto"/>
              </w:rPr>
              <w:t>A</w:t>
            </w:r>
            <w:r>
              <w:rPr>
                <w:rFonts w:hint="eastAsia"/>
                <w:color w:val="auto"/>
                <w:lang w:eastAsia="zh-CN"/>
              </w:rPr>
              <w:t>）</w:t>
            </w:r>
            <w:r>
              <w:rPr>
                <w:rFonts w:hint="eastAsia"/>
                <w:color w:val="auto"/>
              </w:rPr>
              <w:t>左右，降噪效果较明显。</w:t>
            </w:r>
          </w:p>
          <w:p w14:paraId="5A206CB1">
            <w:pPr>
              <w:ind w:firstLine="482"/>
              <w:rPr>
                <w:b/>
                <w:bCs/>
                <w:color w:val="auto"/>
              </w:rPr>
            </w:pPr>
            <w:r>
              <w:rPr>
                <w:rFonts w:hint="eastAsia"/>
                <w:b/>
                <w:bCs/>
                <w:color w:val="auto"/>
              </w:rPr>
              <w:t>3、噪声达标分析</w:t>
            </w:r>
          </w:p>
          <w:p w14:paraId="4A0D082E">
            <w:pPr>
              <w:bidi w:val="0"/>
            </w:pPr>
            <w:r>
              <w:rPr>
                <w:rFonts w:hint="eastAsia"/>
              </w:rPr>
              <w:t>据项目噪声源和环境特征，并结合《环境影响评价技术导则 声环境》</w:t>
            </w:r>
            <w:r>
              <w:rPr>
                <w:rFonts w:hint="eastAsia"/>
                <w:lang w:eastAsia="zh-CN"/>
              </w:rPr>
              <w:t>（</w:t>
            </w:r>
            <w:r>
              <w:t>HJ2.4-</w:t>
            </w:r>
            <w:r>
              <w:rPr>
                <w:rFonts w:hint="eastAsia"/>
              </w:rPr>
              <w:t>2021</w:t>
            </w:r>
            <w:r>
              <w:rPr>
                <w:rFonts w:hint="eastAsia"/>
                <w:lang w:eastAsia="zh-CN"/>
              </w:rPr>
              <w:t>）</w:t>
            </w:r>
            <w:r>
              <w:rPr>
                <w:rFonts w:hint="eastAsia"/>
              </w:rPr>
              <w:t>中推荐的模型预测噪声源排放噪声随距离的衰减变化规律。预测过程中仅考虑几何发散。</w:t>
            </w:r>
          </w:p>
          <w:p w14:paraId="0F2BDF15">
            <w:pPr>
              <w:pStyle w:val="33"/>
              <w:ind w:firstLine="482"/>
              <w:jc w:val="both"/>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室外声源</w:t>
            </w:r>
          </w:p>
          <w:p w14:paraId="14287991">
            <w:pPr>
              <w:pStyle w:val="33"/>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在只考虑集合发散衰减时，按下式进行计算</w:t>
            </w:r>
          </w:p>
          <w:p w14:paraId="0C9F2C9B">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971675" cy="552450"/>
                  <wp:effectExtent l="0" t="0" r="9525" b="0"/>
                  <wp:docPr id="4" name="图片 37" descr="167946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7" descr="1679469513(1)"/>
                          <pic:cNvPicPr>
                            <a:picLocks noChangeAspect="1"/>
                          </pic:cNvPicPr>
                        </pic:nvPicPr>
                        <pic:blipFill>
                          <a:blip r:embed="rId28"/>
                          <a:stretch>
                            <a:fillRect/>
                          </a:stretch>
                        </pic:blipFill>
                        <pic:spPr>
                          <a:xfrm>
                            <a:off x="0" y="0"/>
                            <a:ext cx="1971675" cy="552450"/>
                          </a:xfrm>
                          <a:prstGeom prst="rect">
                            <a:avLst/>
                          </a:prstGeom>
                          <a:noFill/>
                          <a:ln>
                            <a:noFill/>
                          </a:ln>
                        </pic:spPr>
                      </pic:pic>
                    </a:graphicData>
                  </a:graphic>
                </wp:inline>
              </w:drawing>
            </w:r>
          </w:p>
          <w:p w14:paraId="00EDC81A">
            <w:pPr>
              <w:pStyle w:val="33"/>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LoctI—</w:t>
            </w:r>
            <w:r>
              <w:rPr>
                <w:rFonts w:hint="eastAsia"/>
                <w:color w:val="000000" w:themeColor="text1"/>
                <w14:textFill>
                  <w14:solidFill>
                    <w14:schemeClr w14:val="tx1"/>
                  </w14:solidFill>
                </w14:textFill>
              </w:rPr>
              <w:t>点声源在预测点产生的倍频带声压级；</w:t>
            </w:r>
          </w:p>
          <w:p w14:paraId="331B94A6">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Loct(r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参考位置</w:t>
            </w: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处的倍频带声压级；</w:t>
            </w:r>
          </w:p>
          <w:p w14:paraId="222582B6">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14:textFill>
                  <w14:solidFill>
                    <w14:schemeClr w14:val="tx1"/>
                  </w14:solidFill>
                </w14:textFill>
              </w:rPr>
              <w:t>预测点距声源的距离，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70824313">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参考位置距声源的距离，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394C21D2">
            <w:pPr>
              <w:pStyle w:val="33"/>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如果已知声源的倍频带声功率级</w:t>
            </w:r>
            <w:r>
              <w:rPr>
                <w:color w:val="000000" w:themeColor="text1"/>
                <w14:textFill>
                  <w14:solidFill>
                    <w14:schemeClr w14:val="tx1"/>
                  </w14:solidFill>
                </w14:textFill>
              </w:rPr>
              <w:t>Lwoct</w:t>
            </w:r>
            <w:r>
              <w:rPr>
                <w:rFonts w:hint="eastAsia"/>
                <w:color w:val="000000" w:themeColor="text1"/>
                <w14:textFill>
                  <w14:solidFill>
                    <w14:schemeClr w14:val="tx1"/>
                  </w14:solidFill>
                </w14:textFill>
              </w:rPr>
              <w:t>，且声源可看作是位于地面上的，则</w:t>
            </w:r>
          </w:p>
          <w:p w14:paraId="093448E2">
            <w:pPr>
              <w:pStyle w:val="33"/>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00300" cy="380365"/>
                  <wp:effectExtent l="0" t="0" r="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9"/>
                          <a:stretch>
                            <a:fillRect/>
                          </a:stretch>
                        </pic:blipFill>
                        <pic:spPr>
                          <a:xfrm>
                            <a:off x="0" y="0"/>
                            <a:ext cx="2400300" cy="380365"/>
                          </a:xfrm>
                          <a:prstGeom prst="rect">
                            <a:avLst/>
                          </a:prstGeom>
                          <a:noFill/>
                          <a:ln>
                            <a:noFill/>
                          </a:ln>
                        </pic:spPr>
                      </pic:pic>
                    </a:graphicData>
                  </a:graphic>
                </wp:inline>
              </w:drawing>
            </w:r>
          </w:p>
          <w:p w14:paraId="55854F75">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由各倍频带声压级合成计算出该声源产生的声级</w:t>
            </w:r>
            <w:r>
              <w:rPr>
                <w:color w:val="000000" w:themeColor="text1"/>
                <w14:textFill>
                  <w14:solidFill>
                    <w14:schemeClr w14:val="tx1"/>
                  </w14:solidFill>
                </w14:textFill>
              </w:rPr>
              <w:t>LA</w:t>
            </w:r>
            <w:r>
              <w:rPr>
                <w:rFonts w:hint="eastAsia"/>
                <w:color w:val="000000" w:themeColor="text1"/>
                <w14:textFill>
                  <w14:solidFill>
                    <w14:schemeClr w14:val="tx1"/>
                  </w14:solidFill>
                </w14:textFill>
              </w:rPr>
              <w:t>。</w:t>
            </w:r>
          </w:p>
          <w:p w14:paraId="7A66014E">
            <w:pPr>
              <w:pStyle w:val="33"/>
              <w:ind w:firstLine="482"/>
              <w:jc w:val="both"/>
              <w:rPr>
                <w:rFonts w:hint="eastAsia" w:eastAsia="宋体"/>
                <w:b/>
                <w:bCs/>
                <w:color w:val="000000" w:themeColor="text1"/>
                <w:lang w:eastAsia="zh-CN"/>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室内声源</w:t>
            </w:r>
          </w:p>
          <w:p w14:paraId="025C1779">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首先计算出某个室内靠近围护结构处的倍频带声压级：</w:t>
            </w:r>
          </w:p>
          <w:p w14:paraId="1517B4AE">
            <w:pPr>
              <w:pStyle w:val="33"/>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713990" cy="666750"/>
                  <wp:effectExtent l="0" t="0" r="1016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0"/>
                          <a:stretch>
                            <a:fillRect/>
                          </a:stretch>
                        </pic:blipFill>
                        <pic:spPr>
                          <a:xfrm>
                            <a:off x="0" y="0"/>
                            <a:ext cx="2713990" cy="666750"/>
                          </a:xfrm>
                          <a:prstGeom prst="rect">
                            <a:avLst/>
                          </a:prstGeom>
                          <a:noFill/>
                          <a:ln>
                            <a:noFill/>
                          </a:ln>
                        </pic:spPr>
                      </pic:pic>
                    </a:graphicData>
                  </a:graphic>
                </wp:inline>
              </w:drawing>
            </w:r>
          </w:p>
          <w:p w14:paraId="03C49487">
            <w:pPr>
              <w:pStyle w:val="33"/>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Loct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为某个室内声源在靠近围护结构处产生的倍频带声压级，</w:t>
            </w:r>
            <w:r>
              <w:rPr>
                <w:color w:val="000000" w:themeColor="text1"/>
                <w14:textFill>
                  <w14:solidFill>
                    <w14:schemeClr w14:val="tx1"/>
                  </w14:solidFill>
                </w14:textFill>
              </w:rPr>
              <w:t>Lwoct-</w:t>
            </w:r>
          </w:p>
          <w:p w14:paraId="52020E08">
            <w:pPr>
              <w:pStyle w:val="33"/>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为某个声源的倍频带声功率级，</w:t>
            </w:r>
            <w:r>
              <w:rPr>
                <w:color w:val="000000" w:themeColor="text1"/>
                <w14:textFill>
                  <w14:solidFill>
                    <w14:schemeClr w14:val="tx1"/>
                  </w14:solidFill>
                </w14:textFill>
              </w:rPr>
              <w:t>r1</w:t>
            </w:r>
            <w:r>
              <w:rPr>
                <w:rFonts w:hint="eastAsia"/>
                <w:color w:val="000000" w:themeColor="text1"/>
                <w14:textFill>
                  <w14:solidFill>
                    <w14:schemeClr w14:val="tx1"/>
                  </w14:solidFill>
                </w14:textFill>
              </w:rPr>
              <w:t>为室内某个声源与靠近围护结构处的距离，</w:t>
            </w:r>
          </w:p>
          <w:p w14:paraId="156E51A0">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14:textFill>
                  <w14:solidFill>
                    <w14:schemeClr w14:val="tx1"/>
                  </w14:solidFill>
                </w14:textFill>
              </w:rPr>
              <w:t>为房间常数，</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为方向因子。</w:t>
            </w:r>
          </w:p>
          <w:p w14:paraId="767F65F3">
            <w:pPr>
              <w:pStyle w:val="33"/>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计算出所有室内声源在靠近围护结构处产生的总倍频带声压级：</w:t>
            </w:r>
            <w:r>
              <w:rPr>
                <w:color w:val="000000" w:themeColor="text1"/>
                <w14:textFill>
                  <w14:solidFill>
                    <w14:schemeClr w14:val="tx1"/>
                  </w14:solidFill>
                </w14:textFill>
              </w:rPr>
              <w:drawing>
                <wp:inline distT="0" distB="0" distL="114300" distR="114300">
                  <wp:extent cx="2542540" cy="723900"/>
                  <wp:effectExtent l="0" t="0" r="1016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1"/>
                          <a:stretch>
                            <a:fillRect/>
                          </a:stretch>
                        </pic:blipFill>
                        <pic:spPr>
                          <a:xfrm>
                            <a:off x="0" y="0"/>
                            <a:ext cx="2542540" cy="723900"/>
                          </a:xfrm>
                          <a:prstGeom prst="rect">
                            <a:avLst/>
                          </a:prstGeom>
                          <a:noFill/>
                          <a:ln>
                            <a:noFill/>
                          </a:ln>
                        </pic:spPr>
                      </pic:pic>
                    </a:graphicData>
                  </a:graphic>
                </wp:inline>
              </w:drawing>
            </w:r>
          </w:p>
          <w:p w14:paraId="34601727">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③</w:t>
            </w:r>
            <w:r>
              <w:rPr>
                <w:rFonts w:hint="eastAsia"/>
                <w:color w:val="000000" w:themeColor="text1"/>
                <w14:textFill>
                  <w14:solidFill>
                    <w14:schemeClr w14:val="tx1"/>
                  </w14:solidFill>
                </w14:textFill>
              </w:rPr>
              <w:t>计算出室外靠近围护结构处的声压级：</w:t>
            </w:r>
          </w:p>
          <w:p w14:paraId="4ED88101">
            <w:pPr>
              <w:pStyle w:val="33"/>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628265" cy="447040"/>
                  <wp:effectExtent l="0" t="0" r="635"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2"/>
                          <a:stretch>
                            <a:fillRect/>
                          </a:stretch>
                        </pic:blipFill>
                        <pic:spPr>
                          <a:xfrm>
                            <a:off x="0" y="0"/>
                            <a:ext cx="2628265" cy="447040"/>
                          </a:xfrm>
                          <a:prstGeom prst="rect">
                            <a:avLst/>
                          </a:prstGeom>
                          <a:noFill/>
                          <a:ln>
                            <a:noFill/>
                          </a:ln>
                        </pic:spPr>
                      </pic:pic>
                    </a:graphicData>
                  </a:graphic>
                </wp:inline>
              </w:drawing>
            </w:r>
          </w:p>
          <w:p w14:paraId="591D7AE7">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④</w:t>
            </w:r>
            <w:r>
              <w:rPr>
                <w:rFonts w:hint="eastAsia"/>
                <w:color w:val="000000" w:themeColor="text1"/>
                <w14:textFill>
                  <w14:solidFill>
                    <w14:schemeClr w14:val="tx1"/>
                  </w14:solidFill>
                </w14:textFill>
              </w:rPr>
              <w:t>将室外声级</w:t>
            </w:r>
            <w:r>
              <w:rPr>
                <w:color w:val="000000" w:themeColor="text1"/>
                <w14:textFill>
                  <w14:solidFill>
                    <w14:schemeClr w14:val="tx1"/>
                  </w14:solidFill>
                </w14:textFill>
              </w:rPr>
              <w:t>Loct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和透声面积换算成等效的室外声源，计算出等效声源</w:t>
            </w:r>
          </w:p>
          <w:p w14:paraId="39C2EF28">
            <w:pPr>
              <w:pStyle w:val="33"/>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个倍频带的声功率级</w:t>
            </w:r>
            <w:r>
              <w:rPr>
                <w:color w:val="000000" w:themeColor="text1"/>
                <w14:textFill>
                  <w14:solidFill>
                    <w14:schemeClr w14:val="tx1"/>
                  </w14:solidFill>
                </w14:textFill>
              </w:rPr>
              <w:t>Lwoct</w:t>
            </w:r>
            <w:r>
              <w:rPr>
                <w:rFonts w:hint="eastAsia"/>
                <w:color w:val="000000" w:themeColor="text1"/>
                <w14:textFill>
                  <w14:solidFill>
                    <w14:schemeClr w14:val="tx1"/>
                  </w14:solidFill>
                </w14:textFill>
              </w:rPr>
              <w:t>：</w:t>
            </w:r>
          </w:p>
          <w:p w14:paraId="6DAE0776">
            <w:pPr>
              <w:pStyle w:val="33"/>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276475" cy="427990"/>
                  <wp:effectExtent l="0" t="0" r="9525" b="1016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3"/>
                          <a:stretch>
                            <a:fillRect/>
                          </a:stretch>
                        </pic:blipFill>
                        <pic:spPr>
                          <a:xfrm>
                            <a:off x="0" y="0"/>
                            <a:ext cx="2276475" cy="427990"/>
                          </a:xfrm>
                          <a:prstGeom prst="rect">
                            <a:avLst/>
                          </a:prstGeom>
                          <a:noFill/>
                          <a:ln>
                            <a:noFill/>
                          </a:ln>
                        </pic:spPr>
                      </pic:pic>
                    </a:graphicData>
                  </a:graphic>
                </wp:inline>
              </w:drawing>
            </w:r>
          </w:p>
          <w:p w14:paraId="5CCF37FD">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为透声面积，m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6556983E">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⑤</w:t>
            </w:r>
            <w:r>
              <w:rPr>
                <w:rFonts w:hint="eastAsia"/>
                <w:color w:val="000000" w:themeColor="text1"/>
                <w14:textFill>
                  <w14:solidFill>
                    <w14:schemeClr w14:val="tx1"/>
                  </w14:solidFill>
                </w14:textFill>
              </w:rPr>
              <w:t>等效室外声源的位置为围护结构的位置，其倍频带声功率级为</w:t>
            </w:r>
            <w:r>
              <w:rPr>
                <w:color w:val="000000" w:themeColor="text1"/>
                <w14:textFill>
                  <w14:solidFill>
                    <w14:schemeClr w14:val="tx1"/>
                  </w14:solidFill>
                </w14:textFill>
              </w:rPr>
              <w:t>Lwoct</w:t>
            </w:r>
            <w:r>
              <w:rPr>
                <w:rFonts w:hint="eastAsia"/>
                <w:color w:val="000000" w:themeColor="text1"/>
                <w14:textFill>
                  <w14:solidFill>
                    <w14:schemeClr w14:val="tx1"/>
                  </w14:solidFill>
                </w14:textFill>
              </w:rPr>
              <w:t>，由</w:t>
            </w:r>
          </w:p>
          <w:p w14:paraId="7200B768">
            <w:pPr>
              <w:pStyle w:val="33"/>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此按室外声源方法计算等效室外声源在预测点产生的声级。</w:t>
            </w:r>
          </w:p>
          <w:p w14:paraId="5B000E0B">
            <w:pPr>
              <w:pStyle w:val="33"/>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计算总声压级</w:t>
            </w:r>
          </w:p>
          <w:p w14:paraId="40CAE297">
            <w:pPr>
              <w:pStyle w:val="33"/>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设第</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个室外声源在预测点产生的</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声级为</w:t>
            </w:r>
            <w:r>
              <w:rPr>
                <w:color w:val="000000" w:themeColor="text1"/>
                <w14:textFill>
                  <w14:solidFill>
                    <w14:schemeClr w14:val="tx1"/>
                  </w14:solidFill>
                </w14:textFill>
              </w:rPr>
              <w:t>LAin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时间内该声源工作时间为</w:t>
            </w:r>
            <w:r>
              <w:rPr>
                <w:color w:val="000000" w:themeColor="text1"/>
                <w14:textFill>
                  <w14:solidFill>
                    <w14:schemeClr w14:val="tx1"/>
                  </w14:solidFill>
                </w14:textFill>
              </w:rPr>
              <w:t>tin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；第</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个等效室外声源在预测点产生的</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声级为</w:t>
            </w:r>
            <w:r>
              <w:rPr>
                <w:color w:val="000000" w:themeColor="text1"/>
                <w14:textFill>
                  <w14:solidFill>
                    <w14:schemeClr w14:val="tx1"/>
                  </w14:solidFill>
                </w14:textFill>
              </w:rPr>
              <w:t>LAout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时间内该声源工作时间为</w:t>
            </w:r>
            <w:r>
              <w:rPr>
                <w:color w:val="000000" w:themeColor="text1"/>
                <w14:textFill>
                  <w14:solidFill>
                    <w14:schemeClr w14:val="tx1"/>
                  </w14:solidFill>
                </w14:textFill>
              </w:rPr>
              <w:t>tout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，则预测点的总等效声级为</w:t>
            </w:r>
          </w:p>
          <w:p w14:paraId="0958FA69">
            <w:pPr>
              <w:pStyle w:val="33"/>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514215" cy="771525"/>
                  <wp:effectExtent l="0" t="0" r="635"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4"/>
                          <a:stretch>
                            <a:fillRect/>
                          </a:stretch>
                        </pic:blipFill>
                        <pic:spPr>
                          <a:xfrm>
                            <a:off x="0" y="0"/>
                            <a:ext cx="4514215" cy="771525"/>
                          </a:xfrm>
                          <a:prstGeom prst="rect">
                            <a:avLst/>
                          </a:prstGeom>
                          <a:noFill/>
                          <a:ln>
                            <a:noFill/>
                          </a:ln>
                        </pic:spPr>
                      </pic:pic>
                    </a:graphicData>
                  </a:graphic>
                </wp:inline>
              </w:drawing>
            </w:r>
          </w:p>
          <w:p w14:paraId="3A50FB0D">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为计算等效声级的时间，</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为室外声源个数，</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为等效室外声源个数。</w:t>
            </w:r>
          </w:p>
          <w:p w14:paraId="29F65390">
            <w:pPr>
              <w:ind w:firstLine="480"/>
              <w:rPr>
                <w:color w:val="auto"/>
              </w:rPr>
            </w:pPr>
            <w:r>
              <w:rPr>
                <w:rFonts w:hint="eastAsia"/>
                <w:color w:val="auto"/>
              </w:rPr>
              <w:t>根据上述的预测方法和模式，根据平面布置图、距厂界距离，在考虑采取设备噪声隔声、减振、消声</w:t>
            </w:r>
            <w:r>
              <w:rPr>
                <w:rFonts w:hint="eastAsia"/>
                <w:color w:val="auto"/>
                <w:lang w:val="en-US" w:eastAsia="zh-CN"/>
              </w:rPr>
              <w:t>及距离衰减</w:t>
            </w:r>
            <w:r>
              <w:rPr>
                <w:rFonts w:hint="eastAsia"/>
                <w:color w:val="auto"/>
              </w:rPr>
              <w:t>等措施的情况下，计算对距离最近的四个厂界噪声贡献值。本项目预测结果详见下表：</w:t>
            </w:r>
          </w:p>
          <w:p w14:paraId="7E604A38">
            <w:pPr>
              <w:pStyle w:val="27"/>
              <w:bidi w:val="0"/>
              <w:rPr>
                <w:rFonts w:hint="default"/>
              </w:rPr>
            </w:pPr>
            <w:r>
              <w:t>表4-</w:t>
            </w:r>
            <w:r>
              <w:rPr>
                <w:rFonts w:hint="eastAsia"/>
                <w:lang w:val="en-US" w:eastAsia="zh-CN"/>
              </w:rPr>
              <w:t xml:space="preserve">17 </w:t>
            </w:r>
            <w:r>
              <w:t xml:space="preserve"> 项目噪声预测结果一览表dB（A）</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0"/>
              <w:gridCol w:w="1749"/>
              <w:gridCol w:w="1796"/>
              <w:gridCol w:w="1967"/>
              <w:gridCol w:w="1955"/>
            </w:tblGrid>
            <w:tr w14:paraId="0A60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noWrap w:val="0"/>
                  <w:vAlign w:val="center"/>
                </w:tcPr>
                <w:p w14:paraId="0904B7A0">
                  <w:pPr>
                    <w:pStyle w:val="39"/>
                    <w:bidi w:val="0"/>
                    <w:rPr>
                      <w:b/>
                      <w:bCs/>
                    </w:rPr>
                  </w:pPr>
                  <w:r>
                    <w:rPr>
                      <w:rFonts w:hint="eastAsia"/>
                      <w:b/>
                      <w:bCs/>
                    </w:rPr>
                    <w:t>厂界名称</w:t>
                  </w:r>
                </w:p>
              </w:tc>
              <w:tc>
                <w:tcPr>
                  <w:tcW w:w="1022" w:type="pct"/>
                  <w:noWrap w:val="0"/>
                  <w:vAlign w:val="center"/>
                </w:tcPr>
                <w:p w14:paraId="60E2EA65">
                  <w:pPr>
                    <w:pStyle w:val="39"/>
                    <w:bidi w:val="0"/>
                    <w:rPr>
                      <w:rFonts w:hint="eastAsia"/>
                      <w:b/>
                      <w:bCs/>
                    </w:rPr>
                  </w:pPr>
                  <w:r>
                    <w:rPr>
                      <w:rFonts w:hint="eastAsia"/>
                      <w:b/>
                      <w:bCs/>
                    </w:rPr>
                    <w:t>东厂界</w:t>
                  </w:r>
                </w:p>
              </w:tc>
              <w:tc>
                <w:tcPr>
                  <w:tcW w:w="1049" w:type="pct"/>
                  <w:noWrap w:val="0"/>
                  <w:vAlign w:val="center"/>
                </w:tcPr>
                <w:p w14:paraId="1AC08CAF">
                  <w:pPr>
                    <w:pStyle w:val="39"/>
                    <w:bidi w:val="0"/>
                    <w:rPr>
                      <w:rFonts w:hint="eastAsia"/>
                      <w:b/>
                      <w:bCs/>
                    </w:rPr>
                  </w:pPr>
                  <w:r>
                    <w:rPr>
                      <w:rFonts w:hint="eastAsia"/>
                      <w:b/>
                      <w:bCs/>
                    </w:rPr>
                    <w:t>南厂界</w:t>
                  </w:r>
                </w:p>
              </w:tc>
              <w:tc>
                <w:tcPr>
                  <w:tcW w:w="1149" w:type="pct"/>
                  <w:noWrap w:val="0"/>
                  <w:vAlign w:val="center"/>
                </w:tcPr>
                <w:p w14:paraId="6FAC47EE">
                  <w:pPr>
                    <w:pStyle w:val="39"/>
                    <w:bidi w:val="0"/>
                    <w:rPr>
                      <w:rFonts w:hint="eastAsia"/>
                      <w:b/>
                      <w:bCs/>
                    </w:rPr>
                  </w:pPr>
                  <w:r>
                    <w:rPr>
                      <w:rFonts w:hint="eastAsia"/>
                      <w:b/>
                      <w:bCs/>
                    </w:rPr>
                    <w:t>西厂界</w:t>
                  </w:r>
                </w:p>
              </w:tc>
              <w:tc>
                <w:tcPr>
                  <w:tcW w:w="1140" w:type="pct"/>
                  <w:noWrap w:val="0"/>
                  <w:vAlign w:val="center"/>
                </w:tcPr>
                <w:p w14:paraId="32D54A85">
                  <w:pPr>
                    <w:pStyle w:val="39"/>
                    <w:bidi w:val="0"/>
                    <w:rPr>
                      <w:b/>
                      <w:bCs/>
                    </w:rPr>
                  </w:pPr>
                  <w:r>
                    <w:rPr>
                      <w:rFonts w:hint="eastAsia"/>
                      <w:b/>
                      <w:bCs/>
                    </w:rPr>
                    <w:t>北厂界</w:t>
                  </w:r>
                </w:p>
              </w:tc>
            </w:tr>
            <w:tr w14:paraId="3051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noWrap w:val="0"/>
                  <w:vAlign w:val="center"/>
                </w:tcPr>
                <w:p w14:paraId="25599B16">
                  <w:pPr>
                    <w:pStyle w:val="39"/>
                    <w:bidi w:val="0"/>
                  </w:pPr>
                  <w:r>
                    <w:rPr>
                      <w:rFonts w:hint="eastAsia"/>
                    </w:rPr>
                    <w:t>贡献值</w:t>
                  </w:r>
                </w:p>
              </w:tc>
              <w:tc>
                <w:tcPr>
                  <w:tcW w:w="1022" w:type="pct"/>
                  <w:noWrap w:val="0"/>
                  <w:vAlign w:val="center"/>
                </w:tcPr>
                <w:p w14:paraId="17E2DFDE">
                  <w:pPr>
                    <w:pStyle w:val="39"/>
                    <w:bidi w:val="0"/>
                    <w:rPr>
                      <w:rFonts w:hint="default"/>
                      <w:lang w:val="en-US" w:eastAsia="zh-CN"/>
                    </w:rPr>
                  </w:pPr>
                  <w:r>
                    <w:rPr>
                      <w:rFonts w:hint="eastAsia"/>
                      <w:lang w:val="en-US" w:eastAsia="zh-CN"/>
                    </w:rPr>
                    <w:t>33.2</w:t>
                  </w:r>
                </w:p>
              </w:tc>
              <w:tc>
                <w:tcPr>
                  <w:tcW w:w="1049" w:type="pct"/>
                  <w:noWrap w:val="0"/>
                  <w:vAlign w:val="center"/>
                </w:tcPr>
                <w:p w14:paraId="653FB9A4">
                  <w:pPr>
                    <w:pStyle w:val="39"/>
                    <w:bidi w:val="0"/>
                    <w:rPr>
                      <w:rFonts w:hint="default"/>
                      <w:lang w:val="en-US" w:eastAsia="zh-CN"/>
                    </w:rPr>
                  </w:pPr>
                  <w:r>
                    <w:rPr>
                      <w:rFonts w:hint="eastAsia"/>
                      <w:lang w:val="en-US" w:eastAsia="zh-CN"/>
                    </w:rPr>
                    <w:t>40.5</w:t>
                  </w:r>
                </w:p>
              </w:tc>
              <w:tc>
                <w:tcPr>
                  <w:tcW w:w="1149" w:type="pct"/>
                  <w:noWrap w:val="0"/>
                  <w:vAlign w:val="center"/>
                </w:tcPr>
                <w:p w14:paraId="0637D9C9">
                  <w:pPr>
                    <w:pStyle w:val="39"/>
                    <w:bidi w:val="0"/>
                    <w:rPr>
                      <w:rFonts w:hint="default"/>
                      <w:lang w:val="en-US" w:eastAsia="zh-CN"/>
                    </w:rPr>
                  </w:pPr>
                  <w:r>
                    <w:rPr>
                      <w:rFonts w:hint="eastAsia"/>
                      <w:lang w:val="en-US" w:eastAsia="zh-CN"/>
                    </w:rPr>
                    <w:t>31.9</w:t>
                  </w:r>
                </w:p>
              </w:tc>
              <w:tc>
                <w:tcPr>
                  <w:tcW w:w="1140" w:type="pct"/>
                  <w:noWrap w:val="0"/>
                  <w:vAlign w:val="center"/>
                </w:tcPr>
                <w:p w14:paraId="5C78838A">
                  <w:pPr>
                    <w:pStyle w:val="39"/>
                    <w:bidi w:val="0"/>
                    <w:rPr>
                      <w:rFonts w:hint="default"/>
                      <w:lang w:val="en-US" w:eastAsia="zh-CN"/>
                    </w:rPr>
                  </w:pPr>
                  <w:r>
                    <w:rPr>
                      <w:rFonts w:hint="eastAsia"/>
                      <w:lang w:val="en-US" w:eastAsia="zh-CN"/>
                    </w:rPr>
                    <w:t>23.0</w:t>
                  </w:r>
                </w:p>
              </w:tc>
            </w:tr>
            <w:tr w14:paraId="7730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noWrap w:val="0"/>
                  <w:vAlign w:val="center"/>
                </w:tcPr>
                <w:p w14:paraId="15147402">
                  <w:pPr>
                    <w:pStyle w:val="39"/>
                    <w:bidi w:val="0"/>
                    <w:rPr>
                      <w:rFonts w:hint="eastAsia"/>
                    </w:rPr>
                  </w:pPr>
                  <w:r>
                    <w:rPr>
                      <w:rFonts w:hint="eastAsia"/>
                    </w:rPr>
                    <w:t>标准值</w:t>
                  </w:r>
                </w:p>
              </w:tc>
              <w:tc>
                <w:tcPr>
                  <w:tcW w:w="4362" w:type="pct"/>
                  <w:gridSpan w:val="4"/>
                  <w:noWrap w:val="0"/>
                  <w:vAlign w:val="center"/>
                </w:tcPr>
                <w:p w14:paraId="6DCF052E">
                  <w:pPr>
                    <w:pStyle w:val="39"/>
                    <w:bidi w:val="0"/>
                    <w:rPr>
                      <w:rFonts w:hint="eastAsia" w:eastAsia="宋体"/>
                      <w:lang w:eastAsia="zh-CN"/>
                    </w:rPr>
                  </w:pPr>
                  <w:r>
                    <w:rPr>
                      <w:rFonts w:hint="eastAsia"/>
                    </w:rPr>
                    <w:t>GB</w:t>
                  </w:r>
                  <w:r>
                    <w:rPr>
                      <w:rFonts w:hint="eastAsia"/>
                      <w:lang w:val="en-US" w:eastAsia="zh-CN"/>
                    </w:rPr>
                    <w:t xml:space="preserve"> </w:t>
                  </w:r>
                  <w:r>
                    <w:rPr>
                      <w:rFonts w:hint="eastAsia"/>
                    </w:rPr>
                    <w:t>12348-2008中</w:t>
                  </w:r>
                  <w:r>
                    <w:rPr>
                      <w:rFonts w:hint="eastAsia"/>
                      <w:lang w:val="en-US" w:eastAsia="zh-CN"/>
                    </w:rPr>
                    <w:t>2</w:t>
                  </w:r>
                  <w:r>
                    <w:rPr>
                      <w:rFonts w:hint="eastAsia"/>
                    </w:rPr>
                    <w:t>类标准，即昼</w:t>
                  </w:r>
                  <w:r>
                    <w:rPr>
                      <w:rFonts w:hint="eastAsia"/>
                      <w:lang w:val="en-US" w:eastAsia="zh-CN"/>
                    </w:rPr>
                    <w:t>间</w:t>
                  </w:r>
                  <w:r>
                    <w:rPr>
                      <w:rFonts w:hint="eastAsia"/>
                    </w:rPr>
                    <w:t>：6</w:t>
                  </w:r>
                  <w:r>
                    <w:rPr>
                      <w:rFonts w:hint="eastAsia"/>
                      <w:lang w:val="en-US" w:eastAsia="zh-CN"/>
                    </w:rPr>
                    <w:t>0</w:t>
                  </w:r>
                  <w:r>
                    <w:rPr>
                      <w:rFonts w:hint="eastAsia"/>
                    </w:rPr>
                    <w:t>、夜间5</w:t>
                  </w:r>
                  <w:r>
                    <w:rPr>
                      <w:rFonts w:hint="eastAsia"/>
                      <w:lang w:val="en-US" w:eastAsia="zh-CN"/>
                    </w:rPr>
                    <w:t>0</w:t>
                  </w:r>
                </w:p>
              </w:tc>
            </w:tr>
          </w:tbl>
          <w:p w14:paraId="3D6B7076">
            <w:pPr>
              <w:ind w:firstLine="480"/>
              <w:rPr>
                <w:rFonts w:hint="eastAsia" w:eastAsia="宋体"/>
                <w:color w:val="auto"/>
                <w:lang w:val="en-US" w:eastAsia="zh-CN"/>
              </w:rPr>
            </w:pPr>
            <w:r>
              <w:rPr>
                <w:rFonts w:hint="eastAsia"/>
                <w:color w:val="auto"/>
              </w:rPr>
              <w:t>由上表可知，本项目运营期通过对产噪设备采取相应的噪声控制措施，利用</w:t>
            </w:r>
            <w:r>
              <w:rPr>
                <w:rFonts w:hint="eastAsia"/>
                <w:color w:val="auto"/>
                <w:lang w:val="en-US" w:eastAsia="zh-CN"/>
              </w:rPr>
              <w:t>建筑</w:t>
            </w:r>
            <w:r>
              <w:rPr>
                <w:rFonts w:hint="eastAsia"/>
                <w:color w:val="auto"/>
              </w:rPr>
              <w:t>隔声</w:t>
            </w:r>
            <w:r>
              <w:rPr>
                <w:rFonts w:hint="eastAsia"/>
                <w:color w:val="auto"/>
                <w:lang w:eastAsia="zh-CN"/>
              </w:rPr>
              <w:t>、</w:t>
            </w:r>
            <w:r>
              <w:rPr>
                <w:rFonts w:hint="eastAsia"/>
                <w:color w:val="auto"/>
                <w:lang w:val="en-US" w:eastAsia="zh-CN"/>
              </w:rPr>
              <w:t>安装减振垫</w:t>
            </w:r>
            <w:r>
              <w:rPr>
                <w:rFonts w:hint="eastAsia"/>
                <w:color w:val="auto"/>
              </w:rPr>
              <w:t>和距离衰减的情况下，项目厂界噪声能够达到《工业企业厂界环境噪声排放标准》</w:t>
            </w:r>
            <w:r>
              <w:rPr>
                <w:rFonts w:hint="eastAsia"/>
                <w:color w:val="auto"/>
                <w:lang w:eastAsia="zh-CN"/>
              </w:rPr>
              <w:t>（</w:t>
            </w:r>
            <w:r>
              <w:rPr>
                <w:color w:val="auto"/>
              </w:rPr>
              <w:t>GB12348-2008</w:t>
            </w:r>
            <w:r>
              <w:rPr>
                <w:rFonts w:hint="eastAsia"/>
                <w:color w:val="auto"/>
                <w:lang w:eastAsia="zh-CN"/>
              </w:rPr>
              <w:t>）</w:t>
            </w:r>
            <w:r>
              <w:rPr>
                <w:rFonts w:hint="eastAsia"/>
                <w:color w:val="auto"/>
              </w:rPr>
              <w:t>中的</w:t>
            </w:r>
            <w:r>
              <w:rPr>
                <w:rFonts w:hint="eastAsia"/>
                <w:color w:val="auto"/>
                <w:lang w:val="en-US" w:eastAsia="zh-CN"/>
              </w:rPr>
              <w:t>2</w:t>
            </w:r>
            <w:r>
              <w:rPr>
                <w:rFonts w:hint="eastAsia"/>
                <w:color w:val="auto"/>
              </w:rPr>
              <w:t>类标准要求</w:t>
            </w:r>
            <w:r>
              <w:rPr>
                <w:rFonts w:hint="eastAsia"/>
                <w:color w:val="auto"/>
                <w:lang w:eastAsia="zh-CN"/>
              </w:rPr>
              <w:t>。</w:t>
            </w:r>
          </w:p>
          <w:p w14:paraId="1750C892">
            <w:pPr>
              <w:ind w:left="480" w:leftChars="200" w:firstLine="0" w:firstLineChars="0"/>
              <w:rPr>
                <w:b/>
                <w:bCs/>
                <w:color w:val="auto"/>
              </w:rPr>
            </w:pPr>
            <w:r>
              <w:rPr>
                <w:rFonts w:hint="eastAsia"/>
                <w:b/>
                <w:bCs/>
                <w:color w:val="auto"/>
              </w:rPr>
              <w:t>4、噪声自行监测计划</w:t>
            </w:r>
          </w:p>
          <w:p w14:paraId="35D83AFD">
            <w:pPr>
              <w:ind w:firstLine="480"/>
              <w:rPr>
                <w:color w:val="auto"/>
              </w:rPr>
            </w:pPr>
            <w:r>
              <w:rPr>
                <w:rFonts w:hint="eastAsia"/>
                <w:color w:val="auto"/>
              </w:rPr>
              <w:t>依据《排污许可证申请与核发技术规范 工业噪声》（HJ1301-2023）</w:t>
            </w:r>
            <w:r>
              <w:rPr>
                <w:rFonts w:hint="eastAsia"/>
                <w:color w:val="auto"/>
                <w:lang w:val="en-GB"/>
              </w:rPr>
              <w:t>，项目</w:t>
            </w:r>
            <w:r>
              <w:rPr>
                <w:rFonts w:hint="eastAsia"/>
                <w:color w:val="auto"/>
              </w:rPr>
              <w:t>噪声排放</w:t>
            </w:r>
            <w:r>
              <w:rPr>
                <w:rFonts w:hint="eastAsia"/>
                <w:color w:val="auto"/>
                <w:lang w:val="en-GB"/>
              </w:rPr>
              <w:t>基本情况及监测要求见</w:t>
            </w:r>
            <w:r>
              <w:rPr>
                <w:rFonts w:hint="eastAsia"/>
                <w:color w:val="auto"/>
              </w:rPr>
              <w:t>下</w:t>
            </w:r>
            <w:r>
              <w:rPr>
                <w:rFonts w:hint="eastAsia"/>
                <w:color w:val="auto"/>
                <w:lang w:val="en-GB"/>
              </w:rPr>
              <w:t>表：</w:t>
            </w:r>
          </w:p>
          <w:p w14:paraId="707BB281">
            <w:pPr>
              <w:pStyle w:val="27"/>
              <w:bidi w:val="0"/>
              <w:rPr>
                <w:rFonts w:hint="default"/>
              </w:rPr>
            </w:pPr>
            <w:r>
              <w:t>表4-</w:t>
            </w:r>
            <w:r>
              <w:rPr>
                <w:rFonts w:hint="eastAsia"/>
                <w:lang w:val="en-US" w:eastAsia="zh-CN"/>
              </w:rPr>
              <w:t xml:space="preserve">18 </w:t>
            </w:r>
            <w:r>
              <w:t xml:space="preserve"> 项目营运期厂界噪声环境监测计划</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9"/>
              <w:gridCol w:w="1206"/>
              <w:gridCol w:w="1025"/>
              <w:gridCol w:w="1109"/>
              <w:gridCol w:w="2223"/>
              <w:gridCol w:w="2181"/>
            </w:tblGrid>
            <w:tr w14:paraId="0BA4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3" w:type="pct"/>
                  <w:vAlign w:val="center"/>
                </w:tcPr>
                <w:p w14:paraId="335A8D2B">
                  <w:pPr>
                    <w:pStyle w:val="32"/>
                    <w:bidi w:val="0"/>
                    <w:rPr>
                      <w:b/>
                      <w:bCs/>
                      <w:color w:val="auto"/>
                    </w:rPr>
                  </w:pPr>
                  <w:r>
                    <w:rPr>
                      <w:rFonts w:hint="eastAsia"/>
                      <w:b/>
                      <w:bCs/>
                    </w:rPr>
                    <w:t>监测内容</w:t>
                  </w:r>
                </w:p>
              </w:tc>
              <w:tc>
                <w:tcPr>
                  <w:tcW w:w="705" w:type="pct"/>
                  <w:vAlign w:val="center"/>
                </w:tcPr>
                <w:p w14:paraId="732CD503">
                  <w:pPr>
                    <w:pStyle w:val="32"/>
                    <w:bidi w:val="0"/>
                    <w:rPr>
                      <w:b/>
                      <w:bCs/>
                      <w:color w:val="auto"/>
                    </w:rPr>
                  </w:pPr>
                  <w:r>
                    <w:rPr>
                      <w:rFonts w:hint="eastAsia"/>
                      <w:b/>
                      <w:bCs/>
                    </w:rPr>
                    <w:t>监测点位</w:t>
                  </w:r>
                </w:p>
              </w:tc>
              <w:tc>
                <w:tcPr>
                  <w:tcW w:w="599" w:type="pct"/>
                  <w:vAlign w:val="center"/>
                </w:tcPr>
                <w:p w14:paraId="31427A70">
                  <w:pPr>
                    <w:pStyle w:val="32"/>
                    <w:bidi w:val="0"/>
                    <w:rPr>
                      <w:b/>
                      <w:bCs/>
                      <w:color w:val="auto"/>
                    </w:rPr>
                  </w:pPr>
                  <w:r>
                    <w:rPr>
                      <w:rFonts w:hint="eastAsia"/>
                      <w:b/>
                      <w:bCs/>
                    </w:rPr>
                    <w:t>监测项目</w:t>
                  </w:r>
                </w:p>
              </w:tc>
              <w:tc>
                <w:tcPr>
                  <w:tcW w:w="648" w:type="pct"/>
                  <w:vAlign w:val="center"/>
                </w:tcPr>
                <w:p w14:paraId="048539E9">
                  <w:pPr>
                    <w:pStyle w:val="32"/>
                    <w:bidi w:val="0"/>
                    <w:rPr>
                      <w:b/>
                      <w:bCs/>
                      <w:color w:val="auto"/>
                    </w:rPr>
                  </w:pPr>
                  <w:r>
                    <w:rPr>
                      <w:rFonts w:hint="eastAsia"/>
                      <w:b/>
                      <w:bCs/>
                    </w:rPr>
                    <w:t>监测频次</w:t>
                  </w:r>
                </w:p>
              </w:tc>
              <w:tc>
                <w:tcPr>
                  <w:tcW w:w="1299" w:type="pct"/>
                  <w:vAlign w:val="center"/>
                </w:tcPr>
                <w:p w14:paraId="639599A5">
                  <w:pPr>
                    <w:pStyle w:val="32"/>
                    <w:bidi w:val="0"/>
                    <w:rPr>
                      <w:b/>
                      <w:bCs/>
                      <w:color w:val="auto"/>
                    </w:rPr>
                  </w:pPr>
                  <w:r>
                    <w:rPr>
                      <w:b/>
                      <w:bCs/>
                    </w:rPr>
                    <w:t>监测依据</w:t>
                  </w:r>
                </w:p>
              </w:tc>
              <w:tc>
                <w:tcPr>
                  <w:tcW w:w="1274" w:type="pct"/>
                  <w:vAlign w:val="center"/>
                </w:tcPr>
                <w:p w14:paraId="5D8A8904">
                  <w:pPr>
                    <w:pStyle w:val="32"/>
                    <w:bidi w:val="0"/>
                    <w:rPr>
                      <w:b/>
                      <w:bCs/>
                      <w:color w:val="auto"/>
                    </w:rPr>
                  </w:pPr>
                  <w:r>
                    <w:rPr>
                      <w:b/>
                      <w:bCs/>
                    </w:rPr>
                    <w:t>执行排放标准</w:t>
                  </w:r>
                </w:p>
              </w:tc>
            </w:tr>
            <w:tr w14:paraId="11F2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3" w:type="pct"/>
                  <w:vAlign w:val="center"/>
                </w:tcPr>
                <w:p w14:paraId="1B3D7E8D">
                  <w:pPr>
                    <w:pStyle w:val="32"/>
                    <w:bidi w:val="0"/>
                    <w:rPr>
                      <w:color w:val="auto"/>
                    </w:rPr>
                  </w:pPr>
                  <w:r>
                    <w:rPr>
                      <w:rFonts w:hint="eastAsia"/>
                    </w:rPr>
                    <w:t>噪声</w:t>
                  </w:r>
                </w:p>
              </w:tc>
              <w:tc>
                <w:tcPr>
                  <w:tcW w:w="705" w:type="pct"/>
                  <w:vAlign w:val="center"/>
                </w:tcPr>
                <w:p w14:paraId="5265F0A2">
                  <w:pPr>
                    <w:pStyle w:val="32"/>
                    <w:bidi w:val="0"/>
                    <w:rPr>
                      <w:color w:val="auto"/>
                    </w:rPr>
                  </w:pPr>
                  <w:r>
                    <w:rPr>
                      <w:rFonts w:hint="eastAsia"/>
                    </w:rPr>
                    <w:t>厂界四周</w:t>
                  </w:r>
                </w:p>
              </w:tc>
              <w:tc>
                <w:tcPr>
                  <w:tcW w:w="599" w:type="pct"/>
                  <w:vAlign w:val="center"/>
                </w:tcPr>
                <w:p w14:paraId="3FE782F5">
                  <w:pPr>
                    <w:pStyle w:val="32"/>
                    <w:bidi w:val="0"/>
                    <w:rPr>
                      <w:color w:val="auto"/>
                    </w:rPr>
                  </w:pPr>
                  <w:r>
                    <w:rPr>
                      <w:rFonts w:hint="eastAsia"/>
                    </w:rPr>
                    <w:t>LAeq</w:t>
                  </w:r>
                </w:p>
              </w:tc>
              <w:tc>
                <w:tcPr>
                  <w:tcW w:w="648" w:type="pct"/>
                  <w:vAlign w:val="center"/>
                </w:tcPr>
                <w:p w14:paraId="442C16C2">
                  <w:pPr>
                    <w:pStyle w:val="32"/>
                    <w:bidi w:val="0"/>
                    <w:rPr>
                      <w:color w:val="auto"/>
                    </w:rPr>
                  </w:pPr>
                  <w:r>
                    <w:rPr>
                      <w:rFonts w:hint="eastAsia"/>
                    </w:rPr>
                    <w:t>1次/季，昼夜各一次</w:t>
                  </w:r>
                </w:p>
              </w:tc>
              <w:tc>
                <w:tcPr>
                  <w:tcW w:w="1299" w:type="pct"/>
                  <w:vAlign w:val="center"/>
                </w:tcPr>
                <w:p w14:paraId="2A0B774C">
                  <w:pPr>
                    <w:pStyle w:val="32"/>
                    <w:bidi w:val="0"/>
                    <w:rPr>
                      <w:color w:val="auto"/>
                    </w:rPr>
                  </w:pPr>
                  <w:r>
                    <w:rPr>
                      <w:rFonts w:hint="eastAsia"/>
                    </w:rPr>
                    <w:t>《排污许可证申请与核发技术规范 工业噪声》（HJ1301-2023）</w:t>
                  </w:r>
                </w:p>
              </w:tc>
              <w:tc>
                <w:tcPr>
                  <w:tcW w:w="1274" w:type="pct"/>
                  <w:vAlign w:val="center"/>
                </w:tcPr>
                <w:p w14:paraId="58F10195">
                  <w:pPr>
                    <w:pStyle w:val="32"/>
                    <w:bidi w:val="0"/>
                    <w:rPr>
                      <w:color w:val="auto"/>
                    </w:rPr>
                  </w:pPr>
                  <w:r>
                    <w:t>《工业企业厂界环境噪声排放标准》(GB12348-2008)</w:t>
                  </w:r>
                  <w:r>
                    <w:rPr>
                      <w:rFonts w:hint="eastAsia"/>
                      <w:lang w:val="en-US" w:eastAsia="zh-CN"/>
                    </w:rPr>
                    <w:t>2</w:t>
                  </w:r>
                  <w:r>
                    <w:t>类标准</w:t>
                  </w:r>
                </w:p>
              </w:tc>
            </w:tr>
          </w:tbl>
          <w:p w14:paraId="3C5B6304">
            <w:pPr>
              <w:ind w:firstLine="482"/>
              <w:rPr>
                <w:b/>
                <w:bCs/>
                <w:color w:val="auto"/>
              </w:rPr>
            </w:pPr>
            <w:r>
              <w:rPr>
                <w:rFonts w:hint="eastAsia"/>
                <w:b/>
                <w:bCs/>
                <w:color w:val="auto"/>
              </w:rPr>
              <w:t>四、固体废物</w:t>
            </w:r>
          </w:p>
          <w:p w14:paraId="63985379">
            <w:pPr>
              <w:bidi w:val="0"/>
              <w:rPr>
                <w:b/>
                <w:bCs/>
                <w:color w:val="auto"/>
              </w:rPr>
            </w:pPr>
            <w:r>
              <w:rPr>
                <w:b/>
                <w:bCs/>
                <w:color w:val="auto"/>
              </w:rPr>
              <w:t>1、固体废弃物产生及处置情况</w:t>
            </w:r>
          </w:p>
          <w:p w14:paraId="528660AE">
            <w:pPr>
              <w:bidi w:val="0"/>
              <w:rPr>
                <w:rFonts w:hint="eastAsia"/>
                <w:color w:val="auto"/>
                <w:highlight w:val="none"/>
                <w:lang w:val="en-US" w:eastAsia="zh-CN"/>
              </w:rPr>
            </w:pPr>
            <w:r>
              <w:rPr>
                <w:color w:val="auto"/>
              </w:rPr>
              <w:t>本项目</w:t>
            </w:r>
            <w:r>
              <w:rPr>
                <w:rFonts w:hint="eastAsia"/>
                <w:color w:val="auto"/>
              </w:rPr>
              <w:t>产生的</w:t>
            </w:r>
            <w:r>
              <w:rPr>
                <w:color w:val="auto"/>
              </w:rPr>
              <w:t>固体废物主要为</w:t>
            </w:r>
            <w:r>
              <w:rPr>
                <w:rFonts w:hint="eastAsia"/>
                <w:color w:val="auto"/>
                <w:lang w:val="en-US" w:eastAsia="zh-CN"/>
              </w:rPr>
              <w:t>生活垃圾、厨余垃圾、废包装材料、污水处理站污泥、栅渣、废活性炭、医疗废物、化验废液废物</w:t>
            </w:r>
            <w:r>
              <w:rPr>
                <w:rFonts w:hint="eastAsia"/>
                <w:color w:val="auto"/>
                <w:highlight w:val="none"/>
                <w:lang w:val="en-US" w:eastAsia="zh-CN"/>
              </w:rPr>
              <w:t>。</w:t>
            </w:r>
          </w:p>
          <w:p w14:paraId="37703AC0">
            <w:pPr>
              <w:bidi w:val="0"/>
              <w:rPr>
                <w:rFonts w:hint="eastAsia"/>
                <w:b/>
                <w:bCs/>
                <w:color w:val="auto"/>
                <w:lang w:val="en-US" w:eastAsia="zh-CN"/>
              </w:rPr>
            </w:pPr>
            <w:r>
              <w:rPr>
                <w:rFonts w:hint="eastAsia"/>
                <w:b/>
                <w:bCs/>
                <w:color w:val="auto"/>
                <w:lang w:val="en-US" w:eastAsia="zh-CN"/>
              </w:rPr>
              <w:t>本项目产生的一般固体废物主要包括：生活垃圾、厨余垃圾、废包装材料。</w:t>
            </w:r>
          </w:p>
          <w:p w14:paraId="352710FE">
            <w:pPr>
              <w:bidi w:val="0"/>
              <w:rPr>
                <w:rFonts w:hint="eastAsia"/>
                <w:b/>
                <w:bCs/>
                <w:color w:val="auto"/>
                <w:lang w:val="en-US" w:eastAsia="zh-CN"/>
              </w:rPr>
            </w:pPr>
            <w:r>
              <w:rPr>
                <w:rFonts w:hint="eastAsia"/>
                <w:b/>
                <w:bCs/>
                <w:color w:val="auto"/>
              </w:rPr>
              <w:t>①</w:t>
            </w:r>
            <w:r>
              <w:rPr>
                <w:rFonts w:hint="eastAsia"/>
                <w:b/>
                <w:bCs/>
                <w:color w:val="auto"/>
                <w:lang w:val="en-US" w:eastAsia="zh-CN"/>
              </w:rPr>
              <w:t>生活垃圾</w:t>
            </w:r>
          </w:p>
          <w:p w14:paraId="3D792E28">
            <w:pPr>
              <w:bidi w:val="0"/>
              <w:rPr>
                <w:rFonts w:hint="eastAsia"/>
                <w:color w:val="auto"/>
              </w:rPr>
            </w:pPr>
            <w:r>
              <w:rPr>
                <w:rFonts w:hint="eastAsia"/>
                <w:color w:val="auto"/>
                <w:lang w:val="en-US" w:eastAsia="zh-CN"/>
              </w:rPr>
              <w:t>医院职工60人，医院设置270 张床位，门诊人数平均每天50人次。根据医院固体废物产生及排放情况以及有关统计资料，医院职工和住院病人垃圾的产生率平均按0.5kg/d·人计，门诊病人产生垃圾的产生率平均按 0.15kg/d·人计，则项目生活垃圾产生量0.1725t/d(62.9625t/a)。由市政环卫部门定时清运送后统一处理。</w:t>
            </w:r>
          </w:p>
          <w:p w14:paraId="43C07C10">
            <w:pPr>
              <w:bidi w:val="0"/>
              <w:rPr>
                <w:rFonts w:hint="eastAsia"/>
                <w:b/>
                <w:bCs/>
                <w:color w:val="auto"/>
              </w:rPr>
            </w:pPr>
            <w:r>
              <w:rPr>
                <w:rFonts w:hint="eastAsia"/>
                <w:b/>
                <w:bCs/>
                <w:color w:val="auto"/>
              </w:rPr>
              <w:t>②废包装材料</w:t>
            </w:r>
          </w:p>
          <w:p w14:paraId="1896DE75">
            <w:pPr>
              <w:bidi w:val="0"/>
              <w:rPr>
                <w:rFonts w:hint="eastAsia" w:eastAsia="宋体"/>
                <w:color w:val="auto"/>
                <w:lang w:eastAsia="zh-CN"/>
              </w:rPr>
            </w:pPr>
            <w:r>
              <w:rPr>
                <w:rFonts w:hint="eastAsia"/>
                <w:color w:val="auto"/>
              </w:rPr>
              <w:t>主要为药品产生的废包装材料，为一般固废，类比同规模同类的医院本项目产生的废包装材料约为0.3t</w:t>
            </w:r>
            <w:r>
              <w:rPr>
                <w:rFonts w:hint="eastAsia"/>
                <w:color w:val="auto"/>
                <w:lang w:val="en-US" w:eastAsia="zh-CN"/>
              </w:rPr>
              <w:t>/</w:t>
            </w:r>
            <w:r>
              <w:rPr>
                <w:rFonts w:hint="eastAsia"/>
                <w:color w:val="auto"/>
              </w:rPr>
              <w:t>a，集中收集定期由废品回收企业回收处理</w:t>
            </w:r>
            <w:r>
              <w:rPr>
                <w:rFonts w:hint="eastAsia"/>
                <w:color w:val="auto"/>
                <w:lang w:eastAsia="zh-CN"/>
              </w:rPr>
              <w:t>。</w:t>
            </w:r>
          </w:p>
          <w:p w14:paraId="3C0E5F45">
            <w:pPr>
              <w:bidi w:val="0"/>
              <w:rPr>
                <w:rFonts w:hint="eastAsia"/>
                <w:b/>
                <w:bCs/>
                <w:color w:val="auto"/>
                <w:lang w:val="en-US" w:eastAsia="zh-CN"/>
              </w:rPr>
            </w:pPr>
            <w:r>
              <w:rPr>
                <w:rFonts w:hint="eastAsia"/>
                <w:b/>
                <w:bCs/>
                <w:color w:val="auto"/>
                <w:lang w:val="en-US" w:eastAsia="zh-CN"/>
              </w:rPr>
              <w:t>③厨余垃圾</w:t>
            </w:r>
          </w:p>
          <w:p w14:paraId="53C74513">
            <w:pPr>
              <w:bidi w:val="0"/>
              <w:rPr>
                <w:rFonts w:hint="eastAsia"/>
                <w:color w:val="auto"/>
                <w:lang w:val="en-US" w:eastAsia="zh-CN"/>
              </w:rPr>
            </w:pPr>
            <w:r>
              <w:rPr>
                <w:rFonts w:hint="eastAsia"/>
                <w:color w:val="auto"/>
                <w:lang w:val="en-US" w:eastAsia="zh-CN"/>
              </w:rPr>
              <w:t>本项目病人及医务人员就餐在食堂，食堂就餐人数最大为330人，餐厨垃圾产生量按 0.1kg/d 计，则餐厨垃圾产生量 0.033t/d（12.045t/a）。餐厨垃圾(含隔油池浮油)由厨余垃圾收运单位收运、处理，不得与生活垃圾混装。</w:t>
            </w:r>
          </w:p>
          <w:p w14:paraId="0B619C07">
            <w:pPr>
              <w:bidi w:val="0"/>
              <w:rPr>
                <w:b/>
                <w:bCs/>
                <w:color w:val="auto"/>
              </w:rPr>
            </w:pPr>
            <w:r>
              <w:rPr>
                <w:rFonts w:hint="eastAsia"/>
                <w:b/>
                <w:bCs/>
                <w:color w:val="auto"/>
                <w:lang w:val="en-US" w:eastAsia="zh-CN"/>
              </w:rPr>
              <w:t>本项目产生的危险废物主要包括：医疗废物、污水处理站污泥、栅渣、废活性炭、化验废液废物</w:t>
            </w:r>
            <w:r>
              <w:rPr>
                <w:rFonts w:hint="eastAsia"/>
                <w:b/>
                <w:bCs/>
                <w:color w:val="auto"/>
                <w:highlight w:val="none"/>
                <w:lang w:val="en-US" w:eastAsia="zh-CN"/>
              </w:rPr>
              <w:t>。</w:t>
            </w:r>
          </w:p>
          <w:p w14:paraId="2E972A23">
            <w:pPr>
              <w:bidi w:val="0"/>
              <w:rPr>
                <w:rFonts w:hint="eastAsia"/>
                <w:b/>
                <w:bCs/>
                <w:color w:val="auto"/>
                <w:lang w:val="en-US" w:eastAsia="zh-CN"/>
              </w:rPr>
            </w:pPr>
            <w:r>
              <w:rPr>
                <w:rFonts w:hint="eastAsia"/>
                <w:b/>
                <w:bCs/>
                <w:color w:val="auto"/>
                <w:lang w:val="en-US" w:eastAsia="zh-CN"/>
              </w:rPr>
              <w:t>④医疗废物</w:t>
            </w:r>
          </w:p>
          <w:p w14:paraId="180F0B12">
            <w:pPr>
              <w:bidi w:val="0"/>
              <w:rPr>
                <w:rFonts w:hint="eastAsia"/>
                <w:color w:val="auto"/>
                <w:lang w:val="en-US" w:eastAsia="zh-CN"/>
              </w:rPr>
            </w:pPr>
            <w:r>
              <w:rPr>
                <w:rFonts w:hint="eastAsia"/>
                <w:color w:val="auto"/>
                <w:lang w:val="en-US" w:eastAsia="zh-CN"/>
              </w:rPr>
              <w:t>本项目诊疗及治疗过程中会产生的医疗废物，包括感染性医疗废物、损伤性废物、药物性废物、化学性废物等，根据《国家危险废物名录》(2025年版)，属于危险固废，废物类别为HW01医疗废物。</w:t>
            </w:r>
          </w:p>
          <w:p w14:paraId="26E94E5C">
            <w:pPr>
              <w:bidi w:val="0"/>
              <w:rPr>
                <w:rFonts w:hint="eastAsia"/>
                <w:color w:val="auto"/>
                <w:lang w:val="en-US" w:eastAsia="zh-CN"/>
              </w:rPr>
            </w:pPr>
            <w:r>
              <w:rPr>
                <w:rFonts w:hint="eastAsia"/>
                <w:color w:val="auto"/>
                <w:lang w:val="en-US" w:eastAsia="zh-CN"/>
              </w:rPr>
              <w:t>本项目医疗废物产生量参考《第一次全国污染源普查城镇生活源产排污系数手册》第四分册医院污染物产生、排放系数中综合医院105-500床位的核算系数：0.53kg/床.日，本项目设置270 张床位，则医疗废物年产生量为52.2315t/a。医疗废物暂存于医废暂存间后委托有资质的单位进行处置。</w:t>
            </w:r>
          </w:p>
          <w:p w14:paraId="4096E042">
            <w:pPr>
              <w:bidi w:val="0"/>
              <w:rPr>
                <w:rFonts w:hint="eastAsia"/>
                <w:b/>
                <w:bCs/>
                <w:color w:val="auto"/>
                <w:lang w:val="en-US" w:eastAsia="zh-CN"/>
              </w:rPr>
            </w:pPr>
            <w:r>
              <w:rPr>
                <w:rFonts w:hint="eastAsia"/>
                <w:b/>
                <w:bCs/>
                <w:color w:val="auto"/>
                <w:lang w:val="en-US" w:eastAsia="zh-CN"/>
              </w:rPr>
              <w:t>⑤化验废液废物</w:t>
            </w:r>
          </w:p>
          <w:p w14:paraId="761D09A7">
            <w:pPr>
              <w:bidi w:val="0"/>
              <w:rPr>
                <w:rFonts w:hint="eastAsia"/>
                <w:color w:val="auto"/>
                <w:lang w:val="en-US" w:eastAsia="zh-CN"/>
              </w:rPr>
            </w:pPr>
            <w:r>
              <w:rPr>
                <w:rFonts w:hint="eastAsia"/>
                <w:b w:val="0"/>
                <w:bCs w:val="0"/>
                <w:color w:val="auto"/>
                <w:lang w:val="en-US" w:eastAsia="zh-CN"/>
              </w:rPr>
              <w:t>本项目为精神病专科医院，</w:t>
            </w:r>
            <w:r>
              <w:rPr>
                <w:rFonts w:hint="eastAsia"/>
                <w:color w:val="auto"/>
                <w:lang w:val="en-US" w:eastAsia="zh-CN"/>
              </w:rPr>
              <w:t>涉及血常规、血液生化、血清中电解质及尿常规检查。血液、尿液检查采用成套配有分析测定所需全部试剂的试剂盒。检验产生的废试剂盒、废检验试剂及少量废液属于危险废物中的医疗废物(HW01)，化验废液废物产生量约为0.35t/a，专有容器收集后，暂存于医疗废物暂存间，定期委托有资质单位进行处理处置。</w:t>
            </w:r>
          </w:p>
          <w:p w14:paraId="6A8E05BE">
            <w:pPr>
              <w:bidi w:val="0"/>
              <w:rPr>
                <w:rFonts w:hint="eastAsia"/>
                <w:b/>
                <w:bCs/>
                <w:color w:val="auto"/>
                <w:lang w:val="en-US" w:eastAsia="zh-CN"/>
              </w:rPr>
            </w:pPr>
            <w:r>
              <w:rPr>
                <w:rFonts w:hint="eastAsia"/>
                <w:b/>
                <w:bCs/>
                <w:color w:val="auto"/>
                <w:lang w:val="en-US" w:eastAsia="zh-CN"/>
              </w:rPr>
              <w:t>⑥污泥和栅渣</w:t>
            </w:r>
          </w:p>
          <w:p w14:paraId="7F846D4A">
            <w:pPr>
              <w:bidi w:val="0"/>
              <w:rPr>
                <w:rFonts w:hint="default"/>
                <w:color w:val="auto"/>
                <w:lang w:val="en-US" w:eastAsia="zh-CN"/>
              </w:rPr>
            </w:pPr>
            <w:r>
              <w:rPr>
                <w:rFonts w:hint="default"/>
                <w:color w:val="auto"/>
                <w:lang w:val="en-US" w:eastAsia="zh-CN"/>
              </w:rPr>
              <w:t>根据《医疗机构水污染物排放标准》(GB18466-2005)中有关污泥控制与处置的规定</w:t>
            </w:r>
            <w:r>
              <w:rPr>
                <w:rFonts w:hint="eastAsia"/>
                <w:color w:val="auto"/>
                <w:lang w:val="en-US" w:eastAsia="zh-CN"/>
              </w:rPr>
              <w:t>：</w:t>
            </w:r>
            <w:r>
              <w:rPr>
                <w:rFonts w:hint="default"/>
                <w:color w:val="auto"/>
                <w:lang w:val="en-US" w:eastAsia="zh-CN"/>
              </w:rPr>
              <w:t>化粪池、栅渣、污水处理站污泥属医疗废物，应按医疗废物进行处理和处置。</w:t>
            </w:r>
          </w:p>
          <w:p w14:paraId="6B712805">
            <w:pPr>
              <w:bidi w:val="0"/>
              <w:rPr>
                <w:rFonts w:hint="eastAsia"/>
                <w:color w:val="auto"/>
                <w:lang w:val="en-US" w:eastAsia="zh-CN"/>
              </w:rPr>
            </w:pPr>
            <w:r>
              <w:rPr>
                <w:rFonts w:hint="eastAsia"/>
                <w:color w:val="auto"/>
                <w:lang w:val="en-US" w:eastAsia="zh-CN"/>
              </w:rPr>
              <w:t>根据</w:t>
            </w:r>
            <w:r>
              <w:rPr>
                <w:rFonts w:hint="eastAsia"/>
                <w:color w:val="auto"/>
              </w:rPr>
              <w:t>《医疗机构污水处理工程技术标准》(GB51459—2024)</w:t>
            </w:r>
            <w:r>
              <w:rPr>
                <w:rFonts w:hint="eastAsia"/>
                <w:color w:val="auto"/>
                <w:lang w:val="en-US" w:eastAsia="zh-CN"/>
              </w:rPr>
              <w:t>表10.1.1 各阶段污泥量平均值，详见下表。</w:t>
            </w:r>
          </w:p>
          <w:p w14:paraId="7246D045">
            <w:pPr>
              <w:pStyle w:val="41"/>
              <w:bidi w:val="0"/>
              <w:rPr>
                <w:rFonts w:hint="eastAsia"/>
                <w:lang w:val="en-US" w:eastAsia="zh-CN"/>
              </w:rPr>
            </w:pPr>
            <w:r>
              <w:rPr>
                <w:rFonts w:hint="eastAsia"/>
                <w:lang w:val="en-US" w:eastAsia="zh-CN"/>
              </w:rPr>
              <w:t>表4-19  本项目污泥计算一览表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002"/>
              <w:gridCol w:w="2065"/>
              <w:gridCol w:w="1637"/>
              <w:gridCol w:w="1397"/>
            </w:tblGrid>
            <w:tr w14:paraId="3EA4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tcPr>
                <w:p w14:paraId="475EF4A1">
                  <w:pPr>
                    <w:pStyle w:val="42"/>
                    <w:rPr>
                      <w:rFonts w:hint="default"/>
                      <w:b/>
                      <w:bCs/>
                      <w:vertAlign w:val="baseline"/>
                      <w:lang w:val="en-US" w:eastAsia="zh-CN"/>
                    </w:rPr>
                  </w:pPr>
                  <w:r>
                    <w:rPr>
                      <w:rFonts w:hint="eastAsia"/>
                      <w:b/>
                      <w:bCs/>
                      <w:vertAlign w:val="baseline"/>
                      <w:lang w:val="en-US" w:eastAsia="zh-CN"/>
                    </w:rPr>
                    <w:t>污泥种类</w:t>
                  </w:r>
                </w:p>
              </w:tc>
              <w:tc>
                <w:tcPr>
                  <w:tcW w:w="1169" w:type="pct"/>
                </w:tcPr>
                <w:p w14:paraId="73F88AE0">
                  <w:pPr>
                    <w:pStyle w:val="42"/>
                    <w:rPr>
                      <w:rFonts w:hint="default"/>
                      <w:b/>
                      <w:bCs/>
                      <w:vertAlign w:val="baseline"/>
                      <w:lang w:val="en-US" w:eastAsia="zh-CN"/>
                    </w:rPr>
                  </w:pPr>
                  <w:r>
                    <w:rPr>
                      <w:rFonts w:hint="eastAsia"/>
                      <w:b/>
                      <w:bCs/>
                      <w:vertAlign w:val="baseline"/>
                      <w:lang w:val="en-US" w:eastAsia="zh-CN"/>
                    </w:rPr>
                    <w:t>污泥来源</w:t>
                  </w:r>
                </w:p>
              </w:tc>
              <w:tc>
                <w:tcPr>
                  <w:tcW w:w="1206" w:type="pct"/>
                </w:tcPr>
                <w:p w14:paraId="49A998F2">
                  <w:pPr>
                    <w:pStyle w:val="42"/>
                    <w:rPr>
                      <w:rFonts w:hint="default"/>
                      <w:b/>
                      <w:bCs/>
                      <w:vertAlign w:val="baseline"/>
                      <w:lang w:val="en-US" w:eastAsia="zh-CN"/>
                    </w:rPr>
                  </w:pPr>
                  <w:r>
                    <w:rPr>
                      <w:rFonts w:hint="eastAsia"/>
                      <w:b/>
                      <w:bCs/>
                      <w:vertAlign w:val="baseline"/>
                      <w:lang w:val="en-US" w:eastAsia="zh-CN"/>
                    </w:rPr>
                    <w:t>总固体g/（床.d）</w:t>
                  </w:r>
                </w:p>
              </w:tc>
              <w:tc>
                <w:tcPr>
                  <w:tcW w:w="956" w:type="pct"/>
                </w:tcPr>
                <w:p w14:paraId="1F038F57">
                  <w:pPr>
                    <w:pStyle w:val="42"/>
                    <w:rPr>
                      <w:rFonts w:hint="default"/>
                      <w:b/>
                      <w:bCs/>
                      <w:vertAlign w:val="baseline"/>
                      <w:lang w:val="en-US" w:eastAsia="zh-CN"/>
                    </w:rPr>
                  </w:pPr>
                  <w:r>
                    <w:rPr>
                      <w:rFonts w:hint="eastAsia"/>
                      <w:b/>
                      <w:bCs/>
                      <w:vertAlign w:val="baseline"/>
                      <w:lang w:val="en-US" w:eastAsia="zh-CN"/>
                    </w:rPr>
                    <w:t>含水率%</w:t>
                  </w:r>
                </w:p>
              </w:tc>
              <w:tc>
                <w:tcPr>
                  <w:tcW w:w="816" w:type="pct"/>
                </w:tcPr>
                <w:p w14:paraId="12C43EF9">
                  <w:pPr>
                    <w:pStyle w:val="42"/>
                    <w:rPr>
                      <w:rFonts w:hint="default"/>
                      <w:b/>
                      <w:bCs/>
                      <w:vertAlign w:val="baseline"/>
                      <w:lang w:val="en-US" w:eastAsia="zh-CN"/>
                    </w:rPr>
                  </w:pPr>
                  <w:r>
                    <w:rPr>
                      <w:rFonts w:hint="eastAsia"/>
                      <w:b/>
                      <w:bCs/>
                      <w:vertAlign w:val="baseline"/>
                      <w:lang w:val="en-US" w:eastAsia="zh-CN"/>
                    </w:rPr>
                    <w:t>本项目取值</w:t>
                  </w:r>
                </w:p>
              </w:tc>
            </w:tr>
            <w:tr w14:paraId="3E57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tcPr>
                <w:p w14:paraId="13984412">
                  <w:pPr>
                    <w:pStyle w:val="42"/>
                    <w:rPr>
                      <w:rFonts w:hint="default"/>
                      <w:vertAlign w:val="baseline"/>
                      <w:lang w:val="en-US" w:eastAsia="zh-CN"/>
                    </w:rPr>
                  </w:pPr>
                  <w:r>
                    <w:rPr>
                      <w:rFonts w:hint="eastAsia"/>
                      <w:vertAlign w:val="baseline"/>
                      <w:lang w:val="en-US" w:eastAsia="zh-CN"/>
                    </w:rPr>
                    <w:t>初沉污泥</w:t>
                  </w:r>
                </w:p>
              </w:tc>
              <w:tc>
                <w:tcPr>
                  <w:tcW w:w="1169" w:type="pct"/>
                </w:tcPr>
                <w:p w14:paraId="307F0E54">
                  <w:pPr>
                    <w:pStyle w:val="42"/>
                    <w:rPr>
                      <w:rFonts w:hint="default"/>
                      <w:vertAlign w:val="baseline"/>
                      <w:lang w:val="en-US" w:eastAsia="zh-CN"/>
                    </w:rPr>
                  </w:pPr>
                  <w:r>
                    <w:rPr>
                      <w:rFonts w:hint="eastAsia"/>
                      <w:vertAlign w:val="baseline"/>
                      <w:lang w:val="en-US" w:eastAsia="zh-CN"/>
                    </w:rPr>
                    <w:t>调节池</w:t>
                  </w:r>
                </w:p>
              </w:tc>
              <w:tc>
                <w:tcPr>
                  <w:tcW w:w="1206" w:type="pct"/>
                </w:tcPr>
                <w:p w14:paraId="6E5E04B8">
                  <w:pPr>
                    <w:pStyle w:val="42"/>
                    <w:rPr>
                      <w:rFonts w:hint="default"/>
                      <w:vertAlign w:val="baseline"/>
                      <w:lang w:val="en-US" w:eastAsia="zh-CN"/>
                    </w:rPr>
                  </w:pPr>
                  <w:r>
                    <w:rPr>
                      <w:rFonts w:hint="eastAsia"/>
                      <w:vertAlign w:val="baseline"/>
                      <w:lang w:val="en-US" w:eastAsia="zh-CN"/>
                    </w:rPr>
                    <w:t>54</w:t>
                  </w:r>
                </w:p>
              </w:tc>
              <w:tc>
                <w:tcPr>
                  <w:tcW w:w="956" w:type="pct"/>
                </w:tcPr>
                <w:p w14:paraId="76C881E6">
                  <w:pPr>
                    <w:pStyle w:val="42"/>
                    <w:rPr>
                      <w:rFonts w:hint="default"/>
                      <w:vertAlign w:val="baseline"/>
                      <w:lang w:val="en-US" w:eastAsia="zh-CN"/>
                    </w:rPr>
                  </w:pPr>
                  <w:r>
                    <w:rPr>
                      <w:rFonts w:hint="eastAsia"/>
                      <w:vertAlign w:val="baseline"/>
                      <w:lang w:val="en-US" w:eastAsia="zh-CN"/>
                    </w:rPr>
                    <w:t>92-95</w:t>
                  </w:r>
                </w:p>
              </w:tc>
              <w:tc>
                <w:tcPr>
                  <w:tcW w:w="816" w:type="pct"/>
                </w:tcPr>
                <w:p w14:paraId="7E783AAB">
                  <w:pPr>
                    <w:pStyle w:val="42"/>
                    <w:rPr>
                      <w:rFonts w:hint="default"/>
                      <w:vertAlign w:val="baseline"/>
                      <w:lang w:val="en-US" w:eastAsia="zh-CN"/>
                    </w:rPr>
                  </w:pPr>
                  <w:r>
                    <w:rPr>
                      <w:rFonts w:hint="eastAsia"/>
                      <w:vertAlign w:val="baseline"/>
                      <w:lang w:val="en-US" w:eastAsia="zh-CN"/>
                    </w:rPr>
                    <w:t>92</w:t>
                  </w:r>
                </w:p>
              </w:tc>
            </w:tr>
            <w:tr w14:paraId="0655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tcPr>
                <w:p w14:paraId="310E1CE6">
                  <w:pPr>
                    <w:pStyle w:val="42"/>
                    <w:rPr>
                      <w:rFonts w:hint="default"/>
                      <w:vertAlign w:val="baseline"/>
                      <w:lang w:val="en-US" w:eastAsia="zh-CN"/>
                    </w:rPr>
                  </w:pPr>
                  <w:r>
                    <w:rPr>
                      <w:rFonts w:hint="eastAsia"/>
                      <w:vertAlign w:val="baseline"/>
                      <w:lang w:val="en-US" w:eastAsia="zh-CN"/>
                    </w:rPr>
                    <w:t>剩余污泥</w:t>
                  </w:r>
                </w:p>
              </w:tc>
              <w:tc>
                <w:tcPr>
                  <w:tcW w:w="1169" w:type="pct"/>
                </w:tcPr>
                <w:p w14:paraId="2FF560A7">
                  <w:pPr>
                    <w:pStyle w:val="42"/>
                    <w:rPr>
                      <w:rFonts w:hint="default"/>
                      <w:vertAlign w:val="baseline"/>
                      <w:lang w:val="en-US" w:eastAsia="zh-CN"/>
                    </w:rPr>
                  </w:pPr>
                  <w:r>
                    <w:rPr>
                      <w:rFonts w:hint="eastAsia"/>
                      <w:vertAlign w:val="baseline"/>
                      <w:lang w:val="en-US" w:eastAsia="zh-CN"/>
                    </w:rPr>
                    <w:t>二沉池、生物反应池</w:t>
                  </w:r>
                </w:p>
              </w:tc>
              <w:tc>
                <w:tcPr>
                  <w:tcW w:w="1206" w:type="pct"/>
                </w:tcPr>
                <w:p w14:paraId="7C70BA5D">
                  <w:pPr>
                    <w:pStyle w:val="42"/>
                    <w:rPr>
                      <w:rFonts w:hint="default"/>
                      <w:vertAlign w:val="baseline"/>
                      <w:lang w:val="en-US" w:eastAsia="zh-CN"/>
                    </w:rPr>
                  </w:pPr>
                  <w:r>
                    <w:rPr>
                      <w:rFonts w:hint="eastAsia"/>
                      <w:vertAlign w:val="baseline"/>
                      <w:lang w:val="en-US" w:eastAsia="zh-CN"/>
                    </w:rPr>
                    <w:t>31</w:t>
                  </w:r>
                </w:p>
              </w:tc>
              <w:tc>
                <w:tcPr>
                  <w:tcW w:w="956" w:type="pct"/>
                </w:tcPr>
                <w:p w14:paraId="5AE3DB3F">
                  <w:pPr>
                    <w:pStyle w:val="42"/>
                    <w:rPr>
                      <w:rFonts w:hint="default"/>
                      <w:vertAlign w:val="baseline"/>
                      <w:lang w:val="en-US" w:eastAsia="zh-CN"/>
                    </w:rPr>
                  </w:pPr>
                  <w:r>
                    <w:rPr>
                      <w:rFonts w:hint="eastAsia"/>
                      <w:vertAlign w:val="baseline"/>
                      <w:lang w:val="en-US" w:eastAsia="zh-CN"/>
                    </w:rPr>
                    <w:t>97.0-98.5</w:t>
                  </w:r>
                </w:p>
              </w:tc>
              <w:tc>
                <w:tcPr>
                  <w:tcW w:w="816" w:type="pct"/>
                </w:tcPr>
                <w:p w14:paraId="03D329F7">
                  <w:pPr>
                    <w:pStyle w:val="42"/>
                    <w:rPr>
                      <w:rFonts w:hint="default"/>
                      <w:vertAlign w:val="baseline"/>
                      <w:lang w:val="en-US" w:eastAsia="zh-CN"/>
                    </w:rPr>
                  </w:pPr>
                  <w:r>
                    <w:rPr>
                      <w:rFonts w:hint="eastAsia"/>
                      <w:vertAlign w:val="baseline"/>
                      <w:lang w:val="en-US" w:eastAsia="zh-CN"/>
                    </w:rPr>
                    <w:t>97</w:t>
                  </w:r>
                </w:p>
              </w:tc>
            </w:tr>
          </w:tbl>
          <w:p w14:paraId="06633FDF">
            <w:pPr>
              <w:bidi w:val="0"/>
              <w:rPr>
                <w:rFonts w:hint="default"/>
                <w:lang w:val="en-US" w:eastAsia="zh-CN"/>
              </w:rPr>
            </w:pPr>
            <w:r>
              <w:rPr>
                <w:rFonts w:hint="eastAsia"/>
                <w:lang w:val="en-US" w:eastAsia="zh-CN"/>
              </w:rPr>
              <w:t>本项目设置270 张床位，项目干污泥产生量=[54×270+31×270]×365÷1000000=8.3768t/a，本项目污水站消毒间设置叠螺脱水机对污泥进行脱水，脱水后污泥含水率为65%，则污泥（湿）产生量为23.9337t，污泥脱水后上清液（144.4305t/a）返回污水处理站</w:t>
            </w:r>
          </w:p>
          <w:p w14:paraId="70895B8D">
            <w:pPr>
              <w:bidi w:val="0"/>
              <w:rPr>
                <w:rFonts w:hint="eastAsia"/>
                <w:lang w:val="en-US" w:eastAsia="zh-CN"/>
              </w:rPr>
            </w:pPr>
            <w:r>
              <w:rPr>
                <w:rFonts w:hint="eastAsia"/>
                <w:lang w:val="en-US" w:eastAsia="zh-CN"/>
              </w:rPr>
              <w:t>根据《医疗机构水污染物排放标准》(GB18466-2005)要求，产生的污泥属于危险废物，清掏前投加石灰石消毒、消毒时应充分搅拌混合均匀，并保证有不少于2小时的接触时间。项目污水处理站污泥、栅渣消毒脱水后交由有资质的单位处置。</w:t>
            </w:r>
          </w:p>
          <w:p w14:paraId="7DD506BC">
            <w:pPr>
              <w:bidi w:val="0"/>
              <w:rPr>
                <w:rFonts w:hint="default"/>
                <w:b/>
                <w:bCs/>
                <w:lang w:val="en-US" w:eastAsia="zh-CN"/>
              </w:rPr>
            </w:pPr>
            <w:r>
              <w:rPr>
                <w:rFonts w:hint="eastAsia"/>
                <w:b/>
                <w:bCs/>
                <w:lang w:val="en-US" w:eastAsia="zh-CN"/>
              </w:rPr>
              <w:t>⑦废活性炭</w:t>
            </w:r>
          </w:p>
          <w:p w14:paraId="2A05BCD6">
            <w:pPr>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项目污水处理站产生的臭气拟使用活性炭进行吸附，采取的活性炭种类需满足以下要求：采用颗粒活性炭：吸附值&gt;800 毫克/克，比表面积&gt;850平方米/克；采用蜂窝活性炭：吸附值&gt;650毫克/克，比表面积&gt;750 平方米/克，横向抗压强度应不低于0.8兆帕，纵向强度应不低于0.3 兆帕；采用活性炭纤维：比表面积不宜低于 1100 平方米/克。</w:t>
            </w:r>
            <w:r>
              <w:rPr>
                <w:color w:val="000000" w:themeColor="text1"/>
                <w14:textFill>
                  <w14:solidFill>
                    <w14:schemeClr w14:val="tx1"/>
                  </w14:solidFill>
                </w14:textFill>
              </w:rPr>
              <w:t>根据《简明通风设计手册》，活性炭：有机废气=1：0.3，即1kg的活性炭可以吸附0.3kg的有机废气</w:t>
            </w:r>
            <w:r>
              <w:rPr>
                <w:rFonts w:hint="eastAsia" w:ascii="Times New Roman" w:hAnsi="Times New Roman" w:eastAsia="宋体" w:cs="Times New Roman"/>
                <w:lang w:val="en-US" w:eastAsia="zh-CN"/>
              </w:rPr>
              <w:t>。项目需要吸附的臭气合计约为0.01038t/a，则需要活性炭量为0.0364t/a，吸附了臭气后的废活性炭产生量约为0.0450t/a，活性炭每3个月更换1次。</w:t>
            </w:r>
            <w:r>
              <w:rPr>
                <w:rFonts w:hint="eastAsia"/>
                <w:color w:val="000000" w:themeColor="text1"/>
                <w14:textFill>
                  <w14:solidFill>
                    <w14:schemeClr w14:val="tx1"/>
                  </w14:solidFill>
                </w14:textFill>
              </w:rPr>
              <w:t>废活性炭属于</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HW49</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类危险废物</w:t>
            </w:r>
            <w:r>
              <w:rPr>
                <w:color w:val="000000" w:themeColor="text1"/>
                <w14:textFill>
                  <w14:solidFill>
                    <w14:schemeClr w14:val="tx1"/>
                  </w14:solidFill>
                </w14:textFill>
              </w:rPr>
              <w:t>，废物代码900-039-49，</w:t>
            </w:r>
            <w:r>
              <w:rPr>
                <w:rFonts w:hint="eastAsia"/>
                <w:color w:val="000000" w:themeColor="text1"/>
                <w14:textFill>
                  <w14:solidFill>
                    <w14:schemeClr w14:val="tx1"/>
                  </w14:solidFill>
                </w14:textFill>
              </w:rPr>
              <w:t>建设单位收集在厂区危废暂存间暂存后定期</w:t>
            </w:r>
            <w:r>
              <w:rPr>
                <w:color w:val="000000" w:themeColor="text1"/>
                <w14:textFill>
                  <w14:solidFill>
                    <w14:schemeClr w14:val="tx1"/>
                  </w14:solidFill>
                </w14:textFill>
              </w:rPr>
              <w:t>委托有此</w:t>
            </w:r>
            <w:r>
              <w:rPr>
                <w:rFonts w:hint="eastAsia"/>
                <w:color w:val="000000" w:themeColor="text1"/>
                <w14:textFill>
                  <w14:solidFill>
                    <w14:schemeClr w14:val="tx1"/>
                  </w14:solidFill>
                </w14:textFill>
              </w:rPr>
              <w:t>类危险废物处理资质单位进行处理。</w:t>
            </w:r>
          </w:p>
          <w:p w14:paraId="488B1FF8">
            <w:pPr>
              <w:pStyle w:val="27"/>
              <w:bidi w:val="0"/>
              <w:rPr>
                <w:rFonts w:hint="eastAsia"/>
                <w:lang w:eastAsia="zh-CN"/>
              </w:rPr>
            </w:pPr>
            <w:r>
              <w:rPr>
                <w:rFonts w:hint="eastAsia"/>
              </w:rPr>
              <w:t>表4-</w:t>
            </w:r>
            <w:r>
              <w:rPr>
                <w:rFonts w:hint="eastAsia"/>
                <w:lang w:val="en-US" w:eastAsia="zh-CN"/>
              </w:rPr>
              <w:t xml:space="preserve">20  </w:t>
            </w:r>
            <w:r>
              <w:rPr>
                <w:rFonts w:hint="eastAsia"/>
              </w:rPr>
              <w:t>固废产生及处理处置措施</w:t>
            </w:r>
            <w:r>
              <w:rPr>
                <w:rFonts w:hint="eastAsia"/>
                <w:lang w:val="en-US" w:eastAsia="zh-CN"/>
              </w:rPr>
              <w:t>一览表</w:t>
            </w:r>
            <w:r>
              <w:rPr>
                <w:rFonts w:hint="eastAsia"/>
                <w:lang w:eastAsia="zh-CN"/>
              </w:rPr>
              <w:t>（</w:t>
            </w:r>
            <w:r>
              <w:rPr>
                <w:rFonts w:hint="eastAsia"/>
              </w:rPr>
              <w:t>单位：t/a</w:t>
            </w:r>
            <w:r>
              <w:rPr>
                <w:rFonts w:hint="eastAsia"/>
                <w:lang w:eastAsia="zh-CN"/>
              </w:rPr>
              <w:t>）</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299"/>
              <w:gridCol w:w="1511"/>
              <w:gridCol w:w="1191"/>
              <w:gridCol w:w="1237"/>
              <w:gridCol w:w="1311"/>
              <w:gridCol w:w="1347"/>
            </w:tblGrid>
            <w:tr w14:paraId="7820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8" w:type="pct"/>
                  <w:noWrap w:val="0"/>
                  <w:vAlign w:val="center"/>
                </w:tcPr>
                <w:p w14:paraId="2D8636F6">
                  <w:pPr>
                    <w:pStyle w:val="32"/>
                    <w:bidi w:val="0"/>
                    <w:rPr>
                      <w:rFonts w:hint="eastAsia"/>
                      <w:b/>
                      <w:bCs/>
                      <w:lang w:val="en-US" w:eastAsia="zh-CN"/>
                    </w:rPr>
                  </w:pPr>
                  <w:r>
                    <w:rPr>
                      <w:rFonts w:hint="eastAsia"/>
                      <w:b/>
                      <w:bCs/>
                      <w:lang w:val="en-US" w:eastAsia="zh-CN"/>
                    </w:rPr>
                    <w:t>序号</w:t>
                  </w:r>
                </w:p>
              </w:tc>
              <w:tc>
                <w:tcPr>
                  <w:tcW w:w="758" w:type="pct"/>
                  <w:noWrap w:val="0"/>
                  <w:vAlign w:val="center"/>
                </w:tcPr>
                <w:p w14:paraId="3486C465">
                  <w:pPr>
                    <w:pStyle w:val="32"/>
                    <w:bidi w:val="0"/>
                    <w:rPr>
                      <w:rFonts w:hint="eastAsia"/>
                      <w:b/>
                      <w:bCs/>
                      <w:lang w:val="en-US" w:eastAsia="zh-CN"/>
                    </w:rPr>
                  </w:pPr>
                  <w:r>
                    <w:rPr>
                      <w:rFonts w:hint="eastAsia"/>
                      <w:b/>
                      <w:bCs/>
                      <w:lang w:val="en-US" w:eastAsia="zh-CN"/>
                    </w:rPr>
                    <w:t>废物名称</w:t>
                  </w:r>
                </w:p>
              </w:tc>
              <w:tc>
                <w:tcPr>
                  <w:tcW w:w="882" w:type="pct"/>
                  <w:noWrap w:val="0"/>
                  <w:vAlign w:val="center"/>
                </w:tcPr>
                <w:p w14:paraId="55AACAE5">
                  <w:pPr>
                    <w:pStyle w:val="32"/>
                    <w:bidi w:val="0"/>
                    <w:rPr>
                      <w:rFonts w:hint="eastAsia"/>
                      <w:b/>
                      <w:bCs/>
                      <w:lang w:val="en-US" w:eastAsia="zh-CN"/>
                    </w:rPr>
                  </w:pPr>
                  <w:r>
                    <w:rPr>
                      <w:rFonts w:hint="eastAsia"/>
                      <w:b/>
                      <w:bCs/>
                      <w:lang w:val="en-US" w:eastAsia="zh-CN"/>
                    </w:rPr>
                    <w:t>产物工序</w:t>
                  </w:r>
                </w:p>
              </w:tc>
              <w:tc>
                <w:tcPr>
                  <w:tcW w:w="695" w:type="pct"/>
                  <w:noWrap w:val="0"/>
                  <w:vAlign w:val="center"/>
                </w:tcPr>
                <w:p w14:paraId="1668CA85">
                  <w:pPr>
                    <w:pStyle w:val="32"/>
                    <w:bidi w:val="0"/>
                    <w:rPr>
                      <w:rFonts w:hint="eastAsia"/>
                      <w:b/>
                      <w:bCs/>
                      <w:lang w:val="en-US" w:eastAsia="zh-CN"/>
                    </w:rPr>
                  </w:pPr>
                  <w:r>
                    <w:rPr>
                      <w:rFonts w:hint="eastAsia"/>
                      <w:b/>
                      <w:bCs/>
                      <w:lang w:val="en-US" w:eastAsia="zh-CN"/>
                    </w:rPr>
                    <w:t>类别</w:t>
                  </w:r>
                </w:p>
              </w:tc>
              <w:tc>
                <w:tcPr>
                  <w:tcW w:w="722" w:type="pct"/>
                  <w:noWrap w:val="0"/>
                  <w:vAlign w:val="center"/>
                </w:tcPr>
                <w:p w14:paraId="326B62BA">
                  <w:pPr>
                    <w:pStyle w:val="32"/>
                    <w:bidi w:val="0"/>
                    <w:rPr>
                      <w:rFonts w:hint="eastAsia"/>
                      <w:b/>
                      <w:bCs/>
                      <w:lang w:val="en-US" w:eastAsia="zh-CN"/>
                    </w:rPr>
                  </w:pPr>
                  <w:r>
                    <w:rPr>
                      <w:rFonts w:hint="eastAsia"/>
                      <w:b/>
                      <w:bCs/>
                      <w:lang w:val="en-US" w:eastAsia="zh-CN"/>
                    </w:rPr>
                    <w:t>代码</w:t>
                  </w:r>
                </w:p>
              </w:tc>
              <w:tc>
                <w:tcPr>
                  <w:tcW w:w="765" w:type="pct"/>
                  <w:noWrap w:val="0"/>
                  <w:vAlign w:val="center"/>
                </w:tcPr>
                <w:p w14:paraId="0BB05EB1">
                  <w:pPr>
                    <w:pStyle w:val="32"/>
                    <w:bidi w:val="0"/>
                    <w:rPr>
                      <w:rFonts w:hint="default"/>
                      <w:b/>
                      <w:bCs/>
                      <w:lang w:val="en-US" w:eastAsia="zh-CN"/>
                    </w:rPr>
                  </w:pPr>
                  <w:r>
                    <w:rPr>
                      <w:rFonts w:hint="eastAsia"/>
                      <w:b/>
                      <w:bCs/>
                      <w:lang w:val="en-US" w:eastAsia="zh-CN"/>
                    </w:rPr>
                    <w:t>产生量t/a</w:t>
                  </w:r>
                </w:p>
              </w:tc>
              <w:tc>
                <w:tcPr>
                  <w:tcW w:w="786" w:type="pct"/>
                  <w:noWrap w:val="0"/>
                  <w:vAlign w:val="center"/>
                </w:tcPr>
                <w:p w14:paraId="276A17E5">
                  <w:pPr>
                    <w:pStyle w:val="32"/>
                    <w:bidi w:val="0"/>
                    <w:rPr>
                      <w:rFonts w:hint="eastAsia"/>
                      <w:b/>
                      <w:bCs/>
                      <w:lang w:val="en-US" w:eastAsia="zh-CN"/>
                    </w:rPr>
                  </w:pPr>
                  <w:r>
                    <w:rPr>
                      <w:rFonts w:hint="eastAsia"/>
                      <w:b/>
                      <w:bCs/>
                      <w:lang w:val="en-US" w:eastAsia="zh-CN"/>
                    </w:rPr>
                    <w:t>处置措施</w:t>
                  </w:r>
                </w:p>
              </w:tc>
            </w:tr>
            <w:tr w14:paraId="27D5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noWrap w:val="0"/>
                  <w:vAlign w:val="center"/>
                </w:tcPr>
                <w:p w14:paraId="4EFEA5E7">
                  <w:pPr>
                    <w:pStyle w:val="32"/>
                    <w:bidi w:val="0"/>
                    <w:rPr>
                      <w:rFonts w:hint="eastAsia"/>
                      <w:lang w:val="en-US" w:eastAsia="zh-CN"/>
                    </w:rPr>
                  </w:pPr>
                  <w:r>
                    <w:rPr>
                      <w:rFonts w:hint="eastAsia"/>
                      <w:lang w:val="en-US" w:eastAsia="zh-CN"/>
                    </w:rPr>
                    <w:t>1</w:t>
                  </w:r>
                </w:p>
              </w:tc>
              <w:tc>
                <w:tcPr>
                  <w:tcW w:w="758" w:type="pct"/>
                  <w:noWrap w:val="0"/>
                  <w:vAlign w:val="center"/>
                </w:tcPr>
                <w:p w14:paraId="5D853B6E">
                  <w:pPr>
                    <w:pStyle w:val="32"/>
                    <w:bidi w:val="0"/>
                    <w:rPr>
                      <w:rFonts w:hint="default"/>
                      <w:lang w:val="en-US" w:eastAsia="zh-CN"/>
                    </w:rPr>
                  </w:pPr>
                  <w:r>
                    <w:rPr>
                      <w:rFonts w:hint="eastAsia"/>
                      <w:lang w:val="en-US" w:eastAsia="zh-CN"/>
                    </w:rPr>
                    <w:t>生活垃圾</w:t>
                  </w:r>
                </w:p>
              </w:tc>
              <w:tc>
                <w:tcPr>
                  <w:tcW w:w="882" w:type="pct"/>
                  <w:noWrap w:val="0"/>
                  <w:vAlign w:val="center"/>
                </w:tcPr>
                <w:p w14:paraId="73D8D47D">
                  <w:pPr>
                    <w:pStyle w:val="32"/>
                    <w:bidi w:val="0"/>
                    <w:rPr>
                      <w:rFonts w:hint="default"/>
                      <w:lang w:val="en-US" w:eastAsia="zh-CN"/>
                    </w:rPr>
                  </w:pPr>
                  <w:r>
                    <w:rPr>
                      <w:rFonts w:hint="eastAsia"/>
                      <w:lang w:val="en-US" w:eastAsia="zh-CN"/>
                    </w:rPr>
                    <w:t>生活</w:t>
                  </w:r>
                </w:p>
              </w:tc>
              <w:tc>
                <w:tcPr>
                  <w:tcW w:w="695" w:type="pct"/>
                  <w:vMerge w:val="restart"/>
                  <w:noWrap w:val="0"/>
                  <w:vAlign w:val="center"/>
                </w:tcPr>
                <w:p w14:paraId="03F33D52">
                  <w:pPr>
                    <w:pStyle w:val="32"/>
                    <w:bidi w:val="0"/>
                    <w:rPr>
                      <w:rFonts w:hint="eastAsia"/>
                      <w:lang w:val="en-US" w:eastAsia="zh-CN"/>
                    </w:rPr>
                  </w:pPr>
                  <w:r>
                    <w:rPr>
                      <w:rFonts w:hint="eastAsia"/>
                      <w:lang w:val="en-US" w:eastAsia="zh-CN"/>
                    </w:rPr>
                    <w:t>一般固废</w:t>
                  </w:r>
                </w:p>
              </w:tc>
              <w:tc>
                <w:tcPr>
                  <w:tcW w:w="722" w:type="pct"/>
                  <w:noWrap w:val="0"/>
                  <w:vAlign w:val="center"/>
                </w:tcPr>
                <w:p w14:paraId="05B24575">
                  <w:pPr>
                    <w:pStyle w:val="32"/>
                    <w:bidi w:val="0"/>
                    <w:rPr>
                      <w:rFonts w:hint="default"/>
                      <w:lang w:val="en-US" w:eastAsia="zh-CN"/>
                    </w:rPr>
                  </w:pPr>
                  <w:r>
                    <w:rPr>
                      <w:rFonts w:hint="eastAsia"/>
                      <w:lang w:val="en-US" w:eastAsia="zh-CN"/>
                    </w:rPr>
                    <w:t>-</w:t>
                  </w:r>
                </w:p>
              </w:tc>
              <w:tc>
                <w:tcPr>
                  <w:tcW w:w="765" w:type="pct"/>
                  <w:noWrap w:val="0"/>
                  <w:vAlign w:val="center"/>
                </w:tcPr>
                <w:p w14:paraId="288F4CCE">
                  <w:pPr>
                    <w:pStyle w:val="32"/>
                    <w:bidi w:val="0"/>
                    <w:rPr>
                      <w:rFonts w:hint="default"/>
                      <w:lang w:val="en-US" w:eastAsia="zh-CN"/>
                    </w:rPr>
                  </w:pPr>
                  <w:r>
                    <w:rPr>
                      <w:rFonts w:hint="eastAsia"/>
                      <w:lang w:val="en-US" w:eastAsia="zh-CN"/>
                    </w:rPr>
                    <w:t>62.9625</w:t>
                  </w:r>
                </w:p>
              </w:tc>
              <w:tc>
                <w:tcPr>
                  <w:tcW w:w="786" w:type="pct"/>
                  <w:noWrap w:val="0"/>
                  <w:vAlign w:val="center"/>
                </w:tcPr>
                <w:p w14:paraId="0BE57796">
                  <w:pPr>
                    <w:pStyle w:val="32"/>
                    <w:bidi w:val="0"/>
                    <w:rPr>
                      <w:rFonts w:hint="default"/>
                      <w:lang w:val="en-US" w:eastAsia="zh-CN"/>
                    </w:rPr>
                  </w:pPr>
                  <w:r>
                    <w:rPr>
                      <w:rFonts w:hint="eastAsia"/>
                      <w:lang w:val="en-US" w:eastAsia="zh-CN"/>
                    </w:rPr>
                    <w:t>交由环卫部门处置</w:t>
                  </w:r>
                </w:p>
              </w:tc>
            </w:tr>
            <w:tr w14:paraId="2FE2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noWrap w:val="0"/>
                  <w:vAlign w:val="center"/>
                </w:tcPr>
                <w:p w14:paraId="176F7158">
                  <w:pPr>
                    <w:pStyle w:val="32"/>
                    <w:bidi w:val="0"/>
                    <w:rPr>
                      <w:rFonts w:hint="eastAsia"/>
                      <w:lang w:val="en-US" w:eastAsia="zh-CN"/>
                    </w:rPr>
                  </w:pPr>
                  <w:r>
                    <w:rPr>
                      <w:rFonts w:hint="eastAsia"/>
                      <w:lang w:val="en-US" w:eastAsia="zh-CN"/>
                    </w:rPr>
                    <w:t>2</w:t>
                  </w:r>
                </w:p>
              </w:tc>
              <w:tc>
                <w:tcPr>
                  <w:tcW w:w="758" w:type="pct"/>
                  <w:noWrap w:val="0"/>
                  <w:vAlign w:val="center"/>
                </w:tcPr>
                <w:p w14:paraId="5F33A3EE">
                  <w:pPr>
                    <w:pStyle w:val="32"/>
                    <w:bidi w:val="0"/>
                    <w:rPr>
                      <w:rFonts w:hint="default"/>
                      <w:lang w:val="en-US" w:eastAsia="zh-CN"/>
                    </w:rPr>
                  </w:pPr>
                  <w:r>
                    <w:rPr>
                      <w:rFonts w:hint="eastAsia"/>
                      <w:lang w:val="en-US" w:eastAsia="zh-CN"/>
                    </w:rPr>
                    <w:t>废包装材料</w:t>
                  </w:r>
                </w:p>
              </w:tc>
              <w:tc>
                <w:tcPr>
                  <w:tcW w:w="882" w:type="pct"/>
                  <w:noWrap w:val="0"/>
                  <w:vAlign w:val="center"/>
                </w:tcPr>
                <w:p w14:paraId="469F98B5">
                  <w:pPr>
                    <w:pStyle w:val="32"/>
                    <w:bidi w:val="0"/>
                    <w:rPr>
                      <w:rFonts w:hint="default"/>
                      <w:lang w:val="en-US" w:eastAsia="zh-CN"/>
                    </w:rPr>
                  </w:pPr>
                  <w:r>
                    <w:rPr>
                      <w:rFonts w:hint="eastAsia"/>
                      <w:lang w:val="en-US" w:eastAsia="zh-CN"/>
                    </w:rPr>
                    <w:t>药品拆包</w:t>
                  </w:r>
                </w:p>
              </w:tc>
              <w:tc>
                <w:tcPr>
                  <w:tcW w:w="695" w:type="pct"/>
                  <w:vMerge w:val="continue"/>
                  <w:noWrap w:val="0"/>
                  <w:vAlign w:val="center"/>
                </w:tcPr>
                <w:p w14:paraId="0A112243">
                  <w:pPr>
                    <w:pStyle w:val="32"/>
                    <w:bidi w:val="0"/>
                    <w:rPr>
                      <w:rFonts w:hint="eastAsia"/>
                      <w:lang w:val="en-US" w:eastAsia="zh-CN"/>
                    </w:rPr>
                  </w:pPr>
                </w:p>
              </w:tc>
              <w:tc>
                <w:tcPr>
                  <w:tcW w:w="722" w:type="pct"/>
                  <w:noWrap w:val="0"/>
                  <w:vAlign w:val="center"/>
                </w:tcPr>
                <w:p w14:paraId="55AA0D48">
                  <w:pPr>
                    <w:pStyle w:val="32"/>
                    <w:bidi w:val="0"/>
                    <w:rPr>
                      <w:rFonts w:hint="default"/>
                      <w:lang w:val="en-US" w:eastAsia="zh-CN"/>
                    </w:rPr>
                  </w:pPr>
                  <w:r>
                    <w:rPr>
                      <w:rFonts w:hint="eastAsia"/>
                    </w:rPr>
                    <w:t>223-001-07</w:t>
                  </w:r>
                </w:p>
              </w:tc>
              <w:tc>
                <w:tcPr>
                  <w:tcW w:w="765" w:type="pct"/>
                  <w:noWrap w:val="0"/>
                  <w:vAlign w:val="center"/>
                </w:tcPr>
                <w:p w14:paraId="050F5F37">
                  <w:pPr>
                    <w:pStyle w:val="32"/>
                    <w:bidi w:val="0"/>
                    <w:rPr>
                      <w:rFonts w:hint="default"/>
                      <w:lang w:val="en-US" w:eastAsia="zh-CN"/>
                    </w:rPr>
                  </w:pPr>
                  <w:r>
                    <w:rPr>
                      <w:rFonts w:hint="eastAsia"/>
                      <w:lang w:val="en-US" w:eastAsia="zh-CN"/>
                    </w:rPr>
                    <w:t>0.3</w:t>
                  </w:r>
                </w:p>
              </w:tc>
              <w:tc>
                <w:tcPr>
                  <w:tcW w:w="786" w:type="pct"/>
                  <w:noWrap w:val="0"/>
                  <w:vAlign w:val="center"/>
                </w:tcPr>
                <w:p w14:paraId="022F643D">
                  <w:pPr>
                    <w:pStyle w:val="32"/>
                    <w:bidi w:val="0"/>
                    <w:rPr>
                      <w:rFonts w:hint="default"/>
                      <w:lang w:val="en-US" w:eastAsia="zh-CN"/>
                    </w:rPr>
                  </w:pPr>
                  <w:r>
                    <w:rPr>
                      <w:rFonts w:hint="eastAsia"/>
                      <w:lang w:val="en-US" w:eastAsia="zh-CN"/>
                    </w:rPr>
                    <w:t>外售</w:t>
                  </w:r>
                </w:p>
              </w:tc>
            </w:tr>
            <w:tr w14:paraId="5324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noWrap w:val="0"/>
                  <w:vAlign w:val="center"/>
                </w:tcPr>
                <w:p w14:paraId="42D00820">
                  <w:pPr>
                    <w:pStyle w:val="32"/>
                    <w:bidi w:val="0"/>
                    <w:rPr>
                      <w:rFonts w:hint="default"/>
                      <w:lang w:val="en-US" w:eastAsia="zh-CN"/>
                    </w:rPr>
                  </w:pPr>
                  <w:r>
                    <w:rPr>
                      <w:rFonts w:hint="eastAsia"/>
                      <w:lang w:val="en-US" w:eastAsia="zh-CN"/>
                    </w:rPr>
                    <w:t>3</w:t>
                  </w:r>
                </w:p>
              </w:tc>
              <w:tc>
                <w:tcPr>
                  <w:tcW w:w="758" w:type="pct"/>
                  <w:noWrap w:val="0"/>
                  <w:vAlign w:val="center"/>
                </w:tcPr>
                <w:p w14:paraId="363D76EB">
                  <w:pPr>
                    <w:pStyle w:val="32"/>
                    <w:bidi w:val="0"/>
                    <w:rPr>
                      <w:rFonts w:hint="default"/>
                      <w:lang w:val="en-US" w:eastAsia="zh-CN"/>
                    </w:rPr>
                  </w:pPr>
                  <w:r>
                    <w:rPr>
                      <w:rFonts w:hint="eastAsia"/>
                      <w:lang w:val="en-US" w:eastAsia="zh-CN"/>
                    </w:rPr>
                    <w:t>厨余垃圾</w:t>
                  </w:r>
                </w:p>
              </w:tc>
              <w:tc>
                <w:tcPr>
                  <w:tcW w:w="882" w:type="pct"/>
                  <w:noWrap w:val="0"/>
                  <w:vAlign w:val="center"/>
                </w:tcPr>
                <w:p w14:paraId="363D9A3A">
                  <w:pPr>
                    <w:pStyle w:val="32"/>
                    <w:bidi w:val="0"/>
                    <w:rPr>
                      <w:rFonts w:hint="default"/>
                      <w:lang w:val="en-US" w:eastAsia="zh-CN"/>
                    </w:rPr>
                  </w:pPr>
                  <w:r>
                    <w:rPr>
                      <w:rFonts w:hint="eastAsia"/>
                      <w:lang w:val="en-US" w:eastAsia="zh-CN"/>
                    </w:rPr>
                    <w:t>食堂</w:t>
                  </w:r>
                </w:p>
              </w:tc>
              <w:tc>
                <w:tcPr>
                  <w:tcW w:w="695" w:type="pct"/>
                  <w:vMerge w:val="continue"/>
                  <w:noWrap w:val="0"/>
                  <w:vAlign w:val="center"/>
                </w:tcPr>
                <w:p w14:paraId="033FA3E5">
                  <w:pPr>
                    <w:pStyle w:val="32"/>
                    <w:bidi w:val="0"/>
                    <w:rPr>
                      <w:rFonts w:hint="default"/>
                      <w:lang w:val="en-US" w:eastAsia="zh-CN"/>
                    </w:rPr>
                  </w:pPr>
                </w:p>
              </w:tc>
              <w:tc>
                <w:tcPr>
                  <w:tcW w:w="722" w:type="pct"/>
                  <w:noWrap w:val="0"/>
                  <w:vAlign w:val="center"/>
                </w:tcPr>
                <w:p w14:paraId="3A3583C2">
                  <w:pPr>
                    <w:pStyle w:val="32"/>
                    <w:bidi w:val="0"/>
                    <w:rPr>
                      <w:rFonts w:hint="default"/>
                      <w:lang w:val="en-US" w:eastAsia="zh-CN"/>
                    </w:rPr>
                  </w:pPr>
                  <w:r>
                    <w:rPr>
                      <w:rFonts w:hint="eastAsia"/>
                      <w:lang w:val="en-US" w:eastAsia="zh-CN"/>
                    </w:rPr>
                    <w:t>-</w:t>
                  </w:r>
                </w:p>
              </w:tc>
              <w:tc>
                <w:tcPr>
                  <w:tcW w:w="765" w:type="pct"/>
                  <w:noWrap w:val="0"/>
                  <w:vAlign w:val="center"/>
                </w:tcPr>
                <w:p w14:paraId="06899CA1">
                  <w:pPr>
                    <w:pStyle w:val="32"/>
                    <w:bidi w:val="0"/>
                    <w:rPr>
                      <w:rFonts w:hint="default"/>
                      <w:lang w:val="en-US" w:eastAsia="zh-CN"/>
                    </w:rPr>
                  </w:pPr>
                  <w:r>
                    <w:rPr>
                      <w:rFonts w:hint="eastAsia"/>
                      <w:lang w:val="en-US" w:eastAsia="zh-CN"/>
                    </w:rPr>
                    <w:t>12.045</w:t>
                  </w:r>
                </w:p>
              </w:tc>
              <w:tc>
                <w:tcPr>
                  <w:tcW w:w="786" w:type="pct"/>
                  <w:noWrap w:val="0"/>
                  <w:vAlign w:val="center"/>
                </w:tcPr>
                <w:p w14:paraId="15828171">
                  <w:pPr>
                    <w:pStyle w:val="32"/>
                    <w:bidi w:val="0"/>
                    <w:rPr>
                      <w:rFonts w:hint="default"/>
                      <w:lang w:val="en-US" w:eastAsia="zh-CN"/>
                    </w:rPr>
                  </w:pPr>
                  <w:r>
                    <w:rPr>
                      <w:rFonts w:hint="eastAsia"/>
                      <w:lang w:val="en-US" w:eastAsia="zh-CN"/>
                    </w:rPr>
                    <w:t>由厨余垃圾收运单位收运、处理</w:t>
                  </w:r>
                </w:p>
              </w:tc>
            </w:tr>
            <w:tr w14:paraId="7F66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noWrap w:val="0"/>
                  <w:vAlign w:val="center"/>
                </w:tcPr>
                <w:p w14:paraId="249FFA64">
                  <w:pPr>
                    <w:pStyle w:val="32"/>
                    <w:bidi w:val="0"/>
                    <w:rPr>
                      <w:rFonts w:hint="default"/>
                      <w:lang w:val="en-US" w:eastAsia="zh-CN"/>
                    </w:rPr>
                  </w:pPr>
                  <w:r>
                    <w:rPr>
                      <w:rFonts w:hint="eastAsia"/>
                      <w:lang w:val="en-US" w:eastAsia="zh-CN"/>
                    </w:rPr>
                    <w:t>4</w:t>
                  </w:r>
                </w:p>
              </w:tc>
              <w:tc>
                <w:tcPr>
                  <w:tcW w:w="758" w:type="pct"/>
                  <w:noWrap w:val="0"/>
                  <w:vAlign w:val="center"/>
                </w:tcPr>
                <w:p w14:paraId="28CF4890">
                  <w:pPr>
                    <w:pStyle w:val="32"/>
                    <w:bidi w:val="0"/>
                    <w:rPr>
                      <w:rFonts w:hint="default"/>
                      <w:lang w:val="en-US" w:eastAsia="zh-CN"/>
                    </w:rPr>
                  </w:pPr>
                  <w:r>
                    <w:rPr>
                      <w:rFonts w:hint="eastAsia"/>
                      <w:lang w:val="en-US" w:eastAsia="zh-CN"/>
                    </w:rPr>
                    <w:t>废活性炭</w:t>
                  </w:r>
                </w:p>
              </w:tc>
              <w:tc>
                <w:tcPr>
                  <w:tcW w:w="882" w:type="pct"/>
                  <w:noWrap w:val="0"/>
                  <w:vAlign w:val="center"/>
                </w:tcPr>
                <w:p w14:paraId="01B939D9">
                  <w:pPr>
                    <w:pStyle w:val="32"/>
                    <w:bidi w:val="0"/>
                    <w:rPr>
                      <w:rFonts w:hint="default"/>
                      <w:lang w:val="en-US" w:eastAsia="zh-CN"/>
                    </w:rPr>
                  </w:pPr>
                  <w:r>
                    <w:rPr>
                      <w:rFonts w:hint="eastAsia"/>
                      <w:lang w:val="en-US" w:eastAsia="zh-CN"/>
                    </w:rPr>
                    <w:t>废气治理</w:t>
                  </w:r>
                </w:p>
              </w:tc>
              <w:tc>
                <w:tcPr>
                  <w:tcW w:w="695" w:type="pct"/>
                  <w:noWrap w:val="0"/>
                  <w:vAlign w:val="center"/>
                </w:tcPr>
                <w:p w14:paraId="19E0302A">
                  <w:pPr>
                    <w:pStyle w:val="32"/>
                    <w:bidi w:val="0"/>
                    <w:rPr>
                      <w:rFonts w:hint="default"/>
                      <w:lang w:val="en-US" w:eastAsia="zh-CN"/>
                    </w:rPr>
                  </w:pPr>
                  <w:r>
                    <w:rPr>
                      <w:rFonts w:hint="eastAsia"/>
                      <w:lang w:val="en-US" w:eastAsia="zh-CN"/>
                    </w:rPr>
                    <w:t>危险废物</w:t>
                  </w:r>
                </w:p>
              </w:tc>
              <w:tc>
                <w:tcPr>
                  <w:tcW w:w="722" w:type="pct"/>
                  <w:noWrap w:val="0"/>
                  <w:vAlign w:val="center"/>
                </w:tcPr>
                <w:p w14:paraId="4EFCA9C3">
                  <w:pPr>
                    <w:pStyle w:val="32"/>
                    <w:bidi w:val="0"/>
                  </w:pPr>
                  <w:r>
                    <w:rPr>
                      <w:rFonts w:hint="eastAsia"/>
                    </w:rPr>
                    <w:t>HW49</w:t>
                  </w:r>
                </w:p>
                <w:p w14:paraId="1CD29A30">
                  <w:pPr>
                    <w:pStyle w:val="32"/>
                    <w:bidi w:val="0"/>
                    <w:rPr>
                      <w:rFonts w:hint="eastAsia"/>
                      <w:lang w:val="en-US" w:eastAsia="zh-CN"/>
                    </w:rPr>
                  </w:pPr>
                  <w:r>
                    <w:t>900-0</w:t>
                  </w:r>
                  <w:r>
                    <w:rPr>
                      <w:rFonts w:hint="eastAsia"/>
                    </w:rPr>
                    <w:t>39</w:t>
                  </w:r>
                  <w:r>
                    <w:t>-49</w:t>
                  </w:r>
                </w:p>
              </w:tc>
              <w:tc>
                <w:tcPr>
                  <w:tcW w:w="765" w:type="pct"/>
                  <w:noWrap w:val="0"/>
                  <w:vAlign w:val="center"/>
                </w:tcPr>
                <w:p w14:paraId="42DAD3DB">
                  <w:pPr>
                    <w:pStyle w:val="32"/>
                    <w:bidi w:val="0"/>
                    <w:rPr>
                      <w:rFonts w:hint="default"/>
                      <w:lang w:val="en-US" w:eastAsia="zh-CN"/>
                    </w:rPr>
                  </w:pPr>
                  <w:r>
                    <w:rPr>
                      <w:rFonts w:hint="eastAsia"/>
                      <w:lang w:val="en-US" w:eastAsia="zh-CN"/>
                    </w:rPr>
                    <w:t>0.0450</w:t>
                  </w:r>
                </w:p>
              </w:tc>
              <w:tc>
                <w:tcPr>
                  <w:tcW w:w="786" w:type="pct"/>
                  <w:noWrap w:val="0"/>
                  <w:vAlign w:val="center"/>
                </w:tcPr>
                <w:p w14:paraId="2A0CE6EB">
                  <w:pPr>
                    <w:pStyle w:val="32"/>
                    <w:bidi w:val="0"/>
                    <w:rPr>
                      <w:rFonts w:hint="default"/>
                      <w:lang w:val="en-US" w:eastAsia="zh-CN"/>
                    </w:rPr>
                  </w:pPr>
                  <w:r>
                    <w:rPr>
                      <w:rFonts w:hint="eastAsia"/>
                      <w:lang w:val="en-US" w:eastAsia="zh-CN"/>
                    </w:rPr>
                    <w:t>收集暂存危废暂存间后，定期交由有资质单位处理</w:t>
                  </w:r>
                </w:p>
              </w:tc>
            </w:tr>
            <w:tr w14:paraId="001B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noWrap w:val="0"/>
                  <w:vAlign w:val="center"/>
                </w:tcPr>
                <w:p w14:paraId="650AE394">
                  <w:pPr>
                    <w:pStyle w:val="32"/>
                    <w:bidi w:val="0"/>
                    <w:rPr>
                      <w:rFonts w:hint="default"/>
                      <w:lang w:val="en-US" w:eastAsia="zh-CN"/>
                    </w:rPr>
                  </w:pPr>
                  <w:r>
                    <w:rPr>
                      <w:rFonts w:hint="eastAsia"/>
                      <w:lang w:val="en-US" w:eastAsia="zh-CN"/>
                    </w:rPr>
                    <w:t>5</w:t>
                  </w:r>
                </w:p>
              </w:tc>
              <w:tc>
                <w:tcPr>
                  <w:tcW w:w="758" w:type="pct"/>
                  <w:noWrap w:val="0"/>
                  <w:vAlign w:val="center"/>
                </w:tcPr>
                <w:p w14:paraId="7EF6A28A">
                  <w:pPr>
                    <w:pStyle w:val="32"/>
                    <w:bidi w:val="0"/>
                    <w:rPr>
                      <w:rFonts w:hint="default"/>
                      <w:lang w:val="en-US" w:eastAsia="zh-CN"/>
                    </w:rPr>
                  </w:pPr>
                  <w:r>
                    <w:rPr>
                      <w:rFonts w:hint="eastAsia"/>
                      <w:lang w:val="en-US" w:eastAsia="zh-CN"/>
                    </w:rPr>
                    <w:t>医疗废物</w:t>
                  </w:r>
                </w:p>
              </w:tc>
              <w:tc>
                <w:tcPr>
                  <w:tcW w:w="882" w:type="pct"/>
                  <w:noWrap w:val="0"/>
                  <w:vAlign w:val="center"/>
                </w:tcPr>
                <w:p w14:paraId="79348F60">
                  <w:pPr>
                    <w:pStyle w:val="32"/>
                    <w:bidi w:val="0"/>
                    <w:rPr>
                      <w:rFonts w:hint="default"/>
                      <w:lang w:val="en-US" w:eastAsia="zh-CN"/>
                    </w:rPr>
                  </w:pPr>
                  <w:r>
                    <w:rPr>
                      <w:rFonts w:hint="eastAsia"/>
                      <w:lang w:val="en-US" w:eastAsia="zh-CN"/>
                    </w:rPr>
                    <w:t>医疗</w:t>
                  </w:r>
                </w:p>
              </w:tc>
              <w:tc>
                <w:tcPr>
                  <w:tcW w:w="695" w:type="pct"/>
                  <w:vMerge w:val="restart"/>
                  <w:noWrap w:val="0"/>
                  <w:vAlign w:val="center"/>
                </w:tcPr>
                <w:p w14:paraId="1317FB39">
                  <w:pPr>
                    <w:pStyle w:val="32"/>
                    <w:bidi w:val="0"/>
                    <w:rPr>
                      <w:rFonts w:hint="default"/>
                      <w:lang w:val="en-US" w:eastAsia="zh-CN"/>
                    </w:rPr>
                  </w:pPr>
                  <w:r>
                    <w:rPr>
                      <w:rFonts w:hint="eastAsia"/>
                      <w:lang w:val="en-US" w:eastAsia="zh-CN"/>
                    </w:rPr>
                    <w:t>医疗废物</w:t>
                  </w:r>
                </w:p>
              </w:tc>
              <w:tc>
                <w:tcPr>
                  <w:tcW w:w="722" w:type="pct"/>
                  <w:noWrap w:val="0"/>
                  <w:vAlign w:val="center"/>
                </w:tcPr>
                <w:p w14:paraId="085CE5DD">
                  <w:pPr>
                    <w:pStyle w:val="32"/>
                    <w:bidi w:val="0"/>
                    <w:rPr>
                      <w:rFonts w:hint="default"/>
                      <w:lang w:val="en-US" w:eastAsia="zh-CN"/>
                    </w:rPr>
                  </w:pPr>
                  <w:r>
                    <w:rPr>
                      <w:rFonts w:hint="eastAsia"/>
                      <w:lang w:val="en-US" w:eastAsia="zh-CN"/>
                    </w:rPr>
                    <w:t>HW01</w:t>
                  </w:r>
                </w:p>
                <w:p w14:paraId="1FCD1557">
                  <w:pPr>
                    <w:pStyle w:val="32"/>
                    <w:bidi w:val="0"/>
                    <w:rPr>
                      <w:rFonts w:hint="eastAsia"/>
                      <w:lang w:val="en-US" w:eastAsia="zh-CN"/>
                    </w:rPr>
                  </w:pPr>
                  <w:r>
                    <w:rPr>
                      <w:rFonts w:hint="eastAsia"/>
                      <w:lang w:val="en-US" w:eastAsia="zh-CN"/>
                    </w:rPr>
                    <w:t>841-001-01</w:t>
                  </w:r>
                </w:p>
                <w:p w14:paraId="277B00A7">
                  <w:pPr>
                    <w:pStyle w:val="32"/>
                    <w:bidi w:val="0"/>
                    <w:rPr>
                      <w:rFonts w:hint="eastAsia"/>
                      <w:lang w:val="en-US" w:eastAsia="zh-CN"/>
                    </w:rPr>
                  </w:pPr>
                  <w:r>
                    <w:rPr>
                      <w:rFonts w:hint="eastAsia"/>
                      <w:lang w:val="en-US" w:eastAsia="zh-CN"/>
                    </w:rPr>
                    <w:t>841-002-01</w:t>
                  </w:r>
                </w:p>
                <w:p w14:paraId="13E38862">
                  <w:pPr>
                    <w:pStyle w:val="32"/>
                    <w:bidi w:val="0"/>
                    <w:rPr>
                      <w:rFonts w:hint="eastAsia"/>
                      <w:lang w:val="en-US" w:eastAsia="zh-CN"/>
                    </w:rPr>
                  </w:pPr>
                  <w:r>
                    <w:rPr>
                      <w:rFonts w:hint="eastAsia"/>
                      <w:lang w:val="en-US" w:eastAsia="zh-CN"/>
                    </w:rPr>
                    <w:t>841-003-01</w:t>
                  </w:r>
                </w:p>
                <w:p w14:paraId="7D150EDD">
                  <w:pPr>
                    <w:pStyle w:val="32"/>
                    <w:bidi w:val="0"/>
                    <w:rPr>
                      <w:rFonts w:hint="eastAsia"/>
                      <w:lang w:val="en-US" w:eastAsia="zh-CN"/>
                    </w:rPr>
                  </w:pPr>
                  <w:r>
                    <w:rPr>
                      <w:rFonts w:hint="eastAsia"/>
                      <w:lang w:val="en-US" w:eastAsia="zh-CN"/>
                    </w:rPr>
                    <w:t>841-004-01</w:t>
                  </w:r>
                </w:p>
                <w:p w14:paraId="212417DD">
                  <w:pPr>
                    <w:pStyle w:val="32"/>
                    <w:bidi w:val="0"/>
                    <w:rPr>
                      <w:rFonts w:hint="eastAsia"/>
                      <w:lang w:val="en-US" w:eastAsia="zh-CN"/>
                    </w:rPr>
                  </w:pPr>
                  <w:r>
                    <w:rPr>
                      <w:rFonts w:hint="eastAsia"/>
                      <w:lang w:val="en-US" w:eastAsia="zh-CN"/>
                    </w:rPr>
                    <w:t>841-005-01</w:t>
                  </w:r>
                </w:p>
              </w:tc>
              <w:tc>
                <w:tcPr>
                  <w:tcW w:w="765" w:type="pct"/>
                  <w:noWrap w:val="0"/>
                  <w:vAlign w:val="center"/>
                </w:tcPr>
                <w:p w14:paraId="6B38C5CB">
                  <w:pPr>
                    <w:pStyle w:val="32"/>
                    <w:bidi w:val="0"/>
                    <w:rPr>
                      <w:rFonts w:hint="default"/>
                      <w:lang w:val="en-US" w:eastAsia="zh-CN"/>
                    </w:rPr>
                  </w:pPr>
                  <w:r>
                    <w:rPr>
                      <w:rFonts w:hint="eastAsia"/>
                      <w:lang w:val="en-US" w:eastAsia="zh-CN"/>
                    </w:rPr>
                    <w:t>52.2315</w:t>
                  </w:r>
                </w:p>
              </w:tc>
              <w:tc>
                <w:tcPr>
                  <w:tcW w:w="786" w:type="pct"/>
                  <w:vMerge w:val="restart"/>
                  <w:noWrap w:val="0"/>
                  <w:vAlign w:val="center"/>
                </w:tcPr>
                <w:p w14:paraId="214BF98B">
                  <w:pPr>
                    <w:pStyle w:val="32"/>
                    <w:bidi w:val="0"/>
                    <w:rPr>
                      <w:rFonts w:hint="eastAsia"/>
                      <w:lang w:val="en-US" w:eastAsia="zh-CN"/>
                    </w:rPr>
                  </w:pPr>
                  <w:r>
                    <w:rPr>
                      <w:rFonts w:hint="eastAsia"/>
                      <w:lang w:val="en-US" w:eastAsia="zh-CN"/>
                    </w:rPr>
                    <w:t>分类收集暂存医废暂存间后，定期交由有资质单位处理</w:t>
                  </w:r>
                </w:p>
              </w:tc>
            </w:tr>
            <w:tr w14:paraId="7FA5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shd w:val="clear" w:color="auto" w:fill="auto"/>
                  <w:noWrap w:val="0"/>
                  <w:vAlign w:val="center"/>
                </w:tcPr>
                <w:p w14:paraId="4FE904CC">
                  <w:pPr>
                    <w:pStyle w:val="32"/>
                    <w:bidi w:val="0"/>
                    <w:rPr>
                      <w:rFonts w:hint="default"/>
                      <w:lang w:val="en-US" w:eastAsia="zh-CN"/>
                    </w:rPr>
                  </w:pPr>
                  <w:r>
                    <w:rPr>
                      <w:rFonts w:hint="eastAsia"/>
                      <w:lang w:val="en-US" w:eastAsia="zh-CN"/>
                    </w:rPr>
                    <w:t>6</w:t>
                  </w:r>
                </w:p>
              </w:tc>
              <w:tc>
                <w:tcPr>
                  <w:tcW w:w="758" w:type="pct"/>
                  <w:noWrap w:val="0"/>
                  <w:vAlign w:val="center"/>
                </w:tcPr>
                <w:p w14:paraId="58FFAB8A">
                  <w:pPr>
                    <w:pStyle w:val="32"/>
                    <w:bidi w:val="0"/>
                    <w:rPr>
                      <w:rFonts w:hint="default"/>
                      <w:lang w:val="en-US" w:eastAsia="zh-CN"/>
                    </w:rPr>
                  </w:pPr>
                  <w:r>
                    <w:rPr>
                      <w:rFonts w:hint="eastAsia"/>
                      <w:lang w:val="en-US" w:eastAsia="zh-CN"/>
                    </w:rPr>
                    <w:t>化验废液废物</w:t>
                  </w:r>
                </w:p>
              </w:tc>
              <w:tc>
                <w:tcPr>
                  <w:tcW w:w="882" w:type="pct"/>
                  <w:noWrap w:val="0"/>
                  <w:vAlign w:val="center"/>
                </w:tcPr>
                <w:p w14:paraId="4F82C5C8">
                  <w:pPr>
                    <w:pStyle w:val="32"/>
                    <w:bidi w:val="0"/>
                    <w:rPr>
                      <w:rFonts w:hint="default"/>
                      <w:lang w:val="en-US" w:eastAsia="zh-CN"/>
                    </w:rPr>
                  </w:pPr>
                  <w:r>
                    <w:rPr>
                      <w:rFonts w:hint="eastAsia"/>
                      <w:lang w:val="en-US" w:eastAsia="zh-CN"/>
                    </w:rPr>
                    <w:t>化验</w:t>
                  </w:r>
                </w:p>
              </w:tc>
              <w:tc>
                <w:tcPr>
                  <w:tcW w:w="695" w:type="pct"/>
                  <w:vMerge w:val="continue"/>
                  <w:noWrap w:val="0"/>
                  <w:vAlign w:val="center"/>
                </w:tcPr>
                <w:p w14:paraId="37F1C53E">
                  <w:pPr>
                    <w:pStyle w:val="32"/>
                    <w:bidi w:val="0"/>
                    <w:rPr>
                      <w:rFonts w:hint="default"/>
                      <w:lang w:val="en-US" w:eastAsia="zh-CN"/>
                    </w:rPr>
                  </w:pPr>
                </w:p>
              </w:tc>
              <w:tc>
                <w:tcPr>
                  <w:tcW w:w="722" w:type="pct"/>
                  <w:noWrap w:val="0"/>
                  <w:vAlign w:val="center"/>
                </w:tcPr>
                <w:p w14:paraId="299EEFEB">
                  <w:pPr>
                    <w:pStyle w:val="32"/>
                    <w:bidi w:val="0"/>
                    <w:rPr>
                      <w:rFonts w:hint="default"/>
                      <w:lang w:val="en-US" w:eastAsia="zh-CN"/>
                    </w:rPr>
                  </w:pPr>
                  <w:r>
                    <w:rPr>
                      <w:rFonts w:hint="eastAsia"/>
                      <w:lang w:val="en-US" w:eastAsia="zh-CN"/>
                    </w:rPr>
                    <w:t>HW01</w:t>
                  </w:r>
                </w:p>
                <w:p w14:paraId="59078979">
                  <w:pPr>
                    <w:pStyle w:val="32"/>
                    <w:bidi w:val="0"/>
                    <w:rPr>
                      <w:rFonts w:hint="eastAsia"/>
                      <w:lang w:val="en-US" w:eastAsia="zh-CN"/>
                    </w:rPr>
                  </w:pPr>
                  <w:r>
                    <w:rPr>
                      <w:rFonts w:hint="eastAsia"/>
                      <w:lang w:val="en-US" w:eastAsia="zh-CN"/>
                    </w:rPr>
                    <w:t>841-001-01</w:t>
                  </w:r>
                </w:p>
                <w:p w14:paraId="55D6E03B">
                  <w:pPr>
                    <w:pStyle w:val="32"/>
                    <w:bidi w:val="0"/>
                    <w:rPr>
                      <w:rFonts w:hint="default"/>
                      <w:lang w:val="en-US" w:eastAsia="zh-CN"/>
                    </w:rPr>
                  </w:pPr>
                  <w:r>
                    <w:rPr>
                      <w:rFonts w:hint="eastAsia"/>
                      <w:lang w:val="en-US" w:eastAsia="zh-CN"/>
                    </w:rPr>
                    <w:t>841-004-01</w:t>
                  </w:r>
                </w:p>
              </w:tc>
              <w:tc>
                <w:tcPr>
                  <w:tcW w:w="765" w:type="pct"/>
                  <w:noWrap w:val="0"/>
                  <w:vAlign w:val="center"/>
                </w:tcPr>
                <w:p w14:paraId="3B6CF7EB">
                  <w:pPr>
                    <w:pStyle w:val="32"/>
                    <w:bidi w:val="0"/>
                    <w:rPr>
                      <w:rFonts w:hint="default"/>
                      <w:lang w:val="en-US" w:eastAsia="zh-CN"/>
                    </w:rPr>
                  </w:pPr>
                  <w:r>
                    <w:rPr>
                      <w:rFonts w:hint="eastAsia"/>
                      <w:lang w:val="en-US" w:eastAsia="zh-CN"/>
                    </w:rPr>
                    <w:t>0.35</w:t>
                  </w:r>
                </w:p>
              </w:tc>
              <w:tc>
                <w:tcPr>
                  <w:tcW w:w="786" w:type="pct"/>
                  <w:vMerge w:val="continue"/>
                  <w:noWrap w:val="0"/>
                  <w:vAlign w:val="center"/>
                </w:tcPr>
                <w:p w14:paraId="43F90D96">
                  <w:pPr>
                    <w:pStyle w:val="32"/>
                    <w:bidi w:val="0"/>
                    <w:rPr>
                      <w:rFonts w:hint="eastAsia"/>
                      <w:lang w:val="en-US" w:eastAsia="zh-CN"/>
                    </w:rPr>
                  </w:pPr>
                </w:p>
              </w:tc>
            </w:tr>
            <w:tr w14:paraId="2867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shd w:val="clear" w:color="auto" w:fill="auto"/>
                  <w:noWrap w:val="0"/>
                  <w:vAlign w:val="center"/>
                </w:tcPr>
                <w:p w14:paraId="69A20CAB">
                  <w:pPr>
                    <w:pStyle w:val="32"/>
                    <w:bidi w:val="0"/>
                    <w:rPr>
                      <w:rFonts w:hint="default"/>
                      <w:lang w:val="en-US" w:eastAsia="zh-CN"/>
                    </w:rPr>
                  </w:pPr>
                  <w:r>
                    <w:rPr>
                      <w:rFonts w:hint="eastAsia"/>
                      <w:lang w:val="en-US" w:eastAsia="zh-CN"/>
                    </w:rPr>
                    <w:t>7</w:t>
                  </w:r>
                </w:p>
              </w:tc>
              <w:tc>
                <w:tcPr>
                  <w:tcW w:w="758" w:type="pct"/>
                  <w:noWrap w:val="0"/>
                  <w:vAlign w:val="center"/>
                </w:tcPr>
                <w:p w14:paraId="15D1C555">
                  <w:pPr>
                    <w:pStyle w:val="32"/>
                    <w:bidi w:val="0"/>
                    <w:rPr>
                      <w:rFonts w:hint="default"/>
                      <w:lang w:val="en-US" w:eastAsia="zh-CN"/>
                    </w:rPr>
                  </w:pPr>
                  <w:r>
                    <w:rPr>
                      <w:rFonts w:hint="eastAsia"/>
                      <w:lang w:val="en-US" w:eastAsia="zh-CN"/>
                    </w:rPr>
                    <w:t>污泥和栅渣</w:t>
                  </w:r>
                </w:p>
              </w:tc>
              <w:tc>
                <w:tcPr>
                  <w:tcW w:w="882" w:type="pct"/>
                  <w:noWrap w:val="0"/>
                  <w:vAlign w:val="center"/>
                </w:tcPr>
                <w:p w14:paraId="1EF19597">
                  <w:pPr>
                    <w:pStyle w:val="32"/>
                    <w:bidi w:val="0"/>
                    <w:rPr>
                      <w:rFonts w:hint="default"/>
                      <w:lang w:val="en-US" w:eastAsia="zh-CN"/>
                    </w:rPr>
                  </w:pPr>
                  <w:r>
                    <w:rPr>
                      <w:rFonts w:hint="eastAsia"/>
                      <w:lang w:val="en-US" w:eastAsia="zh-CN"/>
                    </w:rPr>
                    <w:t>污水处理</w:t>
                  </w:r>
                </w:p>
              </w:tc>
              <w:tc>
                <w:tcPr>
                  <w:tcW w:w="695" w:type="pct"/>
                  <w:vMerge w:val="continue"/>
                  <w:noWrap w:val="0"/>
                  <w:vAlign w:val="center"/>
                </w:tcPr>
                <w:p w14:paraId="722ABD1D">
                  <w:pPr>
                    <w:pStyle w:val="32"/>
                    <w:bidi w:val="0"/>
                    <w:rPr>
                      <w:rFonts w:hint="eastAsia"/>
                      <w:lang w:val="en-US" w:eastAsia="zh-CN"/>
                    </w:rPr>
                  </w:pPr>
                </w:p>
              </w:tc>
              <w:tc>
                <w:tcPr>
                  <w:tcW w:w="722" w:type="pct"/>
                  <w:noWrap w:val="0"/>
                  <w:vAlign w:val="center"/>
                </w:tcPr>
                <w:p w14:paraId="5A1F50B7">
                  <w:pPr>
                    <w:pStyle w:val="32"/>
                    <w:bidi w:val="0"/>
                    <w:rPr>
                      <w:rFonts w:hint="default"/>
                      <w:lang w:val="en-US" w:eastAsia="zh-CN"/>
                    </w:rPr>
                  </w:pPr>
                  <w:r>
                    <w:rPr>
                      <w:rFonts w:hint="eastAsia"/>
                      <w:lang w:val="en-US" w:eastAsia="zh-CN"/>
                    </w:rPr>
                    <w:t>HW01</w:t>
                  </w:r>
                </w:p>
                <w:p w14:paraId="2BC251B9">
                  <w:pPr>
                    <w:pStyle w:val="32"/>
                    <w:bidi w:val="0"/>
                    <w:rPr>
                      <w:rFonts w:hint="eastAsia"/>
                      <w:lang w:val="en-US" w:eastAsia="zh-CN"/>
                    </w:rPr>
                  </w:pPr>
                  <w:r>
                    <w:rPr>
                      <w:rFonts w:hint="eastAsia"/>
                      <w:lang w:val="en-US" w:eastAsia="zh-CN"/>
                    </w:rPr>
                    <w:t>841-001-01</w:t>
                  </w:r>
                </w:p>
              </w:tc>
              <w:tc>
                <w:tcPr>
                  <w:tcW w:w="765" w:type="pct"/>
                  <w:noWrap w:val="0"/>
                  <w:vAlign w:val="center"/>
                </w:tcPr>
                <w:p w14:paraId="59E18D8F">
                  <w:pPr>
                    <w:pStyle w:val="32"/>
                    <w:bidi w:val="0"/>
                    <w:rPr>
                      <w:rFonts w:hint="default"/>
                      <w:lang w:val="en-US" w:eastAsia="zh-CN"/>
                    </w:rPr>
                  </w:pPr>
                  <w:r>
                    <w:rPr>
                      <w:rFonts w:hint="eastAsia"/>
                      <w:lang w:val="en-US" w:eastAsia="zh-CN"/>
                    </w:rPr>
                    <w:t>23.9337</w:t>
                  </w:r>
                </w:p>
              </w:tc>
              <w:tc>
                <w:tcPr>
                  <w:tcW w:w="786" w:type="pct"/>
                  <w:vMerge w:val="continue"/>
                  <w:noWrap w:val="0"/>
                  <w:vAlign w:val="center"/>
                </w:tcPr>
                <w:p w14:paraId="6CD9351E">
                  <w:pPr>
                    <w:pStyle w:val="32"/>
                    <w:bidi w:val="0"/>
                    <w:rPr>
                      <w:rFonts w:hint="eastAsia"/>
                      <w:lang w:val="en-US" w:eastAsia="zh-CN"/>
                    </w:rPr>
                  </w:pPr>
                </w:p>
              </w:tc>
            </w:tr>
          </w:tbl>
          <w:p w14:paraId="0BF27EA1">
            <w:pPr>
              <w:ind w:left="0" w:leftChars="0" w:firstLine="0" w:firstLineChars="0"/>
              <w:rPr>
                <w:b/>
                <w:bCs/>
                <w:color w:val="auto"/>
              </w:rPr>
            </w:pPr>
            <w:r>
              <w:rPr>
                <w:rFonts w:hint="eastAsia"/>
                <w:b/>
                <w:bCs/>
                <w:color w:val="auto"/>
                <w:lang w:val="en-US" w:eastAsia="zh-CN"/>
              </w:rPr>
              <w:t>2</w:t>
            </w:r>
            <w:r>
              <w:rPr>
                <w:rFonts w:hint="eastAsia"/>
                <w:b/>
                <w:bCs/>
                <w:color w:val="auto"/>
              </w:rPr>
              <w:t>、固废处置措施可行性及合理性分析</w:t>
            </w:r>
          </w:p>
          <w:p w14:paraId="2C89DB4B">
            <w:pPr>
              <w:ind w:firstLine="482"/>
              <w:rPr>
                <w:b/>
                <w:bCs/>
                <w:color w:val="auto"/>
              </w:rPr>
            </w:pPr>
            <w:r>
              <w:rPr>
                <w:rFonts w:hint="eastAsia"/>
                <w:b/>
                <w:bCs/>
                <w:color w:val="auto"/>
              </w:rPr>
              <w:t>（1）一般工业固废</w:t>
            </w:r>
          </w:p>
          <w:p w14:paraId="5385D49F">
            <w:pPr>
              <w:ind w:firstLine="480"/>
              <w:rPr>
                <w:rFonts w:hint="default" w:eastAsia="宋体"/>
                <w:color w:val="auto"/>
                <w:lang w:val="en-US" w:eastAsia="zh-CN"/>
              </w:rPr>
            </w:pPr>
            <w:r>
              <w:rPr>
                <w:rFonts w:hint="eastAsia"/>
                <w:color w:val="auto"/>
              </w:rPr>
              <w:t>一般工业固废</w:t>
            </w:r>
            <w:r>
              <w:rPr>
                <w:color w:val="auto"/>
              </w:rPr>
              <w:t>在收集时，</w:t>
            </w:r>
            <w:r>
              <w:rPr>
                <w:rFonts w:hint="eastAsia"/>
                <w:color w:val="auto"/>
              </w:rPr>
              <w:t>按照不同种类</w:t>
            </w:r>
            <w:r>
              <w:rPr>
                <w:rFonts w:hint="eastAsia"/>
                <w:color w:val="auto"/>
                <w:lang w:val="en-US" w:eastAsia="zh-CN"/>
              </w:rPr>
              <w:t>对于纸张、塑料等可回收的垃圾分别放置，给以明确标识；院内活垃圾应采取桶装收集分类处理的方式，交由环卫部门统一清运。厨余垃圾采用桶装收集方式，收集后由厨余垃圾收运单位收运、处理，不得与生活垃圾混装。</w:t>
            </w:r>
          </w:p>
          <w:p w14:paraId="3117DF66">
            <w:pPr>
              <w:bidi w:val="0"/>
              <w:rPr>
                <w:color w:val="auto"/>
              </w:rPr>
            </w:pPr>
            <w:r>
              <w:rPr>
                <w:color w:val="auto"/>
                <w:lang w:val="en-US" w:eastAsia="zh-CN"/>
              </w:rPr>
              <w:t>综上所述，拟建项目建成运行后，一般工业固废可得到妥善处理处置或综合利用，不外排。</w:t>
            </w:r>
          </w:p>
          <w:p w14:paraId="5361F1D2">
            <w:pPr>
              <w:bidi w:val="0"/>
              <w:rPr>
                <w:b/>
                <w:bCs/>
                <w:color w:val="auto"/>
              </w:rPr>
            </w:pPr>
            <w:r>
              <w:rPr>
                <w:rFonts w:hint="eastAsia"/>
                <w:b/>
                <w:bCs/>
                <w:color w:val="auto"/>
              </w:rPr>
              <w:t>（2）危险废物</w:t>
            </w:r>
          </w:p>
          <w:p w14:paraId="2CC71FBF">
            <w:pPr>
              <w:ind w:firstLine="480"/>
              <w:rPr>
                <w:rFonts w:hint="eastAsia"/>
                <w:b/>
                <w:bCs/>
                <w:color w:val="auto"/>
                <w:lang w:val="en-US" w:eastAsia="zh-CN"/>
              </w:rPr>
            </w:pPr>
            <w:r>
              <w:rPr>
                <w:rFonts w:hint="eastAsia"/>
                <w:b/>
                <w:bCs/>
                <w:color w:val="auto"/>
                <w:lang w:val="en-US" w:eastAsia="zh-CN"/>
              </w:rPr>
              <w:t>1）医疗废物</w:t>
            </w:r>
          </w:p>
          <w:p w14:paraId="19F24455">
            <w:pPr>
              <w:bidi w:val="0"/>
              <w:rPr>
                <w:rFonts w:hint="eastAsia"/>
                <w:lang w:val="en-US" w:eastAsia="zh-CN"/>
              </w:rPr>
            </w:pPr>
            <w:r>
              <w:rPr>
                <w:rFonts w:hint="eastAsia"/>
                <w:lang w:val="en-US" w:eastAsia="zh-CN"/>
              </w:rPr>
              <w:t>本项目产生的医疗危险废物收集后暂存于医疗废物暂存间内，建筑面积约</w:t>
            </w:r>
            <w:r>
              <w:rPr>
                <w:rFonts w:hint="eastAsia"/>
                <w:highlight w:val="none"/>
                <w:lang w:val="en-US" w:eastAsia="zh-CN"/>
              </w:rPr>
              <w:t>15</w:t>
            </w:r>
            <w:r>
              <w:rPr>
                <w:rFonts w:hint="eastAsia"/>
                <w:lang w:val="en-US" w:eastAsia="zh-CN"/>
              </w:rPr>
              <w:t>㎡。</w:t>
            </w:r>
          </w:p>
          <w:p w14:paraId="1DA21F1C">
            <w:pPr>
              <w:bidi w:val="0"/>
              <w:rPr>
                <w:rFonts w:hint="default"/>
                <w:b/>
                <w:bCs/>
                <w:lang w:val="en-US" w:eastAsia="zh-CN"/>
              </w:rPr>
            </w:pPr>
            <w:r>
              <w:rPr>
                <w:rFonts w:hint="eastAsia"/>
                <w:b/>
                <w:bCs/>
                <w:lang w:val="en-US" w:eastAsia="zh-CN"/>
              </w:rPr>
              <w:t>①选址可行性</w:t>
            </w:r>
          </w:p>
          <w:p w14:paraId="6CFA99B9">
            <w:pPr>
              <w:ind w:firstLine="480"/>
              <w:rPr>
                <w:color w:val="auto"/>
              </w:rPr>
            </w:pPr>
            <w:r>
              <w:rPr>
                <w:color w:val="auto"/>
              </w:rPr>
              <w:t>根据</w:t>
            </w:r>
            <w:r>
              <w:rPr>
                <w:rFonts w:hint="eastAsia"/>
                <w:color w:val="auto"/>
              </w:rPr>
              <w:t>《医疗废物管理条例》(中华人民共和国国务院令第380号)相关要求</w:t>
            </w:r>
            <w:r>
              <w:rPr>
                <w:color w:val="auto"/>
              </w:rPr>
              <w:t>，本项目</w:t>
            </w:r>
            <w:r>
              <w:rPr>
                <w:rFonts w:hint="eastAsia"/>
                <w:color w:val="auto"/>
                <w:lang w:val="en-US" w:eastAsia="zh-CN"/>
              </w:rPr>
              <w:t>医废暂存间</w:t>
            </w:r>
            <w:r>
              <w:rPr>
                <w:color w:val="auto"/>
              </w:rPr>
              <w:t>选址相符性见下表。</w:t>
            </w:r>
          </w:p>
          <w:p w14:paraId="2DDC8EB3">
            <w:pPr>
              <w:pStyle w:val="27"/>
              <w:bidi w:val="0"/>
              <w:rPr>
                <w:rFonts w:hint="default"/>
              </w:rPr>
            </w:pPr>
            <w:r>
              <w:t>表4-</w:t>
            </w:r>
            <w:r>
              <w:rPr>
                <w:rFonts w:hint="eastAsia"/>
                <w:lang w:val="en-US" w:eastAsia="zh-CN"/>
              </w:rPr>
              <w:t xml:space="preserve">21 </w:t>
            </w:r>
            <w:r>
              <w:t xml:space="preserve"> </w:t>
            </w:r>
            <w:r>
              <w:rPr>
                <w:rFonts w:hint="eastAsia"/>
                <w:lang w:val="en-US" w:eastAsia="zh-CN"/>
              </w:rPr>
              <w:t>医废暂存间</w:t>
            </w:r>
            <w:r>
              <w:t>选址符合性分析</w:t>
            </w:r>
          </w:p>
          <w:tbl>
            <w:tblPr>
              <w:tblStyle w:val="18"/>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1"/>
              <w:gridCol w:w="4158"/>
            </w:tblGrid>
            <w:tr w14:paraId="66B7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1" w:type="dxa"/>
                  <w:noWrap/>
                  <w:vAlign w:val="center"/>
                </w:tcPr>
                <w:p w14:paraId="4C3A6390">
                  <w:pPr>
                    <w:pStyle w:val="32"/>
                    <w:bidi w:val="0"/>
                    <w:rPr>
                      <w:b/>
                      <w:bCs/>
                      <w:color w:val="auto"/>
                    </w:rPr>
                  </w:pPr>
                  <w:r>
                    <w:rPr>
                      <w:rFonts w:hint="eastAsia"/>
                      <w:b/>
                      <w:bCs/>
                      <w:color w:val="auto"/>
                    </w:rPr>
                    <w:t>《医疗废物管理条例》</w:t>
                  </w:r>
                  <w:r>
                    <w:rPr>
                      <w:b/>
                      <w:bCs/>
                    </w:rPr>
                    <w:t>中要求</w:t>
                  </w:r>
                </w:p>
              </w:tc>
              <w:tc>
                <w:tcPr>
                  <w:tcW w:w="4158" w:type="dxa"/>
                  <w:noWrap/>
                  <w:vAlign w:val="center"/>
                </w:tcPr>
                <w:p w14:paraId="4EEA445F">
                  <w:pPr>
                    <w:pStyle w:val="32"/>
                    <w:bidi w:val="0"/>
                    <w:rPr>
                      <w:b/>
                      <w:bCs/>
                      <w:color w:val="auto"/>
                    </w:rPr>
                  </w:pPr>
                  <w:r>
                    <w:rPr>
                      <w:b/>
                      <w:bCs/>
                    </w:rPr>
                    <w:t>相符性分析</w:t>
                  </w:r>
                </w:p>
              </w:tc>
            </w:tr>
            <w:tr w14:paraId="2D14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1" w:type="dxa"/>
                  <w:noWrap/>
                  <w:vAlign w:val="center"/>
                </w:tcPr>
                <w:p w14:paraId="00E8D7FB">
                  <w:pPr>
                    <w:pStyle w:val="32"/>
                    <w:bidi w:val="0"/>
                    <w:rPr>
                      <w:color w:val="auto"/>
                    </w:rPr>
                  </w:pPr>
                  <w:r>
                    <w:rPr>
                      <w:rFonts w:hint="eastAsia"/>
                    </w:rPr>
                    <w:t>医疗废物的暂时贮存设施、设备，应当远离医疗区、食品加工区和人员活动区以及生活垃圾存放场所，并设置明显的警示标识和防渗漏、防鼠、防蚊蝇、防蟑螂、防盗以及预防儿童接触等安全措施。</w:t>
                  </w:r>
                </w:p>
              </w:tc>
              <w:tc>
                <w:tcPr>
                  <w:tcW w:w="4158" w:type="dxa"/>
                  <w:noWrap/>
                  <w:vAlign w:val="center"/>
                </w:tcPr>
                <w:p w14:paraId="012B2C35">
                  <w:pPr>
                    <w:pStyle w:val="32"/>
                    <w:bidi w:val="0"/>
                    <w:rPr>
                      <w:rFonts w:hint="default" w:eastAsia="宋体"/>
                      <w:color w:val="auto"/>
                      <w:lang w:val="en-US" w:eastAsia="zh-CN"/>
                    </w:rPr>
                  </w:pPr>
                  <w:r>
                    <w:t>本项目</w:t>
                  </w:r>
                  <w:r>
                    <w:rPr>
                      <w:rFonts w:hint="eastAsia"/>
                      <w:lang w:val="en-US" w:eastAsia="zh-CN"/>
                    </w:rPr>
                    <w:t>医废暂存间位于中心主楼</w:t>
                  </w:r>
                  <w:r>
                    <w:rPr>
                      <w:rFonts w:hint="eastAsia"/>
                      <w:highlight w:val="none"/>
                      <w:lang w:val="en-US" w:eastAsia="zh-CN"/>
                    </w:rPr>
                    <w:t>西北角，</w:t>
                  </w:r>
                  <w:r>
                    <w:rPr>
                      <w:rFonts w:hint="eastAsia"/>
                      <w:highlight w:val="none"/>
                    </w:rPr>
                    <w:t>远离医疗区、食品加工区和人员活动区以及</w:t>
                  </w:r>
                  <w:r>
                    <w:rPr>
                      <w:rFonts w:hint="eastAsia"/>
                    </w:rPr>
                    <w:t>生活垃圾存放场所</w:t>
                  </w:r>
                  <w:r>
                    <w:rPr>
                      <w:rFonts w:hint="eastAsia"/>
                      <w:lang w:eastAsia="zh-CN"/>
                    </w:rPr>
                    <w:t>，</w:t>
                  </w:r>
                  <w:r>
                    <w:rPr>
                      <w:rFonts w:hint="eastAsia"/>
                      <w:lang w:val="en-US" w:eastAsia="zh-CN"/>
                    </w:rPr>
                    <w:t>且按要求设置</w:t>
                  </w:r>
                  <w:r>
                    <w:rPr>
                      <w:rFonts w:hint="eastAsia"/>
                    </w:rPr>
                    <w:t>警示标识和防渗漏、防鼠、防蚊蝇、防蟑螂、防盗以及预防儿童接触等安全措施。</w:t>
                  </w:r>
                </w:p>
              </w:tc>
            </w:tr>
          </w:tbl>
          <w:p w14:paraId="4231A914">
            <w:pPr>
              <w:ind w:firstLine="482"/>
              <w:rPr>
                <w:b/>
                <w:bCs/>
                <w:color w:val="auto"/>
              </w:rPr>
            </w:pPr>
            <w:r>
              <w:rPr>
                <w:rFonts w:hint="eastAsia"/>
                <w:b/>
                <w:bCs/>
                <w:color w:val="auto"/>
                <w:lang w:val="en-US" w:eastAsia="zh-CN"/>
              </w:rPr>
              <w:t>②</w:t>
            </w:r>
            <w:r>
              <w:rPr>
                <w:b/>
                <w:bCs/>
                <w:color w:val="auto"/>
              </w:rPr>
              <w:t>存储能力可行性分析</w:t>
            </w:r>
          </w:p>
          <w:p w14:paraId="660D8ADA">
            <w:pPr>
              <w:ind w:firstLine="480"/>
              <w:rPr>
                <w:color w:val="auto"/>
              </w:rPr>
            </w:pPr>
            <w:r>
              <w:rPr>
                <w:rFonts w:hint="eastAsia"/>
                <w:color w:val="auto"/>
                <w:lang w:eastAsia="zh-CN"/>
              </w:rPr>
              <w:t>《</w:t>
            </w:r>
            <w:r>
              <w:rPr>
                <w:color w:val="auto"/>
              </w:rPr>
              <w:t>建设项目危险废物环境影响评价指南》提出应列表明确危险废物贮存场所（设施）的名称、位置、占地面积、贮存方式、贮存容积、贮存周期等，项目危险废物贮存场所基本情况</w:t>
            </w:r>
            <w:r>
              <w:rPr>
                <w:rFonts w:hint="eastAsia"/>
                <w:color w:val="auto"/>
              </w:rPr>
              <w:t>如下所示</w:t>
            </w:r>
            <w:r>
              <w:rPr>
                <w:color w:val="auto"/>
              </w:rPr>
              <w:t>：</w:t>
            </w:r>
          </w:p>
          <w:p w14:paraId="544EECA1">
            <w:pPr>
              <w:pStyle w:val="27"/>
              <w:bidi w:val="0"/>
            </w:pPr>
            <w:r>
              <w:t>表4-</w:t>
            </w:r>
            <w:r>
              <w:rPr>
                <w:rFonts w:hint="eastAsia"/>
                <w:lang w:val="en-US" w:eastAsia="zh-CN"/>
              </w:rPr>
              <w:t>22</w:t>
            </w:r>
            <w:r>
              <w:t xml:space="preserve">  </w:t>
            </w:r>
            <w:r>
              <w:rPr>
                <w:rFonts w:hint="eastAsia"/>
                <w:lang w:val="en-US" w:eastAsia="zh-CN"/>
              </w:rPr>
              <w:t>医废暂存间</w:t>
            </w:r>
            <w:r>
              <w:t>场所（设施）基本情况表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7"/>
              <w:gridCol w:w="929"/>
              <w:gridCol w:w="803"/>
              <w:gridCol w:w="1104"/>
              <w:gridCol w:w="590"/>
              <w:gridCol w:w="763"/>
              <w:gridCol w:w="763"/>
              <w:gridCol w:w="763"/>
              <w:gridCol w:w="770"/>
              <w:gridCol w:w="842"/>
              <w:gridCol w:w="783"/>
            </w:tblGrid>
            <w:tr w14:paraId="4FF0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1" w:type="pct"/>
                  <w:vAlign w:val="center"/>
                </w:tcPr>
                <w:p w14:paraId="43B0E9CD">
                  <w:pPr>
                    <w:pStyle w:val="32"/>
                    <w:bidi w:val="0"/>
                    <w:rPr>
                      <w:b/>
                      <w:bCs/>
                      <w:color w:val="auto"/>
                    </w:rPr>
                  </w:pPr>
                  <w:r>
                    <w:rPr>
                      <w:b/>
                      <w:bCs/>
                    </w:rPr>
                    <w:t>序号</w:t>
                  </w:r>
                </w:p>
              </w:tc>
              <w:tc>
                <w:tcPr>
                  <w:tcW w:w="543" w:type="pct"/>
                  <w:vAlign w:val="center"/>
                </w:tcPr>
                <w:p w14:paraId="2DBB43FB">
                  <w:pPr>
                    <w:pStyle w:val="32"/>
                    <w:bidi w:val="0"/>
                    <w:rPr>
                      <w:b/>
                      <w:bCs/>
                    </w:rPr>
                  </w:pPr>
                  <w:r>
                    <w:rPr>
                      <w:b/>
                      <w:bCs/>
                    </w:rPr>
                    <w:t>贮存场所（设施）名</w:t>
                  </w:r>
                </w:p>
                <w:p w14:paraId="100B4BA6">
                  <w:pPr>
                    <w:pStyle w:val="32"/>
                    <w:bidi w:val="0"/>
                    <w:rPr>
                      <w:b/>
                      <w:bCs/>
                      <w:color w:val="auto"/>
                    </w:rPr>
                  </w:pPr>
                  <w:r>
                    <w:rPr>
                      <w:b/>
                      <w:bCs/>
                    </w:rPr>
                    <w:t>称</w:t>
                  </w:r>
                </w:p>
              </w:tc>
              <w:tc>
                <w:tcPr>
                  <w:tcW w:w="469" w:type="pct"/>
                  <w:vAlign w:val="center"/>
                </w:tcPr>
                <w:p w14:paraId="218FB94F">
                  <w:pPr>
                    <w:pStyle w:val="32"/>
                    <w:bidi w:val="0"/>
                    <w:rPr>
                      <w:b/>
                      <w:bCs/>
                      <w:color w:val="auto"/>
                    </w:rPr>
                  </w:pPr>
                  <w:r>
                    <w:rPr>
                      <w:rFonts w:hint="eastAsia"/>
                      <w:b/>
                      <w:bCs/>
                      <w:lang w:val="en-US" w:eastAsia="zh-CN"/>
                    </w:rPr>
                    <w:t>医疗废物</w:t>
                  </w:r>
                  <w:r>
                    <w:rPr>
                      <w:b/>
                      <w:bCs/>
                    </w:rPr>
                    <w:t>名称</w:t>
                  </w:r>
                </w:p>
              </w:tc>
              <w:tc>
                <w:tcPr>
                  <w:tcW w:w="645" w:type="pct"/>
                  <w:vAlign w:val="center"/>
                </w:tcPr>
                <w:p w14:paraId="6C59E6C5">
                  <w:pPr>
                    <w:pStyle w:val="32"/>
                    <w:bidi w:val="0"/>
                    <w:rPr>
                      <w:b/>
                      <w:bCs/>
                      <w:color w:val="auto"/>
                    </w:rPr>
                  </w:pPr>
                  <w:r>
                    <w:rPr>
                      <w:rFonts w:hint="eastAsia"/>
                      <w:b/>
                      <w:bCs/>
                      <w:lang w:val="en-US" w:eastAsia="zh-CN"/>
                    </w:rPr>
                    <w:t>医疗废物</w:t>
                  </w:r>
                  <w:r>
                    <w:rPr>
                      <w:b/>
                      <w:bCs/>
                    </w:rPr>
                    <w:t>类别和代码</w:t>
                  </w:r>
                </w:p>
              </w:tc>
              <w:tc>
                <w:tcPr>
                  <w:tcW w:w="345" w:type="pct"/>
                  <w:vAlign w:val="center"/>
                </w:tcPr>
                <w:p w14:paraId="3937D21C">
                  <w:pPr>
                    <w:pStyle w:val="32"/>
                    <w:bidi w:val="0"/>
                    <w:rPr>
                      <w:b/>
                      <w:bCs/>
                      <w:color w:val="auto"/>
                    </w:rPr>
                  </w:pPr>
                  <w:r>
                    <w:rPr>
                      <w:b/>
                      <w:bCs/>
                    </w:rPr>
                    <w:t>占地面积</w:t>
                  </w:r>
                </w:p>
              </w:tc>
              <w:tc>
                <w:tcPr>
                  <w:tcW w:w="446" w:type="pct"/>
                  <w:vAlign w:val="center"/>
                </w:tcPr>
                <w:p w14:paraId="2E765E93">
                  <w:pPr>
                    <w:pStyle w:val="32"/>
                    <w:bidi w:val="0"/>
                    <w:rPr>
                      <w:b/>
                      <w:bCs/>
                      <w:color w:val="auto"/>
                    </w:rPr>
                  </w:pPr>
                  <w:r>
                    <w:rPr>
                      <w:b/>
                      <w:bCs/>
                    </w:rPr>
                    <w:t>贮存方式</w:t>
                  </w:r>
                </w:p>
              </w:tc>
              <w:tc>
                <w:tcPr>
                  <w:tcW w:w="446" w:type="pct"/>
                  <w:vAlign w:val="center"/>
                </w:tcPr>
                <w:p w14:paraId="3657636C">
                  <w:pPr>
                    <w:pStyle w:val="32"/>
                    <w:bidi w:val="0"/>
                    <w:rPr>
                      <w:rFonts w:hint="default" w:eastAsia="宋体"/>
                      <w:b/>
                      <w:bCs/>
                      <w:color w:val="auto"/>
                      <w:lang w:val="en-US" w:eastAsia="zh-CN"/>
                    </w:rPr>
                  </w:pPr>
                  <w:r>
                    <w:rPr>
                      <w:rFonts w:hint="eastAsia"/>
                      <w:b/>
                      <w:bCs/>
                      <w:lang w:val="en-US" w:eastAsia="zh-CN"/>
                    </w:rPr>
                    <w:t>包装桶规格</w:t>
                  </w:r>
                </w:p>
              </w:tc>
              <w:tc>
                <w:tcPr>
                  <w:tcW w:w="446" w:type="pct"/>
                  <w:vAlign w:val="center"/>
                </w:tcPr>
                <w:p w14:paraId="74E4EA71">
                  <w:pPr>
                    <w:pStyle w:val="32"/>
                    <w:bidi w:val="0"/>
                    <w:rPr>
                      <w:rFonts w:hint="eastAsia" w:eastAsia="宋体"/>
                      <w:b/>
                      <w:bCs/>
                      <w:color w:val="auto"/>
                      <w:lang w:val="en-US" w:eastAsia="zh-CN"/>
                    </w:rPr>
                  </w:pPr>
                  <w:r>
                    <w:rPr>
                      <w:b/>
                      <w:bCs/>
                    </w:rPr>
                    <w:t>最大贮存量</w:t>
                  </w:r>
                  <w:r>
                    <w:rPr>
                      <w:rFonts w:hint="eastAsia"/>
                      <w:b/>
                      <w:bCs/>
                      <w:lang w:val="en-US" w:eastAsia="zh-CN"/>
                    </w:rPr>
                    <w:t>t</w:t>
                  </w:r>
                </w:p>
              </w:tc>
              <w:tc>
                <w:tcPr>
                  <w:tcW w:w="450" w:type="pct"/>
                  <w:vAlign w:val="center"/>
                </w:tcPr>
                <w:p w14:paraId="27DBE6D8">
                  <w:pPr>
                    <w:pStyle w:val="32"/>
                    <w:bidi w:val="0"/>
                    <w:rPr>
                      <w:rFonts w:hint="default" w:eastAsia="宋体"/>
                      <w:b/>
                      <w:bCs/>
                      <w:color w:val="auto"/>
                      <w:lang w:val="en-US" w:eastAsia="zh-CN"/>
                    </w:rPr>
                  </w:pPr>
                  <w:r>
                    <w:rPr>
                      <w:rFonts w:hint="eastAsia"/>
                      <w:b/>
                      <w:bCs/>
                      <w:lang w:val="en-US" w:eastAsia="zh-CN"/>
                    </w:rPr>
                    <w:t>包装容器数量/个</w:t>
                  </w:r>
                </w:p>
              </w:tc>
              <w:tc>
                <w:tcPr>
                  <w:tcW w:w="487" w:type="pct"/>
                  <w:vAlign w:val="center"/>
                </w:tcPr>
                <w:p w14:paraId="006C4507">
                  <w:pPr>
                    <w:pStyle w:val="32"/>
                    <w:bidi w:val="0"/>
                    <w:rPr>
                      <w:b/>
                      <w:bCs/>
                      <w:color w:val="auto"/>
                    </w:rPr>
                  </w:pPr>
                  <w:r>
                    <w:rPr>
                      <w:b/>
                      <w:bCs/>
                    </w:rPr>
                    <w:t>贮存周期</w:t>
                  </w:r>
                </w:p>
              </w:tc>
              <w:tc>
                <w:tcPr>
                  <w:tcW w:w="456" w:type="pct"/>
                  <w:vAlign w:val="center"/>
                </w:tcPr>
                <w:p w14:paraId="1E96BBF1">
                  <w:pPr>
                    <w:pStyle w:val="32"/>
                    <w:bidi w:val="0"/>
                    <w:rPr>
                      <w:rFonts w:hint="default" w:eastAsia="宋体"/>
                      <w:b/>
                      <w:bCs/>
                      <w:color w:val="auto"/>
                      <w:lang w:val="en-US" w:eastAsia="zh-CN"/>
                    </w:rPr>
                  </w:pPr>
                  <w:r>
                    <w:rPr>
                      <w:rFonts w:hint="eastAsia"/>
                      <w:b/>
                      <w:bCs/>
                      <w:lang w:val="en-US" w:eastAsia="zh-CN"/>
                    </w:rPr>
                    <w:t>贮存面积㎡</w:t>
                  </w:r>
                </w:p>
              </w:tc>
            </w:tr>
            <w:tr w14:paraId="12C8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1" w:type="pct"/>
                  <w:vAlign w:val="center"/>
                </w:tcPr>
                <w:p w14:paraId="6B60EC38">
                  <w:pPr>
                    <w:pStyle w:val="32"/>
                    <w:bidi w:val="0"/>
                    <w:rPr>
                      <w:color w:val="auto"/>
                    </w:rPr>
                  </w:pPr>
                  <w:r>
                    <w:t>1</w:t>
                  </w:r>
                </w:p>
              </w:tc>
              <w:tc>
                <w:tcPr>
                  <w:tcW w:w="543" w:type="pct"/>
                  <w:vMerge w:val="restart"/>
                  <w:vAlign w:val="center"/>
                </w:tcPr>
                <w:p w14:paraId="5DAA71AE">
                  <w:pPr>
                    <w:pStyle w:val="32"/>
                    <w:bidi w:val="0"/>
                    <w:rPr>
                      <w:rFonts w:hint="default" w:eastAsia="宋体"/>
                      <w:color w:val="auto"/>
                      <w:lang w:val="en-US" w:eastAsia="zh-CN"/>
                    </w:rPr>
                  </w:pPr>
                  <w:r>
                    <w:rPr>
                      <w:rFonts w:hint="eastAsia"/>
                      <w:lang w:val="en-US" w:eastAsia="zh-CN"/>
                    </w:rPr>
                    <w:t>医废暂存间</w:t>
                  </w:r>
                </w:p>
              </w:tc>
              <w:tc>
                <w:tcPr>
                  <w:tcW w:w="469" w:type="pct"/>
                  <w:shd w:val="clear" w:color="auto" w:fill="auto"/>
                  <w:vAlign w:val="center"/>
                </w:tcPr>
                <w:p w14:paraId="1DEE9E3D">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医疗废物</w:t>
                  </w:r>
                </w:p>
              </w:tc>
              <w:tc>
                <w:tcPr>
                  <w:tcW w:w="645" w:type="pct"/>
                  <w:shd w:val="clear" w:color="auto" w:fill="auto"/>
                  <w:vAlign w:val="center"/>
                </w:tcPr>
                <w:p w14:paraId="1D842488">
                  <w:pPr>
                    <w:pStyle w:val="32"/>
                    <w:bidi w:val="0"/>
                    <w:rPr>
                      <w:rFonts w:hint="default"/>
                      <w:lang w:val="en-US" w:eastAsia="zh-CN"/>
                    </w:rPr>
                  </w:pPr>
                  <w:r>
                    <w:rPr>
                      <w:rFonts w:hint="eastAsia"/>
                      <w:lang w:val="en-US" w:eastAsia="zh-CN"/>
                    </w:rPr>
                    <w:t>HW01</w:t>
                  </w:r>
                </w:p>
                <w:p w14:paraId="4FECD947">
                  <w:pPr>
                    <w:pStyle w:val="32"/>
                    <w:bidi w:val="0"/>
                    <w:rPr>
                      <w:rFonts w:hint="eastAsia"/>
                      <w:lang w:val="en-US" w:eastAsia="zh-CN"/>
                    </w:rPr>
                  </w:pPr>
                  <w:r>
                    <w:rPr>
                      <w:rFonts w:hint="eastAsia"/>
                      <w:lang w:val="en-US" w:eastAsia="zh-CN"/>
                    </w:rPr>
                    <w:t>841-001-01</w:t>
                  </w:r>
                </w:p>
                <w:p w14:paraId="4537B867">
                  <w:pPr>
                    <w:pStyle w:val="32"/>
                    <w:bidi w:val="0"/>
                    <w:rPr>
                      <w:rFonts w:hint="eastAsia"/>
                      <w:lang w:val="en-US" w:eastAsia="zh-CN"/>
                    </w:rPr>
                  </w:pPr>
                  <w:r>
                    <w:rPr>
                      <w:rFonts w:hint="eastAsia"/>
                      <w:lang w:val="en-US" w:eastAsia="zh-CN"/>
                    </w:rPr>
                    <w:t>841-002-01</w:t>
                  </w:r>
                </w:p>
                <w:p w14:paraId="675F5EFD">
                  <w:pPr>
                    <w:pStyle w:val="32"/>
                    <w:bidi w:val="0"/>
                    <w:rPr>
                      <w:rFonts w:hint="eastAsia"/>
                      <w:lang w:val="en-US" w:eastAsia="zh-CN"/>
                    </w:rPr>
                  </w:pPr>
                  <w:r>
                    <w:rPr>
                      <w:rFonts w:hint="eastAsia"/>
                      <w:lang w:val="en-US" w:eastAsia="zh-CN"/>
                    </w:rPr>
                    <w:t>841-003-01</w:t>
                  </w:r>
                </w:p>
                <w:p w14:paraId="2654EDB5">
                  <w:pPr>
                    <w:pStyle w:val="32"/>
                    <w:bidi w:val="0"/>
                    <w:rPr>
                      <w:rFonts w:hint="eastAsia"/>
                      <w:lang w:val="en-US" w:eastAsia="zh-CN"/>
                    </w:rPr>
                  </w:pPr>
                  <w:r>
                    <w:rPr>
                      <w:rFonts w:hint="eastAsia"/>
                      <w:lang w:val="en-US" w:eastAsia="zh-CN"/>
                    </w:rPr>
                    <w:t>841-004-01</w:t>
                  </w:r>
                </w:p>
                <w:p w14:paraId="314A5E44">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841-005-01</w:t>
                  </w:r>
                </w:p>
              </w:tc>
              <w:tc>
                <w:tcPr>
                  <w:tcW w:w="345" w:type="pct"/>
                  <w:vMerge w:val="restart"/>
                  <w:vAlign w:val="center"/>
                </w:tcPr>
                <w:p w14:paraId="64F8AA92">
                  <w:pPr>
                    <w:pStyle w:val="32"/>
                    <w:bidi w:val="0"/>
                    <w:rPr>
                      <w:rFonts w:hint="default"/>
                      <w:color w:val="auto"/>
                      <w:lang w:val="en-US"/>
                    </w:rPr>
                  </w:pPr>
                  <w:r>
                    <w:rPr>
                      <w:rFonts w:hint="eastAsia"/>
                      <w:lang w:val="en-US" w:eastAsia="zh-CN"/>
                    </w:rPr>
                    <w:t>15㎡</w:t>
                  </w:r>
                </w:p>
              </w:tc>
              <w:tc>
                <w:tcPr>
                  <w:tcW w:w="446" w:type="pct"/>
                  <w:vMerge w:val="restart"/>
                  <w:vAlign w:val="center"/>
                </w:tcPr>
                <w:p w14:paraId="51B205D6">
                  <w:pPr>
                    <w:pStyle w:val="32"/>
                    <w:bidi w:val="0"/>
                    <w:rPr>
                      <w:color w:val="auto"/>
                    </w:rPr>
                  </w:pPr>
                  <w:r>
                    <w:t>桶装</w:t>
                  </w:r>
                  <w:r>
                    <w:rPr>
                      <w:rFonts w:hint="eastAsia"/>
                      <w:lang w:eastAsia="zh-CN"/>
                    </w:rPr>
                    <w:t>，</w:t>
                  </w:r>
                  <w:r>
                    <w:rPr>
                      <w:rFonts w:hint="eastAsia"/>
                      <w:lang w:val="en-US" w:eastAsia="zh-CN"/>
                    </w:rPr>
                    <w:t>240L/</w:t>
                  </w:r>
                  <w:r>
                    <w:t>桶装</w:t>
                  </w:r>
                </w:p>
              </w:tc>
              <w:tc>
                <w:tcPr>
                  <w:tcW w:w="446" w:type="pct"/>
                  <w:vMerge w:val="restart"/>
                  <w:vAlign w:val="center"/>
                </w:tcPr>
                <w:p w14:paraId="7DE7B209">
                  <w:pPr>
                    <w:pStyle w:val="32"/>
                    <w:bidi w:val="0"/>
                    <w:rPr>
                      <w:rFonts w:hint="default" w:eastAsia="宋体"/>
                      <w:color w:val="auto"/>
                      <w:lang w:val="en-US" w:eastAsia="zh-CN"/>
                    </w:rPr>
                  </w:pPr>
                  <w:r>
                    <w:t>738mm</w:t>
                  </w:r>
                  <w:r>
                    <w:rPr>
                      <w:rFonts w:hint="eastAsia"/>
                      <w:lang w:val="en-US" w:eastAsia="zh-CN"/>
                    </w:rPr>
                    <w:t>×</w:t>
                  </w:r>
                  <w:r>
                    <w:t>595mm</w:t>
                  </w:r>
                  <w:r>
                    <w:rPr>
                      <w:rFonts w:hint="eastAsia"/>
                      <w:lang w:val="en-US" w:eastAsia="zh-CN"/>
                    </w:rPr>
                    <w:t>×</w:t>
                  </w:r>
                  <w:r>
                    <w:t>1100mm</w:t>
                  </w:r>
                </w:p>
              </w:tc>
              <w:tc>
                <w:tcPr>
                  <w:tcW w:w="446" w:type="pct"/>
                  <w:vAlign w:val="center"/>
                </w:tcPr>
                <w:p w14:paraId="10AA3786">
                  <w:pPr>
                    <w:pStyle w:val="32"/>
                    <w:bidi w:val="0"/>
                    <w:rPr>
                      <w:rFonts w:hint="default"/>
                      <w:color w:val="auto"/>
                      <w:lang w:val="en-US"/>
                    </w:rPr>
                  </w:pPr>
                  <w:r>
                    <w:rPr>
                      <w:rFonts w:hint="eastAsia"/>
                      <w:lang w:val="en-US" w:eastAsia="zh-CN"/>
                    </w:rPr>
                    <w:t>0.1431</w:t>
                  </w:r>
                </w:p>
              </w:tc>
              <w:tc>
                <w:tcPr>
                  <w:tcW w:w="450" w:type="pct"/>
                  <w:vAlign w:val="center"/>
                </w:tcPr>
                <w:p w14:paraId="3F3F5871">
                  <w:pPr>
                    <w:pStyle w:val="32"/>
                    <w:bidi w:val="0"/>
                    <w:rPr>
                      <w:rFonts w:hint="eastAsia" w:eastAsia="宋体"/>
                      <w:color w:val="auto"/>
                      <w:lang w:val="en-US" w:eastAsia="zh-CN"/>
                    </w:rPr>
                  </w:pPr>
                  <w:r>
                    <w:rPr>
                      <w:rFonts w:hint="eastAsia"/>
                      <w:lang w:val="en-US" w:eastAsia="zh-CN"/>
                    </w:rPr>
                    <w:t>5</w:t>
                  </w:r>
                </w:p>
              </w:tc>
              <w:tc>
                <w:tcPr>
                  <w:tcW w:w="487" w:type="pct"/>
                  <w:vAlign w:val="center"/>
                </w:tcPr>
                <w:p w14:paraId="34E1B71B">
                  <w:pPr>
                    <w:pStyle w:val="32"/>
                    <w:bidi w:val="0"/>
                    <w:rPr>
                      <w:rFonts w:hint="eastAsia" w:eastAsia="宋体"/>
                      <w:color w:val="auto"/>
                      <w:lang w:eastAsia="zh-CN"/>
                    </w:rPr>
                  </w:pPr>
                  <w:r>
                    <w:rPr>
                      <w:rFonts w:hint="eastAsia"/>
                      <w:lang w:val="en-US" w:eastAsia="zh-CN"/>
                    </w:rPr>
                    <w:t>1d</w:t>
                  </w:r>
                </w:p>
              </w:tc>
              <w:tc>
                <w:tcPr>
                  <w:tcW w:w="456" w:type="pct"/>
                  <w:vAlign w:val="center"/>
                </w:tcPr>
                <w:p w14:paraId="06A727D7">
                  <w:pPr>
                    <w:pStyle w:val="32"/>
                    <w:bidi w:val="0"/>
                    <w:rPr>
                      <w:rFonts w:hint="default" w:eastAsia="宋体"/>
                      <w:color w:val="auto"/>
                      <w:lang w:val="en-US" w:eastAsia="zh-CN"/>
                    </w:rPr>
                  </w:pPr>
                  <w:r>
                    <w:rPr>
                      <w:rFonts w:hint="eastAsia"/>
                      <w:lang w:val="en-US" w:eastAsia="zh-CN"/>
                    </w:rPr>
                    <w:t>2.2</w:t>
                  </w:r>
                </w:p>
              </w:tc>
            </w:tr>
            <w:tr w14:paraId="4C23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1" w:type="pct"/>
                  <w:shd w:val="clear" w:color="auto" w:fill="auto"/>
                  <w:vAlign w:val="center"/>
                </w:tcPr>
                <w:p w14:paraId="09FCBD54">
                  <w:pPr>
                    <w:pStyle w:val="32"/>
                    <w:bidi w:val="0"/>
                    <w:rPr>
                      <w:rFonts w:hint="eastAsia" w:ascii="Times New Roman" w:hAnsi="Times New Roman" w:eastAsia="宋体" w:cs="Times New Roman"/>
                      <w:b w:val="0"/>
                      <w:color w:val="auto"/>
                      <w:kern w:val="2"/>
                      <w:szCs w:val="21"/>
                      <w:lang w:val="en-US" w:eastAsia="zh-CN" w:bidi="ar-SA"/>
                    </w:rPr>
                  </w:pPr>
                  <w:r>
                    <w:rPr>
                      <w:rFonts w:hint="eastAsia"/>
                      <w:lang w:val="en-US" w:eastAsia="zh-CN"/>
                    </w:rPr>
                    <w:t>3</w:t>
                  </w:r>
                </w:p>
              </w:tc>
              <w:tc>
                <w:tcPr>
                  <w:tcW w:w="543" w:type="pct"/>
                  <w:vMerge w:val="continue"/>
                  <w:vAlign w:val="center"/>
                </w:tcPr>
                <w:p w14:paraId="419752B1">
                  <w:pPr>
                    <w:keepNext w:val="0"/>
                    <w:keepLines w:val="0"/>
                    <w:pageBreakBefore w:val="0"/>
                    <w:widowControl w:val="0"/>
                    <w:kinsoku/>
                    <w:wordWrap w:val="0"/>
                    <w:overflowPunct/>
                    <w:topLinePunct w:val="0"/>
                    <w:autoSpaceDE/>
                    <w:autoSpaceDN/>
                    <w:bidi w:val="0"/>
                    <w:jc w:val="center"/>
                    <w:textAlignment w:val="auto"/>
                    <w:rPr>
                      <w:color w:val="auto"/>
                    </w:rPr>
                  </w:pPr>
                </w:p>
              </w:tc>
              <w:tc>
                <w:tcPr>
                  <w:tcW w:w="469" w:type="pct"/>
                  <w:shd w:val="clear" w:color="auto" w:fill="auto"/>
                  <w:vAlign w:val="center"/>
                </w:tcPr>
                <w:p w14:paraId="3C2441E8">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污泥和栅渣</w:t>
                  </w:r>
                </w:p>
              </w:tc>
              <w:tc>
                <w:tcPr>
                  <w:tcW w:w="645" w:type="pct"/>
                  <w:shd w:val="clear" w:color="auto" w:fill="auto"/>
                  <w:vAlign w:val="center"/>
                </w:tcPr>
                <w:p w14:paraId="270DBED7">
                  <w:pPr>
                    <w:pStyle w:val="32"/>
                    <w:bidi w:val="0"/>
                    <w:rPr>
                      <w:rFonts w:hint="default"/>
                      <w:lang w:val="en-US" w:eastAsia="zh-CN"/>
                    </w:rPr>
                  </w:pPr>
                  <w:r>
                    <w:rPr>
                      <w:rFonts w:hint="eastAsia"/>
                      <w:lang w:val="en-US" w:eastAsia="zh-CN"/>
                    </w:rPr>
                    <w:t>HW01</w:t>
                  </w:r>
                </w:p>
                <w:p w14:paraId="2CA31881">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841-001-01</w:t>
                  </w:r>
                </w:p>
              </w:tc>
              <w:tc>
                <w:tcPr>
                  <w:tcW w:w="345" w:type="pct"/>
                  <w:vMerge w:val="continue"/>
                  <w:vAlign w:val="center"/>
                </w:tcPr>
                <w:p w14:paraId="50504F02">
                  <w:pPr>
                    <w:keepNext w:val="0"/>
                    <w:keepLines w:val="0"/>
                    <w:pageBreakBefore w:val="0"/>
                    <w:widowControl w:val="0"/>
                    <w:kinsoku/>
                    <w:wordWrap w:val="0"/>
                    <w:overflowPunct/>
                    <w:topLinePunct w:val="0"/>
                    <w:autoSpaceDE/>
                    <w:autoSpaceDN/>
                    <w:bidi w:val="0"/>
                    <w:jc w:val="center"/>
                    <w:textAlignment w:val="auto"/>
                    <w:rPr>
                      <w:color w:val="auto"/>
                    </w:rPr>
                  </w:pPr>
                </w:p>
              </w:tc>
              <w:tc>
                <w:tcPr>
                  <w:tcW w:w="446" w:type="pct"/>
                  <w:vMerge w:val="continue"/>
                  <w:vAlign w:val="center"/>
                </w:tcPr>
                <w:p w14:paraId="54B50FF3">
                  <w:pPr>
                    <w:pStyle w:val="32"/>
                    <w:bidi w:val="0"/>
                    <w:rPr>
                      <w:rFonts w:hint="default" w:eastAsia="宋体"/>
                      <w:color w:val="auto"/>
                      <w:lang w:val="en-US" w:eastAsia="zh-CN"/>
                    </w:rPr>
                  </w:pPr>
                </w:p>
              </w:tc>
              <w:tc>
                <w:tcPr>
                  <w:tcW w:w="446" w:type="pct"/>
                  <w:vMerge w:val="continue"/>
                  <w:vAlign w:val="center"/>
                </w:tcPr>
                <w:p w14:paraId="2ABDCAD0">
                  <w:pPr>
                    <w:pStyle w:val="32"/>
                    <w:bidi w:val="0"/>
                    <w:rPr>
                      <w:color w:val="auto"/>
                    </w:rPr>
                  </w:pPr>
                </w:p>
              </w:tc>
              <w:tc>
                <w:tcPr>
                  <w:tcW w:w="446" w:type="pct"/>
                  <w:vAlign w:val="center"/>
                </w:tcPr>
                <w:p w14:paraId="338B0DFC">
                  <w:pPr>
                    <w:pStyle w:val="32"/>
                    <w:bidi w:val="0"/>
                    <w:rPr>
                      <w:rFonts w:hint="default" w:eastAsia="宋体"/>
                      <w:color w:val="auto"/>
                      <w:lang w:val="en-US" w:eastAsia="zh-CN"/>
                    </w:rPr>
                  </w:pPr>
                  <w:r>
                    <w:rPr>
                      <w:rFonts w:hint="eastAsia"/>
                      <w:lang w:val="en-US" w:eastAsia="zh-CN"/>
                    </w:rPr>
                    <w:t>1.9945</w:t>
                  </w:r>
                </w:p>
              </w:tc>
              <w:tc>
                <w:tcPr>
                  <w:tcW w:w="450" w:type="pct"/>
                  <w:vAlign w:val="center"/>
                </w:tcPr>
                <w:p w14:paraId="5E86FEC5">
                  <w:pPr>
                    <w:pStyle w:val="32"/>
                    <w:bidi w:val="0"/>
                    <w:rPr>
                      <w:rFonts w:hint="default" w:eastAsia="宋体"/>
                      <w:color w:val="auto"/>
                      <w:lang w:val="en-US" w:eastAsia="zh-CN"/>
                    </w:rPr>
                  </w:pPr>
                  <w:r>
                    <w:rPr>
                      <w:rFonts w:hint="eastAsia"/>
                      <w:lang w:val="en-US" w:eastAsia="zh-CN"/>
                    </w:rPr>
                    <w:t>9</w:t>
                  </w:r>
                </w:p>
              </w:tc>
              <w:tc>
                <w:tcPr>
                  <w:tcW w:w="487" w:type="pct"/>
                  <w:vAlign w:val="center"/>
                </w:tcPr>
                <w:p w14:paraId="18F4C6A5">
                  <w:pPr>
                    <w:pStyle w:val="32"/>
                    <w:bidi w:val="0"/>
                    <w:rPr>
                      <w:rFonts w:hint="default" w:eastAsia="宋体"/>
                      <w:color w:val="auto"/>
                      <w:lang w:val="en-US" w:eastAsia="zh-CN"/>
                    </w:rPr>
                  </w:pPr>
                  <w:r>
                    <w:rPr>
                      <w:rFonts w:hint="eastAsia"/>
                      <w:lang w:val="en-US" w:eastAsia="zh-CN"/>
                    </w:rPr>
                    <w:t>30d</w:t>
                  </w:r>
                </w:p>
              </w:tc>
              <w:tc>
                <w:tcPr>
                  <w:tcW w:w="456" w:type="pct"/>
                  <w:vAlign w:val="center"/>
                </w:tcPr>
                <w:p w14:paraId="073F8192">
                  <w:pPr>
                    <w:pStyle w:val="32"/>
                    <w:bidi w:val="0"/>
                    <w:rPr>
                      <w:rFonts w:hint="default" w:eastAsia="宋体"/>
                      <w:color w:val="auto"/>
                      <w:lang w:val="en-US" w:eastAsia="zh-CN"/>
                    </w:rPr>
                  </w:pPr>
                  <w:r>
                    <w:rPr>
                      <w:rFonts w:hint="eastAsia"/>
                      <w:color w:val="auto"/>
                      <w:lang w:val="en-US" w:eastAsia="zh-CN"/>
                    </w:rPr>
                    <w:t>3.96</w:t>
                  </w:r>
                </w:p>
              </w:tc>
            </w:tr>
            <w:tr w14:paraId="69BC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43" w:type="pct"/>
                  <w:gridSpan w:val="10"/>
                  <w:vAlign w:val="center"/>
                </w:tcPr>
                <w:p w14:paraId="2D6E82EB">
                  <w:pPr>
                    <w:pStyle w:val="32"/>
                    <w:bidi w:val="0"/>
                    <w:rPr>
                      <w:rFonts w:hint="default"/>
                      <w:color w:val="auto"/>
                      <w:lang w:val="en-US" w:eastAsia="zh-CN"/>
                    </w:rPr>
                  </w:pPr>
                  <w:r>
                    <w:rPr>
                      <w:rFonts w:hint="eastAsia"/>
                      <w:lang w:val="en-US" w:eastAsia="zh-CN"/>
                    </w:rPr>
                    <w:t>合计</w:t>
                  </w:r>
                </w:p>
              </w:tc>
              <w:tc>
                <w:tcPr>
                  <w:tcW w:w="456" w:type="pct"/>
                  <w:vAlign w:val="center"/>
                </w:tcPr>
                <w:p w14:paraId="18499900">
                  <w:pPr>
                    <w:pStyle w:val="32"/>
                    <w:bidi w:val="0"/>
                    <w:rPr>
                      <w:rFonts w:hint="default"/>
                      <w:color w:val="auto"/>
                      <w:lang w:val="en-US" w:eastAsia="zh-CN"/>
                    </w:rPr>
                  </w:pPr>
                  <w:r>
                    <w:rPr>
                      <w:rFonts w:hint="eastAsia"/>
                      <w:lang w:val="en-US" w:eastAsia="zh-CN"/>
                    </w:rPr>
                    <w:t>6.16</w:t>
                  </w:r>
                </w:p>
              </w:tc>
            </w:tr>
            <w:tr w14:paraId="4B4C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1"/>
                  <w:vAlign w:val="center"/>
                </w:tcPr>
                <w:p w14:paraId="0C0026DA">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textAlignment w:val="auto"/>
                    <w:rPr>
                      <w:rFonts w:hint="eastAsia"/>
                      <w:b/>
                      <w:bCs/>
                      <w:sz w:val="18"/>
                      <w:szCs w:val="18"/>
                      <w:lang w:val="en-US" w:eastAsia="zh-CN"/>
                    </w:rPr>
                  </w:pPr>
                  <w:r>
                    <w:rPr>
                      <w:rFonts w:hint="eastAsia"/>
                      <w:b/>
                      <w:bCs/>
                      <w:sz w:val="18"/>
                      <w:szCs w:val="18"/>
                      <w:lang w:val="en-US" w:eastAsia="zh-CN"/>
                    </w:rPr>
                    <w:t>备注：①240L包装桶，738mm×595mm×1100mm，占地面积0.44㎡）；</w:t>
                  </w:r>
                </w:p>
                <w:p w14:paraId="0FCE68C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textAlignment w:val="auto"/>
                    <w:rPr>
                      <w:rFonts w:hint="default"/>
                      <w:b/>
                      <w:bCs/>
                      <w:sz w:val="18"/>
                      <w:szCs w:val="18"/>
                      <w:lang w:val="en-US" w:eastAsia="zh-CN"/>
                    </w:rPr>
                  </w:pPr>
                  <w:r>
                    <w:rPr>
                      <w:rFonts w:hint="eastAsia"/>
                      <w:b/>
                      <w:bCs/>
                      <w:sz w:val="18"/>
                      <w:szCs w:val="18"/>
                      <w:lang w:val="en-US" w:eastAsia="zh-CN"/>
                    </w:rPr>
                    <w:t>②根据医疗废物的类别，将医疗废物分置于符合《医疗废物专用包装物、容器的标准和警示标识的规定》的包装物或者容器内。</w:t>
                  </w:r>
                </w:p>
              </w:tc>
            </w:tr>
          </w:tbl>
          <w:p w14:paraId="37B8FF8F">
            <w:pPr>
              <w:bidi w:val="0"/>
              <w:rPr>
                <w:rFonts w:hint="eastAsia"/>
                <w:color w:val="auto"/>
              </w:rPr>
            </w:pPr>
            <w:r>
              <w:rPr>
                <w:rFonts w:hint="eastAsia"/>
                <w:color w:val="auto"/>
              </w:rPr>
              <w:t>综上企业</w:t>
            </w:r>
            <w:r>
              <w:rPr>
                <w:rFonts w:hint="eastAsia"/>
                <w:color w:val="auto"/>
                <w:lang w:val="en-US" w:eastAsia="zh-CN"/>
              </w:rPr>
              <w:t>医废</w:t>
            </w:r>
            <w:r>
              <w:rPr>
                <w:rFonts w:hint="eastAsia"/>
                <w:color w:val="auto"/>
              </w:rPr>
              <w:t>最大占地面积为</w:t>
            </w:r>
            <w:r>
              <w:rPr>
                <w:rFonts w:hint="eastAsia"/>
                <w:color w:val="auto"/>
                <w:lang w:val="en-US" w:eastAsia="zh-CN"/>
              </w:rPr>
              <w:t>6.16</w:t>
            </w:r>
            <w:r>
              <w:rPr>
                <w:rFonts w:hint="eastAsia"/>
                <w:color w:val="auto"/>
              </w:rPr>
              <w:t>㎡＜</w:t>
            </w:r>
            <w:r>
              <w:rPr>
                <w:rFonts w:hint="eastAsia"/>
                <w:color w:val="auto"/>
                <w:highlight w:val="none"/>
                <w:lang w:val="en-US" w:eastAsia="zh-CN"/>
              </w:rPr>
              <w:t>15</w:t>
            </w:r>
            <w:r>
              <w:rPr>
                <w:rFonts w:hint="eastAsia"/>
                <w:color w:val="auto"/>
                <w:highlight w:val="none"/>
              </w:rPr>
              <w:t>㎡</w:t>
            </w:r>
            <w:r>
              <w:rPr>
                <w:rFonts w:hint="eastAsia"/>
                <w:color w:val="auto"/>
              </w:rPr>
              <w:t>，本项目</w:t>
            </w:r>
            <w:r>
              <w:rPr>
                <w:rFonts w:hint="eastAsia"/>
                <w:color w:val="auto"/>
                <w:lang w:val="en-US" w:eastAsia="zh-CN"/>
              </w:rPr>
              <w:t>医废暂存间</w:t>
            </w:r>
            <w:r>
              <w:rPr>
                <w:rFonts w:hint="eastAsia"/>
                <w:color w:val="auto"/>
              </w:rPr>
              <w:t>容积能够满足</w:t>
            </w:r>
            <w:r>
              <w:rPr>
                <w:rFonts w:hint="eastAsia"/>
                <w:color w:val="auto"/>
                <w:lang w:val="en-US" w:eastAsia="zh-CN"/>
              </w:rPr>
              <w:t>医废</w:t>
            </w:r>
            <w:r>
              <w:rPr>
                <w:rFonts w:hint="eastAsia"/>
                <w:color w:val="auto"/>
              </w:rPr>
              <w:t>贮存的要求。</w:t>
            </w:r>
          </w:p>
          <w:p w14:paraId="35C18F24">
            <w:pPr>
              <w:ind w:firstLine="482"/>
              <w:rPr>
                <w:b/>
                <w:bCs/>
                <w:color w:val="auto"/>
              </w:rPr>
            </w:pPr>
            <w:r>
              <w:rPr>
                <w:rFonts w:hint="eastAsia"/>
                <w:b/>
                <w:bCs/>
                <w:color w:val="auto"/>
                <w:lang w:val="en-US" w:eastAsia="zh-CN"/>
              </w:rPr>
              <w:t>③医疗</w:t>
            </w:r>
            <w:r>
              <w:rPr>
                <w:b/>
                <w:bCs/>
                <w:color w:val="auto"/>
              </w:rPr>
              <w:t>废物的贮存设施满足要求</w:t>
            </w:r>
          </w:p>
          <w:p w14:paraId="5A3B3EAE">
            <w:pPr>
              <w:bidi w:val="0"/>
              <w:rPr>
                <w:rFonts w:hint="eastAsia"/>
                <w:color w:val="auto"/>
                <w:lang w:val="en-US" w:eastAsia="zh-CN"/>
              </w:rPr>
            </w:pPr>
            <w:r>
              <w:rPr>
                <w:rFonts w:hint="eastAsia"/>
                <w:color w:val="auto"/>
                <w:lang w:val="en-US" w:eastAsia="zh-CN"/>
              </w:rPr>
              <w:t>根据《医疗废物集中处置技术规范》(试行)环发</w:t>
            </w:r>
            <w:r>
              <w:t>〔20</w:t>
            </w:r>
            <w:r>
              <w:rPr>
                <w:rFonts w:hint="eastAsia"/>
                <w:lang w:val="en-US" w:eastAsia="zh-CN"/>
              </w:rPr>
              <w:t>03</w:t>
            </w:r>
            <w:r>
              <w:t>〕</w:t>
            </w:r>
            <w:r>
              <w:rPr>
                <w:rFonts w:hint="eastAsia"/>
                <w:color w:val="auto"/>
                <w:lang w:val="en-US" w:eastAsia="zh-CN"/>
              </w:rPr>
              <w:t>206号文，本项目医废暂存间需满足如下要求：</w:t>
            </w:r>
          </w:p>
          <w:p w14:paraId="5CECB70E">
            <w:pPr>
              <w:bidi w:val="0"/>
              <w:rPr>
                <w:rFonts w:hint="default"/>
                <w:lang w:val="en-US" w:eastAsia="zh-CN"/>
              </w:rPr>
            </w:pPr>
            <w:r>
              <w:rPr>
                <w:rFonts w:hint="default"/>
                <w:lang w:val="en-US" w:eastAsia="zh-CN"/>
              </w:rPr>
              <w:t>a必须与生活垃圾存放地分开，有防雨淋的装置，地基高度应确保设施内不受雨洪冲击或浸泡</w:t>
            </w:r>
            <w:r>
              <w:rPr>
                <w:rFonts w:hint="eastAsia"/>
                <w:lang w:val="en-US" w:eastAsia="zh-CN"/>
              </w:rPr>
              <w:t>；</w:t>
            </w:r>
          </w:p>
          <w:p w14:paraId="44BD2E2F">
            <w:pPr>
              <w:bidi w:val="0"/>
              <w:rPr>
                <w:rFonts w:hint="eastAsia"/>
                <w:lang w:val="en-US" w:eastAsia="zh-CN"/>
              </w:rPr>
            </w:pPr>
            <w:r>
              <w:rPr>
                <w:rFonts w:hint="default"/>
                <w:lang w:val="en-US" w:eastAsia="zh-CN"/>
              </w:rPr>
              <w:t>b必须与医疗区、食品加工区和人员活动密集区隔开，方便医疗废物的装卸、装卸人员及运送车辆的出入</w:t>
            </w:r>
            <w:r>
              <w:rPr>
                <w:rFonts w:hint="eastAsia"/>
                <w:lang w:val="en-US" w:eastAsia="zh-CN"/>
              </w:rPr>
              <w:t>；</w:t>
            </w:r>
          </w:p>
          <w:p w14:paraId="6477504C">
            <w:pPr>
              <w:bidi w:val="0"/>
              <w:rPr>
                <w:rFonts w:hint="eastAsia"/>
                <w:lang w:val="en-US" w:eastAsia="zh-CN"/>
              </w:rPr>
            </w:pPr>
            <w:r>
              <w:rPr>
                <w:rFonts w:hint="eastAsia"/>
                <w:lang w:val="en-US" w:eastAsia="zh-CN"/>
              </w:rPr>
              <w:t>c</w:t>
            </w:r>
            <w:r>
              <w:rPr>
                <w:rFonts w:hint="default"/>
                <w:lang w:val="en-US" w:eastAsia="zh-CN"/>
              </w:rPr>
              <w:t>应有严密的封闭措施，设专人管理，避免非工作人员进出，以及防鼠，防蚊蝇、防蟑螂、防盗以及预防儿童接触等安全措施</w:t>
            </w:r>
            <w:r>
              <w:rPr>
                <w:rFonts w:hint="eastAsia"/>
                <w:lang w:val="en-US" w:eastAsia="zh-CN"/>
              </w:rPr>
              <w:t>；</w:t>
            </w:r>
          </w:p>
          <w:p w14:paraId="06D1B2E9">
            <w:pPr>
              <w:bidi w:val="0"/>
              <w:rPr>
                <w:rFonts w:hint="default"/>
                <w:lang w:val="en-US" w:eastAsia="zh-CN"/>
              </w:rPr>
            </w:pPr>
            <w:r>
              <w:rPr>
                <w:rFonts w:hint="default"/>
                <w:lang w:val="en-US" w:eastAsia="zh-CN"/>
              </w:rPr>
              <w:t>d地面和1.0米高的墙裙须进行防渗处理，地面有良好的排水性能，易于</w:t>
            </w:r>
            <w:r>
              <w:rPr>
                <w:rFonts w:hint="eastAsia"/>
                <w:lang w:val="en-US" w:eastAsia="zh-CN"/>
              </w:rPr>
              <w:t>清洁</w:t>
            </w:r>
            <w:r>
              <w:rPr>
                <w:rFonts w:hint="default"/>
                <w:lang w:val="en-US" w:eastAsia="zh-CN"/>
              </w:rPr>
              <w:t>和消毒，产生的废水应采用管道直接排入医疗卫生机构内的医疗废水消毒、处理系统，禁止将产生的废水直接排入外环境</w:t>
            </w:r>
            <w:r>
              <w:rPr>
                <w:rFonts w:hint="eastAsia"/>
                <w:lang w:val="en-US" w:eastAsia="zh-CN"/>
              </w:rPr>
              <w:t>；</w:t>
            </w:r>
          </w:p>
          <w:p w14:paraId="28187B33">
            <w:pPr>
              <w:bidi w:val="0"/>
              <w:rPr>
                <w:rFonts w:hint="eastAsia"/>
                <w:lang w:val="en-US" w:eastAsia="zh-CN"/>
              </w:rPr>
            </w:pPr>
            <w:r>
              <w:rPr>
                <w:rFonts w:hint="default"/>
                <w:lang w:val="en-US" w:eastAsia="zh-CN"/>
              </w:rPr>
              <w:t>e库房外宜设有供水龙头，以供暂时贮存库房的清洗用</w:t>
            </w:r>
            <w:r>
              <w:rPr>
                <w:rFonts w:hint="eastAsia"/>
                <w:lang w:val="en-US" w:eastAsia="zh-CN"/>
              </w:rPr>
              <w:t>；</w:t>
            </w:r>
          </w:p>
          <w:p w14:paraId="1941BF83">
            <w:pPr>
              <w:bidi w:val="0"/>
              <w:rPr>
                <w:rFonts w:hint="eastAsia"/>
                <w:lang w:val="en-US" w:eastAsia="zh-CN"/>
              </w:rPr>
            </w:pPr>
            <w:r>
              <w:rPr>
                <w:rFonts w:hint="default"/>
                <w:lang w:val="en-US" w:eastAsia="zh-CN"/>
              </w:rPr>
              <w:t>f避免阳光直射库内，应有良好的照明设备和通风条件</w:t>
            </w:r>
            <w:r>
              <w:rPr>
                <w:rFonts w:hint="eastAsia"/>
                <w:lang w:val="en-US" w:eastAsia="zh-CN"/>
              </w:rPr>
              <w:t>；</w:t>
            </w:r>
          </w:p>
          <w:p w14:paraId="58C64710">
            <w:pPr>
              <w:bidi w:val="0"/>
              <w:rPr>
                <w:rFonts w:hint="eastAsia"/>
                <w:lang w:val="en-US" w:eastAsia="zh-CN"/>
              </w:rPr>
            </w:pPr>
            <w:r>
              <w:rPr>
                <w:rFonts w:hint="default"/>
                <w:lang w:val="en-US" w:eastAsia="zh-CN"/>
              </w:rPr>
              <w:t>g库房内应张贴“禁止吸烟、饮食”的警示标识</w:t>
            </w:r>
            <w:r>
              <w:rPr>
                <w:rFonts w:hint="eastAsia"/>
                <w:lang w:val="en-US" w:eastAsia="zh-CN"/>
              </w:rPr>
              <w:t>；</w:t>
            </w:r>
          </w:p>
          <w:p w14:paraId="4F79FC2A">
            <w:pPr>
              <w:bidi w:val="0"/>
              <w:rPr>
                <w:rFonts w:hint="default"/>
                <w:lang w:val="en-US" w:eastAsia="zh-CN"/>
              </w:rPr>
            </w:pPr>
            <w:r>
              <w:rPr>
                <w:rFonts w:hint="default"/>
                <w:lang w:val="en-US" w:eastAsia="zh-CN"/>
              </w:rPr>
              <w:t>h应按 GB15562.2和卫生、环保部门制定的专用医疗废物整示标识要</w:t>
            </w:r>
            <w:r>
              <w:rPr>
                <w:rFonts w:hint="eastAsia"/>
                <w:lang w:val="en-US" w:eastAsia="zh-CN"/>
              </w:rPr>
              <w:t>求，</w:t>
            </w:r>
            <w:r>
              <w:rPr>
                <w:rFonts w:hint="default"/>
                <w:lang w:val="en-US" w:eastAsia="zh-CN"/>
              </w:rPr>
              <w:t>在库房外的明显处同时设置危险废物和医疗废物的警示标识。</w:t>
            </w:r>
          </w:p>
          <w:p w14:paraId="2617DC95">
            <w:pPr>
              <w:bidi w:val="0"/>
              <w:rPr>
                <w:rFonts w:hint="eastAsia"/>
                <w:b/>
                <w:bCs/>
                <w:lang w:val="en-US" w:eastAsia="zh-CN"/>
              </w:rPr>
            </w:pPr>
            <w:r>
              <w:rPr>
                <w:rFonts w:hint="eastAsia"/>
                <w:b/>
                <w:bCs/>
                <w:lang w:val="en-US" w:eastAsia="zh-CN"/>
              </w:rPr>
              <w:t>④医疗废物收集采取的措施</w:t>
            </w:r>
          </w:p>
          <w:p w14:paraId="3B85C158">
            <w:pPr>
              <w:bidi w:val="0"/>
              <w:rPr>
                <w:rFonts w:hint="default"/>
                <w:lang w:val="en-US" w:eastAsia="zh-CN"/>
              </w:rPr>
            </w:pPr>
            <w:r>
              <w:rPr>
                <w:rFonts w:hint="eastAsia"/>
                <w:lang w:val="en-US" w:eastAsia="zh-CN"/>
              </w:rPr>
              <w:t>a</w:t>
            </w:r>
            <w:r>
              <w:rPr>
                <w:rFonts w:hint="default"/>
                <w:lang w:val="en-US" w:eastAsia="zh-CN"/>
              </w:rPr>
              <w:t>根据医疗废物的类别，将医疗废物分置于符合《医疗废物专用包装物、容器的标准和整示标识的规定》的包装物或者容器内</w:t>
            </w:r>
            <w:r>
              <w:rPr>
                <w:rFonts w:hint="eastAsia"/>
                <w:lang w:val="en-US" w:eastAsia="zh-CN"/>
              </w:rPr>
              <w:t>；</w:t>
            </w:r>
          </w:p>
          <w:p w14:paraId="6F598860">
            <w:pPr>
              <w:bidi w:val="0"/>
              <w:rPr>
                <w:rFonts w:hint="default"/>
                <w:lang w:val="en-US" w:eastAsia="zh-CN"/>
              </w:rPr>
            </w:pPr>
            <w:r>
              <w:rPr>
                <w:rFonts w:hint="default"/>
                <w:lang w:val="en-US" w:eastAsia="zh-CN"/>
              </w:rPr>
              <w:t>b、在盛装医疗废物前，应当对医疗废物包装物或者容器进行认真检查确保无破损、渗漏和其他缺陷</w:t>
            </w:r>
            <w:r>
              <w:rPr>
                <w:rFonts w:hint="eastAsia"/>
                <w:lang w:val="en-US" w:eastAsia="zh-CN"/>
              </w:rPr>
              <w:t>；</w:t>
            </w:r>
          </w:p>
          <w:p w14:paraId="3C6198AB">
            <w:pPr>
              <w:bidi w:val="0"/>
              <w:rPr>
                <w:rFonts w:hint="default"/>
                <w:lang w:val="en-US" w:eastAsia="zh-CN"/>
              </w:rPr>
            </w:pPr>
            <w:r>
              <w:rPr>
                <w:rFonts w:hint="default"/>
                <w:lang w:val="en-US" w:eastAsia="zh-CN"/>
              </w:rPr>
              <w:t>c、感染性废物、病理性废物、损伤性废物、药物性废物及化学性废物不能混合收集。少量的药物性废物可以混入感染性废物，但应当在标签上注明</w:t>
            </w:r>
            <w:r>
              <w:rPr>
                <w:rFonts w:hint="eastAsia"/>
                <w:lang w:val="en-US" w:eastAsia="zh-CN"/>
              </w:rPr>
              <w:t>；</w:t>
            </w:r>
          </w:p>
          <w:p w14:paraId="277F7AB7">
            <w:pPr>
              <w:bidi w:val="0"/>
              <w:rPr>
                <w:rFonts w:hint="default"/>
                <w:lang w:val="en-US" w:eastAsia="zh-CN"/>
              </w:rPr>
            </w:pPr>
            <w:r>
              <w:rPr>
                <w:rFonts w:hint="default"/>
                <w:lang w:val="en-US" w:eastAsia="zh-CN"/>
              </w:rPr>
              <w:t>d、废弃的麻醉、精神、放射性、毒性等药品及其相关的废物的管理</w:t>
            </w:r>
            <w:r>
              <w:rPr>
                <w:rFonts w:hint="eastAsia"/>
                <w:lang w:val="en-US" w:eastAsia="zh-CN"/>
              </w:rPr>
              <w:t>，</w:t>
            </w:r>
            <w:r>
              <w:rPr>
                <w:rFonts w:hint="default"/>
                <w:lang w:val="en-US" w:eastAsia="zh-CN"/>
              </w:rPr>
              <w:t>依照有关法律、行政法规和国家有关规定、标准执行</w:t>
            </w:r>
            <w:r>
              <w:rPr>
                <w:rFonts w:hint="eastAsia"/>
                <w:lang w:val="en-US" w:eastAsia="zh-CN"/>
              </w:rPr>
              <w:t>；</w:t>
            </w:r>
          </w:p>
          <w:p w14:paraId="250A032D">
            <w:pPr>
              <w:bidi w:val="0"/>
              <w:rPr>
                <w:rFonts w:hint="eastAsia"/>
                <w:lang w:val="en-US" w:eastAsia="zh-CN"/>
              </w:rPr>
            </w:pPr>
            <w:r>
              <w:rPr>
                <w:rFonts w:hint="default"/>
                <w:lang w:val="en-US" w:eastAsia="zh-CN"/>
              </w:rPr>
              <w:t>e、化学性废物中批量的废化学试剂、废消毒剂应当交由专门机构处置</w:t>
            </w:r>
            <w:r>
              <w:rPr>
                <w:rFonts w:hint="eastAsia"/>
                <w:lang w:val="en-US" w:eastAsia="zh-CN"/>
              </w:rPr>
              <w:t>；</w:t>
            </w:r>
          </w:p>
          <w:p w14:paraId="2FB5C76B">
            <w:pPr>
              <w:bidi w:val="0"/>
              <w:rPr>
                <w:rFonts w:hint="default"/>
                <w:lang w:val="en-US" w:eastAsia="zh-CN"/>
              </w:rPr>
            </w:pPr>
            <w:r>
              <w:rPr>
                <w:rFonts w:hint="default"/>
                <w:lang w:val="en-US" w:eastAsia="zh-CN"/>
              </w:rPr>
              <w:t>f、批量的含有汞的体温计、血压计等医疗器</w:t>
            </w:r>
            <w:r>
              <w:rPr>
                <w:rFonts w:hint="eastAsia"/>
                <w:lang w:val="en-US" w:eastAsia="zh-CN"/>
              </w:rPr>
              <w:t>具</w:t>
            </w:r>
            <w:r>
              <w:rPr>
                <w:rFonts w:hint="default"/>
                <w:lang w:val="en-US" w:eastAsia="zh-CN"/>
              </w:rPr>
              <w:t>报废时，应当交由专门机构处置</w:t>
            </w:r>
            <w:r>
              <w:rPr>
                <w:rFonts w:hint="eastAsia"/>
                <w:lang w:val="en-US" w:eastAsia="zh-CN"/>
              </w:rPr>
              <w:t>；</w:t>
            </w:r>
          </w:p>
          <w:p w14:paraId="76C7A3E3">
            <w:pPr>
              <w:bidi w:val="0"/>
              <w:rPr>
                <w:rFonts w:hint="default"/>
                <w:lang w:val="en-US" w:eastAsia="zh-CN"/>
              </w:rPr>
            </w:pPr>
            <w:r>
              <w:rPr>
                <w:rFonts w:hint="default"/>
                <w:lang w:val="en-US" w:eastAsia="zh-CN"/>
              </w:rPr>
              <w:t>g、医疗废物中病原体的培养基、标本和菌种、毒种保存液等高危险废物，应当首先在产生地点进行压力蒸汽灭菌或者化学消毒处理，然后按感染性废物收集处理</w:t>
            </w:r>
            <w:r>
              <w:rPr>
                <w:rFonts w:hint="eastAsia"/>
                <w:lang w:val="en-US" w:eastAsia="zh-CN"/>
              </w:rPr>
              <w:t>；</w:t>
            </w:r>
          </w:p>
          <w:p w14:paraId="6DEAEE06">
            <w:pPr>
              <w:bidi w:val="0"/>
              <w:rPr>
                <w:rFonts w:hint="default"/>
                <w:lang w:val="en-US" w:eastAsia="zh-CN"/>
              </w:rPr>
            </w:pPr>
            <w:r>
              <w:rPr>
                <w:rFonts w:hint="default"/>
                <w:lang w:val="en-US" w:eastAsia="zh-CN"/>
              </w:rPr>
              <w:t>h、放入包装物或者容器内的感染性废物、病理性废物、损伤性废物不得取出。</w:t>
            </w:r>
          </w:p>
          <w:p w14:paraId="657C72C6">
            <w:pPr>
              <w:bidi w:val="0"/>
              <w:rPr>
                <w:rFonts w:hint="default"/>
                <w:b/>
                <w:bCs/>
                <w:lang w:val="en-US" w:eastAsia="zh-CN"/>
              </w:rPr>
            </w:pPr>
            <w:r>
              <w:rPr>
                <w:rFonts w:hint="eastAsia"/>
                <w:b/>
                <w:bCs/>
                <w:lang w:val="en-US" w:eastAsia="zh-CN"/>
              </w:rPr>
              <w:t>⑤</w:t>
            </w:r>
            <w:r>
              <w:rPr>
                <w:rFonts w:hint="default"/>
                <w:b/>
                <w:bCs/>
                <w:lang w:val="en-US" w:eastAsia="zh-CN"/>
              </w:rPr>
              <w:t>医疗废物运输相关要求</w:t>
            </w:r>
          </w:p>
          <w:p w14:paraId="63D3F3D1">
            <w:pPr>
              <w:bidi w:val="0"/>
              <w:rPr>
                <w:rFonts w:hint="default"/>
                <w:lang w:val="en-US" w:eastAsia="zh-CN"/>
              </w:rPr>
            </w:pPr>
            <w:r>
              <w:rPr>
                <w:rFonts w:hint="default"/>
                <w:lang w:val="en-US" w:eastAsia="zh-CN"/>
              </w:rPr>
              <w:t>a医疗废物运输工具选择符合《医疗废物转运车技术要求》(GB19217-2003)的专用医疗废物运输车</w:t>
            </w:r>
            <w:r>
              <w:rPr>
                <w:rFonts w:hint="eastAsia"/>
                <w:lang w:val="en-US" w:eastAsia="zh-CN"/>
              </w:rPr>
              <w:t>；</w:t>
            </w:r>
          </w:p>
          <w:p w14:paraId="53C89A40">
            <w:pPr>
              <w:bidi w:val="0"/>
              <w:rPr>
                <w:rFonts w:hint="eastAsia"/>
                <w:lang w:val="en-US" w:eastAsia="zh-CN"/>
              </w:rPr>
            </w:pPr>
            <w:r>
              <w:rPr>
                <w:rFonts w:hint="default"/>
                <w:lang w:val="en-US" w:eastAsia="zh-CN"/>
              </w:rPr>
              <w:t>b在载运的过程中，采取专车转运方式，禁止将医疗废物与旅客或是其他类型货物、垃圾在同一车上载运</w:t>
            </w:r>
            <w:r>
              <w:rPr>
                <w:rFonts w:hint="eastAsia"/>
                <w:lang w:val="en-US" w:eastAsia="zh-CN"/>
              </w:rPr>
              <w:t>；</w:t>
            </w:r>
          </w:p>
          <w:p w14:paraId="57D89E15">
            <w:pPr>
              <w:bidi w:val="0"/>
              <w:rPr>
                <w:rFonts w:hint="default"/>
                <w:lang w:val="en-US" w:eastAsia="zh-CN"/>
              </w:rPr>
            </w:pPr>
            <w:r>
              <w:rPr>
                <w:rFonts w:hint="default"/>
                <w:lang w:val="en-US" w:eastAsia="zh-CN"/>
              </w:rPr>
              <w:t>c运输车上配置有橡胶手套、工作手套、口罩、消毒水、紧急应变手册等工具。</w:t>
            </w:r>
          </w:p>
          <w:p w14:paraId="1B9C6229">
            <w:pPr>
              <w:bidi w:val="0"/>
              <w:rPr>
                <w:rFonts w:hint="default"/>
                <w:b/>
                <w:bCs/>
                <w:lang w:val="en-US" w:eastAsia="zh-CN"/>
              </w:rPr>
            </w:pPr>
            <w:r>
              <w:rPr>
                <w:rFonts w:hint="eastAsia"/>
                <w:b/>
                <w:bCs/>
                <w:lang w:val="en-US" w:eastAsia="zh-CN"/>
              </w:rPr>
              <w:t>⑥</w:t>
            </w:r>
            <w:r>
              <w:rPr>
                <w:rFonts w:hint="default"/>
                <w:b/>
                <w:bCs/>
                <w:lang w:val="en-US" w:eastAsia="zh-CN"/>
              </w:rPr>
              <w:t>医疗废物交接</w:t>
            </w:r>
          </w:p>
          <w:p w14:paraId="0C7EE4E7">
            <w:pPr>
              <w:bidi w:val="0"/>
              <w:rPr>
                <w:rFonts w:hint="default"/>
                <w:lang w:val="en-US" w:eastAsia="zh-CN"/>
              </w:rPr>
            </w:pPr>
            <w:r>
              <w:rPr>
                <w:rFonts w:hint="default"/>
                <w:lang w:val="en-US" w:eastAsia="zh-CN"/>
              </w:rPr>
              <w:t>医疗废物在地面转运点交接给专业公司，医疗废物转交出去后，应对转运点及时进行清洁和消毒处理。交予处置的医疗废物采用危险废物转移联单管理。《危险废物转移联单》(医疗废物专用)一式两份，每月一张，由处置单位医疗废物运输人员和医疗废物管理人员交接时填写，医院和处置单位分别保存，保存时间为5年</w:t>
            </w:r>
            <w:r>
              <w:rPr>
                <w:rFonts w:hint="eastAsia"/>
                <w:lang w:val="en-US" w:eastAsia="zh-CN"/>
              </w:rPr>
              <w:t>。</w:t>
            </w:r>
            <w:r>
              <w:rPr>
                <w:rFonts w:hint="default"/>
                <w:lang w:val="en-US" w:eastAsia="zh-CN"/>
              </w:rPr>
              <w:t>每车每次运送的医疗废物采用《医疗废物运送登记卡》管理，一车一卡，由医疗卫生机构医疗废物管理人员交接时填写并签字。</w:t>
            </w:r>
          </w:p>
          <w:p w14:paraId="010AAFCF">
            <w:pPr>
              <w:bidi w:val="0"/>
              <w:rPr>
                <w:rFonts w:hint="eastAsia"/>
                <w:b/>
                <w:bCs/>
                <w:lang w:val="en-US" w:eastAsia="zh-CN"/>
              </w:rPr>
            </w:pPr>
            <w:r>
              <w:rPr>
                <w:rFonts w:hint="eastAsia"/>
                <w:b/>
                <w:bCs/>
                <w:lang w:val="en-US" w:eastAsia="zh-CN"/>
              </w:rPr>
              <w:t>⑦污泥的处理</w:t>
            </w:r>
          </w:p>
          <w:p w14:paraId="18F2A283">
            <w:pPr>
              <w:bidi w:val="0"/>
              <w:rPr>
                <w:rFonts w:hint="default"/>
                <w:lang w:val="en-US" w:eastAsia="zh-CN"/>
              </w:rPr>
            </w:pPr>
            <w:r>
              <w:rPr>
                <w:rFonts w:hint="default"/>
                <w:lang w:val="en-US" w:eastAsia="zh-CN"/>
              </w:rPr>
              <w:t>本项且污泥主要来自污水处理设施的格栅、</w:t>
            </w:r>
            <w:r>
              <w:rPr>
                <w:rFonts w:hint="eastAsia"/>
                <w:lang w:val="en-US" w:eastAsia="zh-CN"/>
              </w:rPr>
              <w:t>调节池、二沉池</w:t>
            </w:r>
            <w:r>
              <w:rPr>
                <w:rFonts w:hint="default"/>
                <w:lang w:val="en-US" w:eastAsia="zh-CN"/>
              </w:rPr>
              <w:t>等，污泥中含有大量病原微生物和寄生虫卵等，具有传染性。从环境保护的角度讲，必须对此类污泥加以注意，在排放外环境之前需经过无害化处理。</w:t>
            </w:r>
          </w:p>
          <w:p w14:paraId="5C79B47A">
            <w:pPr>
              <w:bidi w:val="0"/>
              <w:rPr>
                <w:rFonts w:hint="default"/>
                <w:lang w:val="en-US" w:eastAsia="zh-CN"/>
              </w:rPr>
            </w:pPr>
            <w:r>
              <w:rPr>
                <w:rFonts w:hint="eastAsia"/>
                <w:lang w:val="en-US" w:eastAsia="zh-CN"/>
              </w:rPr>
              <w:t>a</w:t>
            </w:r>
            <w:r>
              <w:rPr>
                <w:rFonts w:hint="default"/>
                <w:lang w:val="en-US" w:eastAsia="zh-CN"/>
              </w:rPr>
              <w:t>污泥消毒</w:t>
            </w:r>
          </w:p>
          <w:p w14:paraId="2DE609E0">
            <w:pPr>
              <w:bidi w:val="0"/>
              <w:rPr>
                <w:rFonts w:hint="default"/>
                <w:lang w:val="en-US" w:eastAsia="zh-CN"/>
              </w:rPr>
            </w:pPr>
            <w:r>
              <w:rPr>
                <w:rFonts w:hint="default"/>
                <w:lang w:val="en-US" w:eastAsia="zh-CN"/>
              </w:rPr>
              <w:t>污泥消毒的最主要目的是杀灭致病菌，避免二次污染，可以通过化学消毒的方式实现。</w:t>
            </w:r>
            <w:r>
              <w:rPr>
                <w:rFonts w:hint="eastAsia"/>
                <w:lang w:val="en-US" w:eastAsia="zh-CN"/>
              </w:rPr>
              <w:t>本项目采用</w:t>
            </w:r>
            <w:r>
              <w:rPr>
                <w:rFonts w:hint="default"/>
                <w:lang w:val="en-US" w:eastAsia="zh-CN"/>
              </w:rPr>
              <w:t>采用石灰消毒</w:t>
            </w:r>
            <w:r>
              <w:rPr>
                <w:rFonts w:hint="eastAsia"/>
                <w:lang w:val="en-US" w:eastAsia="zh-CN"/>
              </w:rPr>
              <w:t>，</w:t>
            </w:r>
            <w:r>
              <w:rPr>
                <w:rFonts w:hint="default"/>
                <w:lang w:val="en-US" w:eastAsia="zh-CN"/>
              </w:rPr>
              <w:t>石灰投加量为15g/L</w:t>
            </w:r>
            <w:r>
              <w:rPr>
                <w:rFonts w:hint="eastAsia"/>
                <w:lang w:val="en-US" w:eastAsia="zh-CN"/>
              </w:rPr>
              <w:t>，p</w:t>
            </w:r>
            <w:r>
              <w:rPr>
                <w:rFonts w:hint="default"/>
                <w:lang w:val="en-US" w:eastAsia="zh-CN"/>
              </w:rPr>
              <w:t>H值控制在11~12范围内</w:t>
            </w:r>
            <w:r>
              <w:rPr>
                <w:rFonts w:hint="eastAsia"/>
                <w:lang w:val="en-US" w:eastAsia="zh-CN"/>
              </w:rPr>
              <w:t>，</w:t>
            </w:r>
            <w:r>
              <w:rPr>
                <w:rFonts w:hint="default"/>
                <w:lang w:val="en-US" w:eastAsia="zh-CN"/>
              </w:rPr>
              <w:t>搅拌接触时间宜为30min~60min</w:t>
            </w:r>
            <w:r>
              <w:rPr>
                <w:rFonts w:hint="eastAsia"/>
                <w:lang w:val="en-US" w:eastAsia="zh-CN"/>
              </w:rPr>
              <w:t>。</w:t>
            </w:r>
          </w:p>
          <w:p w14:paraId="096E1BB0">
            <w:pPr>
              <w:bidi w:val="0"/>
              <w:rPr>
                <w:rFonts w:hint="default"/>
                <w:lang w:val="en-US" w:eastAsia="zh-CN"/>
              </w:rPr>
            </w:pPr>
            <w:r>
              <w:rPr>
                <w:rFonts w:hint="eastAsia"/>
                <w:lang w:val="en-US" w:eastAsia="zh-CN"/>
              </w:rPr>
              <w:t>b</w:t>
            </w:r>
            <w:r>
              <w:rPr>
                <w:rFonts w:hint="default"/>
                <w:lang w:val="en-US" w:eastAsia="zh-CN"/>
              </w:rPr>
              <w:t>污泥脱水</w:t>
            </w:r>
          </w:p>
          <w:p w14:paraId="5E914626">
            <w:pPr>
              <w:bidi w:val="0"/>
              <w:rPr>
                <w:rFonts w:hint="eastAsia"/>
                <w:lang w:val="en-US" w:eastAsia="zh-CN"/>
              </w:rPr>
            </w:pPr>
            <w:r>
              <w:rPr>
                <w:rFonts w:hint="eastAsia"/>
                <w:lang w:val="en-US" w:eastAsia="zh-CN"/>
              </w:rPr>
              <w:t>项目使用叠螺脱水机，脱水后污泥含水率约65%左右。</w:t>
            </w:r>
          </w:p>
          <w:p w14:paraId="26666597">
            <w:pPr>
              <w:bidi w:val="0"/>
              <w:rPr>
                <w:rFonts w:hint="eastAsia"/>
                <w:lang w:val="en-US" w:eastAsia="zh-CN"/>
              </w:rPr>
            </w:pPr>
            <w:r>
              <w:rPr>
                <w:rFonts w:hint="eastAsia"/>
                <w:lang w:val="en-US" w:eastAsia="zh-CN"/>
              </w:rPr>
              <w:t>c污泥封装、运输</w:t>
            </w:r>
          </w:p>
          <w:p w14:paraId="09467614">
            <w:pPr>
              <w:bidi w:val="0"/>
              <w:rPr>
                <w:rFonts w:hint="default"/>
                <w:lang w:val="en-US" w:eastAsia="zh-CN"/>
              </w:rPr>
            </w:pPr>
            <w:r>
              <w:rPr>
                <w:rFonts w:hint="default"/>
                <w:lang w:val="en-US" w:eastAsia="zh-CN"/>
              </w:rPr>
              <w:t>医院产生的污泥经预处理，确保污泥满足《医疗机构水污染物排放标准》(GB18466-2005)要求后</w:t>
            </w:r>
            <w:r>
              <w:rPr>
                <w:rFonts w:hint="eastAsia"/>
                <w:lang w:val="en-US" w:eastAsia="zh-CN"/>
              </w:rPr>
              <w:t>，</w:t>
            </w:r>
            <w:r>
              <w:rPr>
                <w:rFonts w:hint="default"/>
                <w:lang w:val="en-US" w:eastAsia="zh-CN"/>
              </w:rPr>
              <w:t>暂存于</w:t>
            </w:r>
            <w:r>
              <w:rPr>
                <w:rFonts w:hint="eastAsia"/>
                <w:lang w:val="en-US" w:eastAsia="zh-CN"/>
              </w:rPr>
              <w:t>医废暂存间</w:t>
            </w:r>
            <w:r>
              <w:rPr>
                <w:rFonts w:hint="default"/>
                <w:lang w:val="en-US" w:eastAsia="zh-CN"/>
              </w:rPr>
              <w:t>，定期委托有资质单位进行处理处置</w:t>
            </w:r>
            <w:r>
              <w:rPr>
                <w:rFonts w:hint="eastAsia"/>
                <w:lang w:val="en-US" w:eastAsia="zh-CN"/>
              </w:rPr>
              <w:t>。</w:t>
            </w:r>
          </w:p>
          <w:p w14:paraId="6824AE9B">
            <w:pPr>
              <w:numPr>
                <w:ilvl w:val="0"/>
                <w:numId w:val="2"/>
              </w:numPr>
              <w:bidi w:val="0"/>
              <w:rPr>
                <w:rFonts w:hint="eastAsia"/>
                <w:b/>
                <w:bCs/>
                <w:lang w:val="en-US" w:eastAsia="zh-CN"/>
              </w:rPr>
            </w:pPr>
            <w:r>
              <w:rPr>
                <w:rFonts w:hint="eastAsia"/>
                <w:b/>
                <w:bCs/>
                <w:lang w:val="en-US" w:eastAsia="zh-CN"/>
              </w:rPr>
              <w:t>危险废物</w:t>
            </w:r>
          </w:p>
          <w:p w14:paraId="08F95AB6">
            <w:pPr>
              <w:bidi w:val="0"/>
              <w:rPr>
                <w:rFonts w:hint="default"/>
                <w:b/>
                <w:bCs/>
                <w:lang w:val="en-US" w:eastAsia="zh-CN"/>
              </w:rPr>
            </w:pPr>
            <w:r>
              <w:rPr>
                <w:rFonts w:hint="eastAsia"/>
                <w:lang w:val="en-US" w:eastAsia="zh-CN"/>
              </w:rPr>
              <w:t>本项目产生的危险废物（除医疗废物外）收集后暂存于危废暂存间内，建筑面积约</w:t>
            </w:r>
            <w:r>
              <w:rPr>
                <w:rFonts w:hint="eastAsia"/>
                <w:highlight w:val="none"/>
                <w:lang w:val="en-US" w:eastAsia="zh-CN"/>
              </w:rPr>
              <w:t>5㎡</w:t>
            </w:r>
            <w:r>
              <w:rPr>
                <w:rFonts w:hint="eastAsia"/>
                <w:lang w:val="en-US" w:eastAsia="zh-CN"/>
              </w:rPr>
              <w:t>。</w:t>
            </w:r>
          </w:p>
          <w:p w14:paraId="27C90490">
            <w:pPr>
              <w:ind w:firstLine="482"/>
              <w:rPr>
                <w:b/>
                <w:bCs/>
                <w:color w:val="auto"/>
              </w:rPr>
            </w:pPr>
            <w:r>
              <w:rPr>
                <w:rFonts w:hint="eastAsia"/>
                <w:b/>
                <w:bCs/>
                <w:color w:val="auto"/>
              </w:rPr>
              <w:t>1</w:t>
            </w:r>
            <w:r>
              <w:rPr>
                <w:rFonts w:hint="eastAsia"/>
                <w:b/>
                <w:bCs/>
                <w:color w:val="auto"/>
                <w:lang w:eastAsia="zh-CN"/>
              </w:rPr>
              <w:t>）</w:t>
            </w:r>
            <w:r>
              <w:rPr>
                <w:rFonts w:hint="eastAsia"/>
                <w:b/>
                <w:bCs/>
                <w:color w:val="auto"/>
              </w:rPr>
              <w:t>选址可行性</w:t>
            </w:r>
          </w:p>
          <w:p w14:paraId="0A16ADE8">
            <w:pPr>
              <w:ind w:firstLine="480"/>
              <w:rPr>
                <w:color w:val="auto"/>
              </w:rPr>
            </w:pPr>
            <w:r>
              <w:rPr>
                <w:color w:val="auto"/>
              </w:rPr>
              <w:t>根据《危险废物贮存污染控制标准》（GB18597-20</w:t>
            </w:r>
            <w:r>
              <w:rPr>
                <w:rFonts w:hint="eastAsia"/>
                <w:color w:val="auto"/>
              </w:rPr>
              <w:t>23</w:t>
            </w:r>
            <w:r>
              <w:rPr>
                <w:color w:val="auto"/>
              </w:rPr>
              <w:t>）</w:t>
            </w:r>
            <w:r>
              <w:rPr>
                <w:rFonts w:hint="eastAsia"/>
                <w:color w:val="auto"/>
              </w:rPr>
              <w:t>相关要求</w:t>
            </w:r>
            <w:r>
              <w:rPr>
                <w:color w:val="auto"/>
              </w:rPr>
              <w:t>，本项目危险废物贮存场所选址相符性见下表。</w:t>
            </w:r>
          </w:p>
          <w:p w14:paraId="4A1E62B7">
            <w:pPr>
              <w:pStyle w:val="27"/>
              <w:bidi w:val="0"/>
              <w:rPr>
                <w:rFonts w:hint="default"/>
              </w:rPr>
            </w:pPr>
            <w:r>
              <w:t>表4-</w:t>
            </w:r>
            <w:r>
              <w:rPr>
                <w:rFonts w:hint="eastAsia"/>
                <w:lang w:val="en-US" w:eastAsia="zh-CN"/>
              </w:rPr>
              <w:t xml:space="preserve">23 </w:t>
            </w:r>
            <w:r>
              <w:t xml:space="preserve"> 危废暂存场选址符合性分析</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7"/>
              <w:gridCol w:w="2423"/>
            </w:tblGrid>
            <w:tr w14:paraId="31A2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57" w:type="dxa"/>
                  <w:noWrap/>
                  <w:vAlign w:val="center"/>
                </w:tcPr>
                <w:p w14:paraId="5F35BAAE">
                  <w:pPr>
                    <w:pStyle w:val="32"/>
                    <w:bidi w:val="0"/>
                    <w:rPr>
                      <w:b/>
                      <w:bCs/>
                      <w:color w:val="auto"/>
                    </w:rPr>
                  </w:pPr>
                  <w:r>
                    <w:rPr>
                      <w:b/>
                      <w:bCs/>
                    </w:rPr>
                    <w:t>GB18597-2023中要求</w:t>
                  </w:r>
                </w:p>
              </w:tc>
              <w:tc>
                <w:tcPr>
                  <w:tcW w:w="2352" w:type="dxa"/>
                  <w:noWrap/>
                  <w:vAlign w:val="center"/>
                </w:tcPr>
                <w:p w14:paraId="48D64730">
                  <w:pPr>
                    <w:pStyle w:val="32"/>
                    <w:bidi w:val="0"/>
                    <w:rPr>
                      <w:b/>
                      <w:bCs/>
                      <w:color w:val="auto"/>
                    </w:rPr>
                  </w:pPr>
                  <w:r>
                    <w:rPr>
                      <w:b/>
                      <w:bCs/>
                    </w:rPr>
                    <w:t>相符性分析</w:t>
                  </w:r>
                </w:p>
              </w:tc>
            </w:tr>
            <w:tr w14:paraId="47CE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57" w:type="dxa"/>
                  <w:noWrap/>
                  <w:vAlign w:val="center"/>
                </w:tcPr>
                <w:p w14:paraId="3160773E">
                  <w:pPr>
                    <w:pStyle w:val="32"/>
                    <w:bidi w:val="0"/>
                  </w:pPr>
                  <w:r>
                    <w:t>贮存设施选址应满足生态环境保护法律法规、规划和</w:t>
                  </w:r>
                  <w:r>
                    <w:rPr>
                      <w:rFonts w:hint="eastAsia"/>
                      <w:lang w:eastAsia="zh-CN"/>
                    </w:rPr>
                    <w:t>“</w:t>
                  </w:r>
                  <w:r>
                    <w:t>三线一单</w:t>
                  </w:r>
                  <w:r>
                    <w:rPr>
                      <w:rFonts w:hint="eastAsia"/>
                      <w:lang w:eastAsia="zh-CN"/>
                    </w:rPr>
                    <w:t>”</w:t>
                  </w:r>
                  <w:r>
                    <w:t>生态环境分区管控的要求，建设项目应依法进行环境影响评价。</w:t>
                  </w:r>
                </w:p>
                <w:p w14:paraId="17D2796B">
                  <w:pPr>
                    <w:pStyle w:val="32"/>
                    <w:bidi w:val="0"/>
                  </w:pPr>
                  <w:r>
                    <w:t>集中贮存设施不应选在生态保护红线区域、永久基本农田和其他需要特别保护的区域内，不应建在溶洞区或易遭受洪水、滑坡、泥石流、潮汐等严重自然灾害影响的地区。</w:t>
                  </w:r>
                </w:p>
                <w:p w14:paraId="2444D44C">
                  <w:pPr>
                    <w:pStyle w:val="32"/>
                    <w:bidi w:val="0"/>
                  </w:pPr>
                  <w:r>
                    <w:t>贮存设施不应选在江河、湖泊、运河、渠道、水库及其最高水位线以下的滩地和岸坡，以及法律法规规定禁止贮存危险废物的其他地点。</w:t>
                  </w:r>
                </w:p>
                <w:p w14:paraId="71FE8EB3">
                  <w:pPr>
                    <w:pStyle w:val="32"/>
                    <w:bidi w:val="0"/>
                    <w:rPr>
                      <w:color w:val="auto"/>
                    </w:rPr>
                  </w:pPr>
                  <w:r>
                    <w:t>贮存设施场址的位置以及其与周围环境敏感目标的距离应依据环境影响评价文件确定。</w:t>
                  </w:r>
                </w:p>
              </w:tc>
              <w:tc>
                <w:tcPr>
                  <w:tcW w:w="2352" w:type="dxa"/>
                  <w:noWrap/>
                  <w:vAlign w:val="center"/>
                </w:tcPr>
                <w:p w14:paraId="4C3B75BB">
                  <w:pPr>
                    <w:pStyle w:val="32"/>
                    <w:bidi w:val="0"/>
                    <w:rPr>
                      <w:color w:val="auto"/>
                    </w:rPr>
                  </w:pPr>
                  <w:r>
                    <w:t>本项目</w:t>
                  </w:r>
                  <w:r>
                    <w:rPr>
                      <w:rFonts w:hint="eastAsia"/>
                      <w:lang w:val="en-US" w:eastAsia="zh-CN"/>
                    </w:rPr>
                    <w:t>危废暂存间位于中心主</w:t>
                  </w:r>
                  <w:r>
                    <w:rPr>
                      <w:rFonts w:hint="eastAsia"/>
                      <w:highlight w:val="none"/>
                      <w:lang w:val="en-US" w:eastAsia="zh-CN"/>
                    </w:rPr>
                    <w:t>楼南侧</w:t>
                  </w:r>
                  <w:r>
                    <w:rPr>
                      <w:rFonts w:hint="eastAsia"/>
                      <w:highlight w:val="none"/>
                    </w:rPr>
                    <w:t>，不在生态红线区域内，</w:t>
                  </w:r>
                  <w:r>
                    <w:rPr>
                      <w:highlight w:val="none"/>
                    </w:rPr>
                    <w:t>选</w:t>
                  </w:r>
                  <w:r>
                    <w:t>址能够达到《危险废物贮存污染控制标准》（GB18597-20</w:t>
                  </w:r>
                  <w:r>
                    <w:rPr>
                      <w:rFonts w:hint="eastAsia"/>
                    </w:rPr>
                    <w:t>23</w:t>
                  </w:r>
                  <w:r>
                    <w:t>）相关要求</w:t>
                  </w:r>
                  <w:r>
                    <w:rPr>
                      <w:rFonts w:hint="eastAsia"/>
                    </w:rPr>
                    <w:t>。</w:t>
                  </w:r>
                </w:p>
              </w:tc>
            </w:tr>
          </w:tbl>
          <w:p w14:paraId="771A0AD7">
            <w:pPr>
              <w:ind w:firstLine="482"/>
              <w:rPr>
                <w:b/>
                <w:bCs/>
                <w:color w:val="auto"/>
              </w:rPr>
            </w:pPr>
            <w:r>
              <w:rPr>
                <w:rFonts w:hint="eastAsia"/>
                <w:b/>
                <w:bCs/>
                <w:color w:val="auto"/>
              </w:rPr>
              <w:t>2</w:t>
            </w:r>
            <w:r>
              <w:rPr>
                <w:rFonts w:hint="eastAsia"/>
                <w:b/>
                <w:bCs/>
                <w:color w:val="auto"/>
                <w:lang w:eastAsia="zh-CN"/>
              </w:rPr>
              <w:t>）</w:t>
            </w:r>
            <w:r>
              <w:rPr>
                <w:b/>
                <w:bCs/>
                <w:color w:val="auto"/>
              </w:rPr>
              <w:t>存储能力可行性分析</w:t>
            </w:r>
          </w:p>
          <w:p w14:paraId="435200CD">
            <w:pPr>
              <w:ind w:firstLine="480"/>
              <w:rPr>
                <w:color w:val="auto"/>
              </w:rPr>
            </w:pPr>
            <w:r>
              <w:rPr>
                <w:rFonts w:hint="eastAsia"/>
                <w:color w:val="auto"/>
                <w:lang w:eastAsia="zh-CN"/>
              </w:rPr>
              <w:t>《</w:t>
            </w:r>
            <w:r>
              <w:rPr>
                <w:color w:val="auto"/>
              </w:rPr>
              <w:t>建设项目危险废物环境影响评价指南》提出应列表明确危险废物贮存场所（设施）的名称、位置、占地面积、贮存方式、贮存容积、贮存周期等，项目危险废物贮存场所基本情况</w:t>
            </w:r>
            <w:r>
              <w:rPr>
                <w:rFonts w:hint="eastAsia"/>
                <w:color w:val="auto"/>
              </w:rPr>
              <w:t>如下所示</w:t>
            </w:r>
            <w:r>
              <w:rPr>
                <w:color w:val="auto"/>
              </w:rPr>
              <w:t>：</w:t>
            </w:r>
          </w:p>
          <w:p w14:paraId="490C0D30">
            <w:pPr>
              <w:pStyle w:val="27"/>
              <w:bidi w:val="0"/>
            </w:pPr>
            <w:r>
              <w:t>表4-</w:t>
            </w:r>
            <w:r>
              <w:rPr>
                <w:rFonts w:hint="eastAsia"/>
                <w:lang w:val="en-US" w:eastAsia="zh-CN"/>
              </w:rPr>
              <w:t>24</w:t>
            </w:r>
            <w:r>
              <w:t xml:space="preserve">  危险废物贮存场所（设施）基本情况表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7"/>
              <w:gridCol w:w="1148"/>
              <w:gridCol w:w="758"/>
              <w:gridCol w:w="931"/>
              <w:gridCol w:w="590"/>
              <w:gridCol w:w="763"/>
              <w:gridCol w:w="763"/>
              <w:gridCol w:w="763"/>
              <w:gridCol w:w="770"/>
              <w:gridCol w:w="834"/>
              <w:gridCol w:w="790"/>
            </w:tblGrid>
            <w:tr w14:paraId="10C8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1" w:type="pct"/>
                  <w:vAlign w:val="center"/>
                </w:tcPr>
                <w:p w14:paraId="5F0307C4">
                  <w:pPr>
                    <w:pStyle w:val="32"/>
                    <w:bidi w:val="0"/>
                    <w:rPr>
                      <w:b/>
                      <w:bCs/>
                      <w:color w:val="auto"/>
                    </w:rPr>
                  </w:pPr>
                  <w:r>
                    <w:rPr>
                      <w:b/>
                      <w:bCs/>
                    </w:rPr>
                    <w:t>序号</w:t>
                  </w:r>
                </w:p>
              </w:tc>
              <w:tc>
                <w:tcPr>
                  <w:tcW w:w="671" w:type="pct"/>
                  <w:vAlign w:val="center"/>
                </w:tcPr>
                <w:p w14:paraId="7397C29F">
                  <w:pPr>
                    <w:pStyle w:val="32"/>
                    <w:bidi w:val="0"/>
                    <w:rPr>
                      <w:b/>
                      <w:bCs/>
                    </w:rPr>
                  </w:pPr>
                  <w:r>
                    <w:rPr>
                      <w:b/>
                      <w:bCs/>
                    </w:rPr>
                    <w:t>贮存场所（设施）名</w:t>
                  </w:r>
                </w:p>
                <w:p w14:paraId="506F85EA">
                  <w:pPr>
                    <w:pStyle w:val="32"/>
                    <w:bidi w:val="0"/>
                    <w:rPr>
                      <w:b/>
                      <w:bCs/>
                      <w:color w:val="auto"/>
                    </w:rPr>
                  </w:pPr>
                  <w:r>
                    <w:rPr>
                      <w:b/>
                      <w:bCs/>
                    </w:rPr>
                    <w:t>称</w:t>
                  </w:r>
                </w:p>
              </w:tc>
              <w:tc>
                <w:tcPr>
                  <w:tcW w:w="443" w:type="pct"/>
                  <w:vAlign w:val="center"/>
                </w:tcPr>
                <w:p w14:paraId="5A5D404A">
                  <w:pPr>
                    <w:pStyle w:val="32"/>
                    <w:bidi w:val="0"/>
                    <w:rPr>
                      <w:b/>
                      <w:bCs/>
                      <w:color w:val="auto"/>
                    </w:rPr>
                  </w:pPr>
                  <w:r>
                    <w:rPr>
                      <w:b/>
                      <w:bCs/>
                    </w:rPr>
                    <w:t>危险废物名称</w:t>
                  </w:r>
                </w:p>
              </w:tc>
              <w:tc>
                <w:tcPr>
                  <w:tcW w:w="544" w:type="pct"/>
                  <w:vAlign w:val="center"/>
                </w:tcPr>
                <w:p w14:paraId="1976168B">
                  <w:pPr>
                    <w:pStyle w:val="32"/>
                    <w:bidi w:val="0"/>
                    <w:rPr>
                      <w:b/>
                      <w:bCs/>
                      <w:color w:val="auto"/>
                    </w:rPr>
                  </w:pPr>
                  <w:r>
                    <w:rPr>
                      <w:b/>
                      <w:bCs/>
                    </w:rPr>
                    <w:t>危险废物类别和代码</w:t>
                  </w:r>
                </w:p>
              </w:tc>
              <w:tc>
                <w:tcPr>
                  <w:tcW w:w="345" w:type="pct"/>
                  <w:vAlign w:val="center"/>
                </w:tcPr>
                <w:p w14:paraId="0BFE0E0E">
                  <w:pPr>
                    <w:pStyle w:val="32"/>
                    <w:bidi w:val="0"/>
                    <w:rPr>
                      <w:b/>
                      <w:bCs/>
                      <w:color w:val="auto"/>
                    </w:rPr>
                  </w:pPr>
                  <w:r>
                    <w:rPr>
                      <w:b/>
                      <w:bCs/>
                    </w:rPr>
                    <w:t>占地面积</w:t>
                  </w:r>
                </w:p>
              </w:tc>
              <w:tc>
                <w:tcPr>
                  <w:tcW w:w="446" w:type="pct"/>
                  <w:vAlign w:val="center"/>
                </w:tcPr>
                <w:p w14:paraId="2BD59ECF">
                  <w:pPr>
                    <w:pStyle w:val="32"/>
                    <w:bidi w:val="0"/>
                    <w:rPr>
                      <w:b/>
                      <w:bCs/>
                      <w:color w:val="auto"/>
                    </w:rPr>
                  </w:pPr>
                  <w:r>
                    <w:rPr>
                      <w:b/>
                      <w:bCs/>
                    </w:rPr>
                    <w:t>贮存方式</w:t>
                  </w:r>
                </w:p>
              </w:tc>
              <w:tc>
                <w:tcPr>
                  <w:tcW w:w="446" w:type="pct"/>
                  <w:vAlign w:val="center"/>
                </w:tcPr>
                <w:p w14:paraId="42779284">
                  <w:pPr>
                    <w:pStyle w:val="32"/>
                    <w:bidi w:val="0"/>
                    <w:rPr>
                      <w:rFonts w:hint="default" w:eastAsia="宋体"/>
                      <w:b/>
                      <w:bCs/>
                      <w:color w:val="auto"/>
                      <w:lang w:val="en-US" w:eastAsia="zh-CN"/>
                    </w:rPr>
                  </w:pPr>
                  <w:r>
                    <w:rPr>
                      <w:rFonts w:hint="eastAsia"/>
                      <w:b/>
                      <w:bCs/>
                      <w:lang w:val="en-US" w:eastAsia="zh-CN"/>
                    </w:rPr>
                    <w:t>包装桶规格</w:t>
                  </w:r>
                </w:p>
              </w:tc>
              <w:tc>
                <w:tcPr>
                  <w:tcW w:w="446" w:type="pct"/>
                  <w:vAlign w:val="center"/>
                </w:tcPr>
                <w:p w14:paraId="1A36825B">
                  <w:pPr>
                    <w:pStyle w:val="32"/>
                    <w:bidi w:val="0"/>
                    <w:rPr>
                      <w:rFonts w:hint="eastAsia" w:eastAsia="宋体"/>
                      <w:b/>
                      <w:bCs/>
                      <w:color w:val="auto"/>
                      <w:lang w:val="en-US" w:eastAsia="zh-CN"/>
                    </w:rPr>
                  </w:pPr>
                  <w:r>
                    <w:rPr>
                      <w:b/>
                      <w:bCs/>
                    </w:rPr>
                    <w:t>最大贮存量</w:t>
                  </w:r>
                  <w:r>
                    <w:rPr>
                      <w:rFonts w:hint="eastAsia"/>
                      <w:b/>
                      <w:bCs/>
                      <w:lang w:val="en-US" w:eastAsia="zh-CN"/>
                    </w:rPr>
                    <w:t>t</w:t>
                  </w:r>
                </w:p>
              </w:tc>
              <w:tc>
                <w:tcPr>
                  <w:tcW w:w="450" w:type="pct"/>
                  <w:vAlign w:val="center"/>
                </w:tcPr>
                <w:p w14:paraId="04E71686">
                  <w:pPr>
                    <w:pStyle w:val="32"/>
                    <w:bidi w:val="0"/>
                    <w:rPr>
                      <w:rFonts w:hint="default" w:eastAsia="宋体"/>
                      <w:b/>
                      <w:bCs/>
                      <w:color w:val="auto"/>
                      <w:lang w:val="en-US" w:eastAsia="zh-CN"/>
                    </w:rPr>
                  </w:pPr>
                  <w:r>
                    <w:rPr>
                      <w:rFonts w:hint="eastAsia"/>
                      <w:b/>
                      <w:bCs/>
                      <w:lang w:val="en-US" w:eastAsia="zh-CN"/>
                    </w:rPr>
                    <w:t>包装容器数量/个</w:t>
                  </w:r>
                </w:p>
              </w:tc>
              <w:tc>
                <w:tcPr>
                  <w:tcW w:w="487" w:type="pct"/>
                  <w:vAlign w:val="center"/>
                </w:tcPr>
                <w:p w14:paraId="5B636CFD">
                  <w:pPr>
                    <w:pStyle w:val="32"/>
                    <w:bidi w:val="0"/>
                    <w:rPr>
                      <w:b/>
                      <w:bCs/>
                      <w:color w:val="auto"/>
                    </w:rPr>
                  </w:pPr>
                  <w:r>
                    <w:rPr>
                      <w:b/>
                      <w:bCs/>
                    </w:rPr>
                    <w:t>贮存周期</w:t>
                  </w:r>
                </w:p>
              </w:tc>
              <w:tc>
                <w:tcPr>
                  <w:tcW w:w="456" w:type="pct"/>
                  <w:vAlign w:val="center"/>
                </w:tcPr>
                <w:p w14:paraId="17DFBECF">
                  <w:pPr>
                    <w:pStyle w:val="32"/>
                    <w:bidi w:val="0"/>
                    <w:rPr>
                      <w:rFonts w:hint="default" w:eastAsia="宋体"/>
                      <w:b/>
                      <w:bCs/>
                      <w:color w:val="auto"/>
                      <w:lang w:val="en-US" w:eastAsia="zh-CN"/>
                    </w:rPr>
                  </w:pPr>
                  <w:r>
                    <w:rPr>
                      <w:rFonts w:hint="eastAsia"/>
                      <w:b/>
                      <w:bCs/>
                      <w:lang w:val="en-US" w:eastAsia="zh-CN"/>
                    </w:rPr>
                    <w:t>贮存面积㎡</w:t>
                  </w:r>
                </w:p>
              </w:tc>
            </w:tr>
            <w:tr w14:paraId="7FD2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1" w:type="pct"/>
                  <w:vAlign w:val="center"/>
                </w:tcPr>
                <w:p w14:paraId="73E530C3">
                  <w:pPr>
                    <w:pStyle w:val="32"/>
                    <w:bidi w:val="0"/>
                    <w:rPr>
                      <w:color w:val="auto"/>
                    </w:rPr>
                  </w:pPr>
                  <w:r>
                    <w:t>1</w:t>
                  </w:r>
                </w:p>
              </w:tc>
              <w:tc>
                <w:tcPr>
                  <w:tcW w:w="671" w:type="pct"/>
                  <w:vAlign w:val="center"/>
                </w:tcPr>
                <w:p w14:paraId="0C4B6BA1">
                  <w:pPr>
                    <w:pStyle w:val="32"/>
                    <w:bidi w:val="0"/>
                    <w:rPr>
                      <w:color w:val="auto"/>
                    </w:rPr>
                  </w:pPr>
                  <w:r>
                    <w:t>危废暂存间</w:t>
                  </w:r>
                </w:p>
              </w:tc>
              <w:tc>
                <w:tcPr>
                  <w:tcW w:w="443" w:type="pct"/>
                  <w:shd w:val="clear" w:color="auto" w:fill="auto"/>
                  <w:vAlign w:val="center"/>
                </w:tcPr>
                <w:p w14:paraId="3AA42E2E">
                  <w:pPr>
                    <w:pStyle w:val="32"/>
                    <w:bidi w:val="0"/>
                    <w:rPr>
                      <w:rFonts w:hint="default"/>
                      <w:lang w:val="en-US" w:eastAsia="zh-CN"/>
                    </w:rPr>
                  </w:pPr>
                  <w:r>
                    <w:rPr>
                      <w:rFonts w:hint="eastAsia"/>
                      <w:lang w:val="en-US" w:eastAsia="zh-CN"/>
                    </w:rPr>
                    <w:t>废活性炭</w:t>
                  </w:r>
                </w:p>
              </w:tc>
              <w:tc>
                <w:tcPr>
                  <w:tcW w:w="544" w:type="pct"/>
                  <w:shd w:val="clear" w:color="auto" w:fill="auto"/>
                  <w:vAlign w:val="center"/>
                </w:tcPr>
                <w:p w14:paraId="51E5B30B">
                  <w:pPr>
                    <w:pStyle w:val="32"/>
                    <w:bidi w:val="0"/>
                  </w:pPr>
                  <w:r>
                    <w:rPr>
                      <w:rFonts w:hint="eastAsia"/>
                    </w:rPr>
                    <w:t>HW49</w:t>
                  </w:r>
                </w:p>
                <w:p w14:paraId="7368FF37">
                  <w:pPr>
                    <w:pStyle w:val="32"/>
                    <w:bidi w:val="0"/>
                    <w:rPr>
                      <w:rFonts w:hint="eastAsia"/>
                      <w:lang w:val="en-US" w:eastAsia="zh-CN"/>
                    </w:rPr>
                  </w:pPr>
                  <w:r>
                    <w:t>900-0</w:t>
                  </w:r>
                  <w:r>
                    <w:rPr>
                      <w:rFonts w:hint="eastAsia"/>
                    </w:rPr>
                    <w:t>39</w:t>
                  </w:r>
                  <w:r>
                    <w:t>-49</w:t>
                  </w:r>
                </w:p>
              </w:tc>
              <w:tc>
                <w:tcPr>
                  <w:tcW w:w="345" w:type="pct"/>
                  <w:vAlign w:val="center"/>
                </w:tcPr>
                <w:p w14:paraId="657B9478">
                  <w:pPr>
                    <w:pStyle w:val="32"/>
                    <w:bidi w:val="0"/>
                    <w:rPr>
                      <w:rFonts w:hint="default"/>
                      <w:color w:val="auto"/>
                      <w:lang w:val="en-US"/>
                    </w:rPr>
                  </w:pPr>
                  <w:r>
                    <w:rPr>
                      <w:rFonts w:hint="eastAsia"/>
                      <w:lang w:val="en-US" w:eastAsia="zh-CN"/>
                    </w:rPr>
                    <w:t>5㎡</w:t>
                  </w:r>
                </w:p>
              </w:tc>
              <w:tc>
                <w:tcPr>
                  <w:tcW w:w="446" w:type="pct"/>
                  <w:vAlign w:val="center"/>
                </w:tcPr>
                <w:p w14:paraId="20E524B0">
                  <w:pPr>
                    <w:pStyle w:val="32"/>
                    <w:bidi w:val="0"/>
                    <w:rPr>
                      <w:color w:val="auto"/>
                    </w:rPr>
                  </w:pPr>
                  <w:r>
                    <w:t>桶装</w:t>
                  </w:r>
                  <w:r>
                    <w:rPr>
                      <w:rFonts w:hint="eastAsia"/>
                      <w:lang w:eastAsia="zh-CN"/>
                    </w:rPr>
                    <w:t>，</w:t>
                  </w:r>
                  <w:r>
                    <w:rPr>
                      <w:rFonts w:hint="eastAsia"/>
                      <w:lang w:val="en-US" w:eastAsia="zh-CN"/>
                    </w:rPr>
                    <w:t>150kg/</w:t>
                  </w:r>
                  <w:r>
                    <w:t>桶装</w:t>
                  </w:r>
                </w:p>
              </w:tc>
              <w:tc>
                <w:tcPr>
                  <w:tcW w:w="446" w:type="pct"/>
                  <w:vAlign w:val="center"/>
                </w:tcPr>
                <w:p w14:paraId="05E4805F">
                  <w:pPr>
                    <w:pStyle w:val="32"/>
                    <w:bidi w:val="0"/>
                    <w:rPr>
                      <w:rFonts w:hint="default" w:eastAsia="宋体"/>
                      <w:color w:val="auto"/>
                      <w:lang w:val="en-US" w:eastAsia="zh-CN"/>
                    </w:rPr>
                  </w:pPr>
                  <w:r>
                    <w:rPr>
                      <w:rFonts w:hint="eastAsia"/>
                      <w:lang w:val="en-US" w:eastAsia="zh-CN"/>
                    </w:rPr>
                    <w:t>Φ55cm×H52cm</w:t>
                  </w:r>
                </w:p>
              </w:tc>
              <w:tc>
                <w:tcPr>
                  <w:tcW w:w="446" w:type="pct"/>
                  <w:vAlign w:val="center"/>
                </w:tcPr>
                <w:p w14:paraId="6E911676">
                  <w:pPr>
                    <w:pStyle w:val="32"/>
                    <w:bidi w:val="0"/>
                    <w:rPr>
                      <w:rFonts w:hint="default"/>
                      <w:color w:val="auto"/>
                      <w:lang w:val="en-US"/>
                    </w:rPr>
                  </w:pPr>
                  <w:r>
                    <w:rPr>
                      <w:rFonts w:hint="eastAsia"/>
                      <w:lang w:val="en-US" w:eastAsia="zh-CN"/>
                    </w:rPr>
                    <w:t>0.4050</w:t>
                  </w:r>
                </w:p>
              </w:tc>
              <w:tc>
                <w:tcPr>
                  <w:tcW w:w="450" w:type="pct"/>
                  <w:vAlign w:val="center"/>
                </w:tcPr>
                <w:p w14:paraId="7C10E9C3">
                  <w:pPr>
                    <w:pStyle w:val="32"/>
                    <w:bidi w:val="0"/>
                    <w:rPr>
                      <w:rFonts w:hint="eastAsia" w:eastAsia="宋体"/>
                      <w:color w:val="auto"/>
                      <w:lang w:val="en-US" w:eastAsia="zh-CN"/>
                    </w:rPr>
                  </w:pPr>
                  <w:r>
                    <w:rPr>
                      <w:rFonts w:hint="eastAsia"/>
                      <w:lang w:val="en-US" w:eastAsia="zh-CN"/>
                    </w:rPr>
                    <w:t>3</w:t>
                  </w:r>
                </w:p>
              </w:tc>
              <w:tc>
                <w:tcPr>
                  <w:tcW w:w="487" w:type="pct"/>
                  <w:vAlign w:val="center"/>
                </w:tcPr>
                <w:p w14:paraId="51A63DC5">
                  <w:pPr>
                    <w:pStyle w:val="32"/>
                    <w:bidi w:val="0"/>
                    <w:rPr>
                      <w:color w:val="auto"/>
                    </w:rPr>
                  </w:pPr>
                  <w:r>
                    <w:t>1年</w:t>
                  </w:r>
                </w:p>
              </w:tc>
              <w:tc>
                <w:tcPr>
                  <w:tcW w:w="456" w:type="pct"/>
                  <w:vAlign w:val="center"/>
                </w:tcPr>
                <w:p w14:paraId="724FA939">
                  <w:pPr>
                    <w:pStyle w:val="32"/>
                    <w:bidi w:val="0"/>
                    <w:rPr>
                      <w:rFonts w:hint="default" w:eastAsia="宋体"/>
                      <w:color w:val="auto"/>
                      <w:lang w:val="en-US" w:eastAsia="zh-CN"/>
                    </w:rPr>
                  </w:pPr>
                  <w:r>
                    <w:rPr>
                      <w:rFonts w:hint="eastAsia"/>
                      <w:lang w:val="en-US" w:eastAsia="zh-CN"/>
                    </w:rPr>
                    <w:t>0.72</w:t>
                  </w:r>
                </w:p>
              </w:tc>
            </w:tr>
            <w:tr w14:paraId="29A2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1"/>
                  <w:vAlign w:val="center"/>
                </w:tcPr>
                <w:p w14:paraId="6A91BD7F">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textAlignment w:val="auto"/>
                    <w:rPr>
                      <w:rFonts w:hint="eastAsia" w:eastAsia="宋体"/>
                      <w:color w:val="auto"/>
                      <w:lang w:val="en-US" w:eastAsia="zh-CN"/>
                    </w:rPr>
                  </w:pPr>
                  <w:r>
                    <w:rPr>
                      <w:rFonts w:hint="eastAsia"/>
                      <w:b/>
                      <w:bCs/>
                      <w:sz w:val="18"/>
                      <w:szCs w:val="18"/>
                      <w:lang w:val="en-US" w:eastAsia="zh-CN"/>
                    </w:rPr>
                    <w:t>备注：①150kg/桶（高52cm、直径55cm，占地面积0.24㎡）。</w:t>
                  </w:r>
                </w:p>
              </w:tc>
            </w:tr>
          </w:tbl>
          <w:p w14:paraId="78002327">
            <w:pPr>
              <w:adjustRightInd w:val="0"/>
              <w:spacing w:line="460" w:lineRule="exact"/>
              <w:ind w:firstLine="480"/>
              <w:rPr>
                <w:color w:val="auto"/>
              </w:rPr>
            </w:pPr>
            <w:r>
              <w:rPr>
                <w:rFonts w:hint="eastAsia"/>
                <w:color w:val="auto"/>
                <w:lang w:val="en-US" w:eastAsia="zh-CN"/>
              </w:rPr>
              <w:t>由上表可知本项目</w:t>
            </w:r>
            <w:r>
              <w:rPr>
                <w:rFonts w:hint="eastAsia"/>
                <w:color w:val="auto"/>
              </w:rPr>
              <w:t>危废最大占地面积为</w:t>
            </w:r>
            <w:r>
              <w:rPr>
                <w:rFonts w:hint="eastAsia"/>
                <w:color w:val="auto"/>
                <w:lang w:val="en-US" w:eastAsia="zh-CN"/>
              </w:rPr>
              <w:t>0.7</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5</w:t>
            </w:r>
            <w:r>
              <w:rPr>
                <w:rFonts w:hint="eastAsia"/>
                <w:color w:val="auto"/>
                <w:highlight w:val="none"/>
              </w:rPr>
              <w:t>㎡，本项</w:t>
            </w:r>
            <w:r>
              <w:rPr>
                <w:rFonts w:hint="eastAsia"/>
                <w:color w:val="auto"/>
              </w:rPr>
              <w:t>目危废间容积能够满足危废贮存的要求。本项目需</w:t>
            </w:r>
            <w:r>
              <w:rPr>
                <w:color w:val="auto"/>
              </w:rPr>
              <w:t>按照危险废物管理要求，对危险废物进行临时贮存，转移和最终处置严格按照《危险废物收集、贮存、运输技术规范》（HJ2025-2012）中相关规定，危险废物临时贮存期间应满足《危险废物贮存污染控制标准》（</w:t>
            </w:r>
            <w:r>
              <w:rPr>
                <w:rFonts w:hint="eastAsia"/>
                <w:color w:val="auto"/>
              </w:rPr>
              <w:t>GB18597-2023）</w:t>
            </w:r>
            <w:r>
              <w:rPr>
                <w:color w:val="auto"/>
              </w:rPr>
              <w:t>对危险废物贮存设施的要求，严禁将危险废物混入非危险废物中。</w:t>
            </w:r>
          </w:p>
          <w:p w14:paraId="34F5A080">
            <w:pPr>
              <w:ind w:firstLine="480"/>
              <w:rPr>
                <w:color w:val="auto"/>
              </w:rPr>
            </w:pPr>
            <w:r>
              <w:rPr>
                <w:rFonts w:hint="eastAsia"/>
                <w:color w:val="auto"/>
              </w:rPr>
              <w:t>项目产生的危废使用专门容器分类存放，定期由危险废物处理资质的单位进行统一处理。</w:t>
            </w:r>
          </w:p>
          <w:p w14:paraId="780478B3">
            <w:pPr>
              <w:ind w:firstLine="482"/>
              <w:rPr>
                <w:b/>
                <w:bCs/>
                <w:color w:val="auto"/>
              </w:rPr>
            </w:pPr>
            <w:r>
              <w:rPr>
                <w:rFonts w:hint="eastAsia"/>
                <w:b/>
                <w:bCs/>
                <w:color w:val="auto"/>
              </w:rPr>
              <w:t>3</w:t>
            </w:r>
            <w:r>
              <w:rPr>
                <w:rFonts w:hint="eastAsia"/>
                <w:b/>
                <w:bCs/>
                <w:color w:val="auto"/>
                <w:lang w:eastAsia="zh-CN"/>
              </w:rPr>
              <w:t>）</w:t>
            </w:r>
            <w:r>
              <w:rPr>
                <w:b/>
                <w:bCs/>
                <w:color w:val="auto"/>
              </w:rPr>
              <w:t>危险废物的贮存设施满足要求</w:t>
            </w:r>
          </w:p>
          <w:p w14:paraId="1E965B22">
            <w:pPr>
              <w:ind w:firstLine="480"/>
              <w:rPr>
                <w:rFonts w:hint="eastAsia" w:eastAsia="宋体"/>
                <w:color w:val="auto"/>
                <w:lang w:eastAsia="zh-CN"/>
              </w:rPr>
            </w:pPr>
            <w:r>
              <w:rPr>
                <w:rFonts w:hint="eastAsia"/>
                <w:color w:val="auto"/>
              </w:rPr>
              <w:t>按照《危险废物贮存污染控制标准》（GB18597-2023）中相关要求，项目危废暂存间要求做到以下几点：</w:t>
            </w:r>
          </w:p>
          <w:p w14:paraId="68B3411C">
            <w:pPr>
              <w:bidi w:val="0"/>
              <w:rPr>
                <w:color w:val="auto"/>
              </w:rPr>
            </w:pPr>
            <w:r>
              <w:rPr>
                <w:rFonts w:hint="eastAsia"/>
                <w:color w:val="auto"/>
              </w:rPr>
              <w:t>①贮存设施应根据危险废物的形态、物理化学性质、包装形式和污染物迁移途径，采取必要的防风、防晒、防雨、防漏、防渗、防腐以及其他环境污染防治措施，不应露天堆放危险废物。</w:t>
            </w:r>
          </w:p>
          <w:p w14:paraId="27930783">
            <w:pPr>
              <w:bidi w:val="0"/>
              <w:rPr>
                <w:color w:val="auto"/>
              </w:rPr>
            </w:pPr>
            <w:r>
              <w:rPr>
                <w:rFonts w:hint="eastAsia"/>
                <w:color w:val="auto"/>
              </w:rPr>
              <w:t>②贮存设施应根据危险废物的类别、数量、形态、物理化学性质和污染防治等要求设置必要的贮存分区，避免不相容的危险废物接触、混合。</w:t>
            </w:r>
          </w:p>
          <w:p w14:paraId="0448649C">
            <w:pPr>
              <w:bidi w:val="0"/>
              <w:rPr>
                <w:color w:val="auto"/>
              </w:rPr>
            </w:pPr>
            <w:r>
              <w:rPr>
                <w:rFonts w:hint="eastAsia"/>
                <w:color w:val="auto"/>
              </w:rPr>
              <w:t>③贮存设施或贮存分区内地面、墙面</w:t>
            </w:r>
            <w:r>
              <w:rPr>
                <w:rFonts w:hint="eastAsia"/>
                <w:color w:val="auto"/>
                <w:lang w:eastAsia="zh-CN"/>
              </w:rPr>
              <w:t>裙角</w:t>
            </w:r>
            <w:r>
              <w:rPr>
                <w:rFonts w:hint="eastAsia"/>
                <w:color w:val="auto"/>
              </w:rPr>
              <w:t>、堵截泄漏的围堰、接触危险废物的隔板和墙体等应采用坚固的材料建造，表面无裂缝。</w:t>
            </w:r>
          </w:p>
          <w:p w14:paraId="614F1962">
            <w:pPr>
              <w:bidi w:val="0"/>
              <w:rPr>
                <w:rFonts w:hint="eastAsia"/>
                <w:color w:val="auto"/>
              </w:rPr>
            </w:pPr>
            <w:r>
              <w:rPr>
                <w:rFonts w:hint="eastAsia"/>
                <w:color w:val="auto"/>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color w:val="auto"/>
                <w:lang w:eastAsia="zh-CN"/>
              </w:rPr>
              <w:t>（</w:t>
            </w:r>
            <w:r>
              <w:rPr>
                <w:rFonts w:hint="eastAsia"/>
                <w:color w:val="auto"/>
              </w:rPr>
              <w:t>渗透系数不大于10</w:t>
            </w:r>
            <w:r>
              <w:rPr>
                <w:rFonts w:hint="eastAsia"/>
                <w:color w:val="auto"/>
                <w:vertAlign w:val="superscript"/>
              </w:rPr>
              <w:t>-7</w:t>
            </w:r>
            <w:r>
              <w:rPr>
                <w:rFonts w:hint="eastAsia"/>
                <w:color w:val="auto"/>
              </w:rPr>
              <w:t>cm/s</w:t>
            </w:r>
            <w:r>
              <w:rPr>
                <w:rFonts w:hint="eastAsia"/>
                <w:color w:val="auto"/>
                <w:lang w:eastAsia="zh-CN"/>
              </w:rPr>
              <w:t>）</w:t>
            </w:r>
            <w:r>
              <w:rPr>
                <w:rFonts w:hint="eastAsia"/>
                <w:color w:val="auto"/>
              </w:rPr>
              <w:t>，或至少2mm厚高密度聚乙烯膜等人工防渗材料</w:t>
            </w:r>
            <w:r>
              <w:rPr>
                <w:rFonts w:hint="eastAsia"/>
                <w:color w:val="auto"/>
                <w:lang w:eastAsia="zh-CN"/>
              </w:rPr>
              <w:t>（</w:t>
            </w:r>
            <w:r>
              <w:rPr>
                <w:rFonts w:hint="eastAsia"/>
                <w:color w:val="auto"/>
              </w:rPr>
              <w:t>渗透系数不大于10</w:t>
            </w:r>
            <w:r>
              <w:rPr>
                <w:rFonts w:hint="eastAsia"/>
                <w:color w:val="auto"/>
                <w:vertAlign w:val="superscript"/>
              </w:rPr>
              <w:t>-10</w:t>
            </w:r>
            <w:r>
              <w:rPr>
                <w:rFonts w:hint="eastAsia"/>
                <w:color w:val="auto"/>
              </w:rPr>
              <w:t>cm/s</w:t>
            </w:r>
            <w:r>
              <w:rPr>
                <w:rFonts w:hint="eastAsia"/>
                <w:color w:val="auto"/>
                <w:lang w:eastAsia="zh-CN"/>
              </w:rPr>
              <w:t>）</w:t>
            </w:r>
            <w:r>
              <w:rPr>
                <w:rFonts w:hint="eastAsia"/>
                <w:color w:val="auto"/>
              </w:rPr>
              <w:t>，或其他防渗性能等效的材料。</w:t>
            </w:r>
          </w:p>
          <w:p w14:paraId="389A4270">
            <w:pPr>
              <w:bidi w:val="0"/>
            </w:pPr>
            <w:r>
              <w:rPr>
                <w:rFonts w:hint="eastAsia"/>
              </w:rPr>
              <w:t>⑤同一贮存设施宜采用相同的防渗、防腐工艺</w:t>
            </w:r>
            <w:r>
              <w:rPr>
                <w:rFonts w:hint="eastAsia"/>
                <w:lang w:eastAsia="zh-CN"/>
              </w:rPr>
              <w:t>（</w:t>
            </w:r>
            <w:r>
              <w:rPr>
                <w:rFonts w:hint="eastAsia"/>
              </w:rPr>
              <w:t>包括防渗、防腐结构或材料</w:t>
            </w:r>
            <w:r>
              <w:rPr>
                <w:rFonts w:hint="eastAsia"/>
                <w:lang w:eastAsia="zh-CN"/>
              </w:rPr>
              <w:t>）</w:t>
            </w:r>
            <w:r>
              <w:rPr>
                <w:rFonts w:hint="eastAsia"/>
              </w:rPr>
              <w:t>，防渗、防腐材料应覆盖所有可能与废物及其渗滤液、渗漏液等接触的构筑物表面，采用不同防渗、防腐工艺应分别建设贮存分区。</w:t>
            </w:r>
          </w:p>
          <w:p w14:paraId="57C45757">
            <w:pPr>
              <w:bidi w:val="0"/>
            </w:pPr>
            <w:r>
              <w:rPr>
                <w:rFonts w:hint="eastAsia"/>
              </w:rPr>
              <w:t>⑥贮存设施应采取技术和管理措施防止无关人员进入。</w:t>
            </w:r>
          </w:p>
          <w:p w14:paraId="6B53AB0A">
            <w:pPr>
              <w:ind w:firstLine="482"/>
              <w:rPr>
                <w:b/>
                <w:bCs/>
                <w:color w:val="auto"/>
              </w:rPr>
            </w:pPr>
            <w:r>
              <w:rPr>
                <w:rFonts w:hint="eastAsia"/>
                <w:b/>
                <w:bCs/>
                <w:color w:val="auto"/>
              </w:rPr>
              <w:t>4</w:t>
            </w:r>
            <w:r>
              <w:rPr>
                <w:rFonts w:hint="eastAsia"/>
                <w:b/>
                <w:bCs/>
                <w:color w:val="auto"/>
                <w:lang w:eastAsia="zh-CN"/>
              </w:rPr>
              <w:t>）</w:t>
            </w:r>
            <w:r>
              <w:rPr>
                <w:rFonts w:hint="eastAsia"/>
                <w:b/>
                <w:bCs/>
                <w:color w:val="auto"/>
              </w:rPr>
              <w:t>危险废物转移和运输</w:t>
            </w:r>
          </w:p>
          <w:p w14:paraId="0A186A2E">
            <w:pPr>
              <w:ind w:firstLine="480"/>
              <w:rPr>
                <w:color w:val="auto"/>
              </w:rPr>
            </w:pPr>
            <w:r>
              <w:rPr>
                <w:color w:val="auto"/>
              </w:rPr>
              <w:t>项目危废从产生场所转移运输到暂存场所过程中，采用防渗漏的桶装运输至</w:t>
            </w:r>
            <w:r>
              <w:rPr>
                <w:rFonts w:hint="eastAsia"/>
                <w:color w:val="auto"/>
              </w:rPr>
              <w:t>危废暂存间</w:t>
            </w:r>
            <w:r>
              <w:rPr>
                <w:color w:val="auto"/>
              </w:rPr>
              <w:t>，通过规范管理，可以保证转移过程桶不破裂，不撒漏，避免危废泄漏或撒漏对周边环境造成影响。在事故状态下，可能导致危险废物转运过程散落对厂区土壤产生一定影响。若发生液体危险废物</w:t>
            </w:r>
            <w:r>
              <w:rPr>
                <w:rFonts w:hint="eastAsia"/>
                <w:color w:val="auto"/>
                <w:lang w:eastAsia="zh-CN"/>
              </w:rPr>
              <w:t>泄漏</w:t>
            </w:r>
            <w:r>
              <w:rPr>
                <w:color w:val="auto"/>
              </w:rPr>
              <w:t>将对厂区内部的地下水产生一定影响。</w:t>
            </w:r>
          </w:p>
          <w:p w14:paraId="2868B80B">
            <w:pPr>
              <w:ind w:firstLine="480"/>
              <w:rPr>
                <w:color w:val="auto"/>
              </w:rPr>
            </w:pPr>
            <w:r>
              <w:rPr>
                <w:color w:val="auto"/>
              </w:rPr>
              <w:t>危险废物外运时严格按照国家环境保护总局令第5号文件《危险废物转移联单管理办法》的相关规定报批危险废物转移计划，转移危险废物时按照规定填报危险废物转移联单，并向危险废物移出地和接受地的县级以上地方人民政府环境保护行政主管部门报告。按照《危险货物道路安全管理办法》的相关规定，托运人在托运危险货物时，应当向承运人提交电子或者纸质形式的危险货物托运清单。危险货物托运清单应当载明危险货物的托运人、承运人、收货人、装货人、始发地、目的地、危险货物的类别、项别、品名、编号、包装及规格、数量、应急联系电话等信息，以及危险货物危险特性、运输注意事项、急救措施、消防措施、泄漏应急处置、次生环境污染处置措施等信息。</w:t>
            </w:r>
          </w:p>
          <w:p w14:paraId="53C8BE12">
            <w:pPr>
              <w:ind w:firstLine="480"/>
              <w:rPr>
                <w:color w:val="auto"/>
              </w:rPr>
            </w:pPr>
            <w:r>
              <w:rPr>
                <w:color w:val="auto"/>
              </w:rPr>
              <w:t>厂外运输由</w:t>
            </w:r>
            <w:r>
              <w:rPr>
                <w:rFonts w:hint="eastAsia"/>
                <w:color w:val="auto"/>
              </w:rPr>
              <w:t>取</w:t>
            </w:r>
            <w:r>
              <w:rPr>
                <w:color w:val="auto"/>
              </w:rPr>
              <w:t>得危险货物运输资质的单位承担，按照《道路危险货物运输管理规定》</w:t>
            </w:r>
            <w:r>
              <w:rPr>
                <w:rFonts w:hint="eastAsia"/>
                <w:color w:val="auto"/>
                <w:lang w:eastAsia="zh-CN"/>
              </w:rPr>
              <w:t>（</w:t>
            </w:r>
            <w:r>
              <w:rPr>
                <w:color w:val="auto"/>
              </w:rPr>
              <w:t>交通部令2013年第2号</w:t>
            </w:r>
            <w:r>
              <w:rPr>
                <w:rFonts w:hint="eastAsia"/>
                <w:color w:val="auto"/>
                <w:lang w:eastAsia="zh-CN"/>
              </w:rPr>
              <w:t>）</w:t>
            </w:r>
            <w:r>
              <w:rPr>
                <w:color w:val="auto"/>
              </w:rPr>
              <w:t>、JT617以及JT618相关要求执行制定了运输路线。运输过程中做到密闭，沿途不抛洒，应有明显的标志，并有防雨、防晒等设施，同时应配备全球卫星定位事故报警装置</w:t>
            </w:r>
            <w:r>
              <w:rPr>
                <w:rFonts w:hint="eastAsia"/>
                <w:color w:val="auto"/>
              </w:rPr>
              <w:t>。</w:t>
            </w:r>
          </w:p>
          <w:p w14:paraId="1508A507">
            <w:pPr>
              <w:ind w:firstLine="482"/>
              <w:rPr>
                <w:color w:val="auto"/>
              </w:rPr>
            </w:pPr>
            <w:r>
              <w:rPr>
                <w:rFonts w:hint="eastAsia"/>
                <w:b/>
                <w:bCs/>
                <w:color w:val="auto"/>
              </w:rPr>
              <w:t>5</w:t>
            </w:r>
            <w:r>
              <w:rPr>
                <w:rFonts w:hint="eastAsia"/>
                <w:b/>
                <w:bCs/>
                <w:color w:val="auto"/>
                <w:lang w:eastAsia="zh-CN"/>
              </w:rPr>
              <w:t>）</w:t>
            </w:r>
            <w:r>
              <w:rPr>
                <w:b/>
                <w:bCs/>
                <w:color w:val="auto"/>
              </w:rPr>
              <w:t>环境管理要求：</w:t>
            </w:r>
          </w:p>
          <w:p w14:paraId="6CAE11AC">
            <w:pPr>
              <w:ind w:firstLine="480"/>
              <w:rPr>
                <w:color w:val="auto"/>
              </w:rPr>
            </w:pPr>
            <w:r>
              <w:rPr>
                <w:color w:val="auto"/>
              </w:rPr>
              <w:t>针对本项目正常运行阶段所产生的危险废物的日常管理提出要求：</w:t>
            </w:r>
          </w:p>
          <w:p w14:paraId="5CF90226">
            <w:pPr>
              <w:ind w:firstLine="480"/>
              <w:rPr>
                <w:color w:val="auto"/>
              </w:rPr>
            </w:pPr>
            <w:r>
              <w:rPr>
                <w:rFonts w:hint="eastAsia"/>
                <w:color w:val="auto"/>
              </w:rPr>
              <w:t>①</w:t>
            </w:r>
            <w:r>
              <w:rPr>
                <w:color w:val="auto"/>
              </w:rPr>
              <w:t>履行申报登记制度；</w:t>
            </w:r>
          </w:p>
          <w:p w14:paraId="39D9292A">
            <w:pPr>
              <w:ind w:firstLine="480"/>
              <w:rPr>
                <w:color w:val="auto"/>
              </w:rPr>
            </w:pPr>
            <w:r>
              <w:rPr>
                <w:rFonts w:hint="eastAsia"/>
                <w:color w:val="auto"/>
              </w:rPr>
              <w:t>②</w:t>
            </w:r>
            <w:r>
              <w:rPr>
                <w:color w:val="auto"/>
              </w:rPr>
              <w:t>建立台账管理制度，企业须做好危险废物情况的记录，记录上需注明危险废物的名称、来源、数量、特性和包装容器的类别；</w:t>
            </w:r>
          </w:p>
          <w:p w14:paraId="7EA6DB2E">
            <w:pPr>
              <w:ind w:firstLine="480"/>
              <w:rPr>
                <w:color w:val="auto"/>
              </w:rPr>
            </w:pPr>
            <w:r>
              <w:rPr>
                <w:rFonts w:hint="eastAsia"/>
                <w:color w:val="auto"/>
              </w:rPr>
              <w:t>③</w:t>
            </w:r>
            <w:r>
              <w:rPr>
                <w:color w:val="auto"/>
              </w:rPr>
              <w:t>委托处置应执行报批和转移联单等制度；</w:t>
            </w:r>
          </w:p>
          <w:p w14:paraId="0A4DD459">
            <w:pPr>
              <w:ind w:firstLine="480"/>
              <w:rPr>
                <w:color w:val="auto"/>
              </w:rPr>
            </w:pPr>
            <w:r>
              <w:rPr>
                <w:rFonts w:hint="eastAsia"/>
                <w:color w:val="auto"/>
              </w:rPr>
              <w:t>④</w:t>
            </w:r>
            <w:r>
              <w:rPr>
                <w:color w:val="auto"/>
              </w:rPr>
              <w:t>定期对暂存的危险废物包装容器及贮存设施进行检查，及早发现破损，及时采取措施清理更换；</w:t>
            </w:r>
          </w:p>
          <w:p w14:paraId="1331DF95">
            <w:pPr>
              <w:ind w:firstLine="480"/>
              <w:rPr>
                <w:color w:val="auto"/>
              </w:rPr>
            </w:pPr>
            <w:r>
              <w:rPr>
                <w:rFonts w:hint="eastAsia"/>
                <w:color w:val="auto"/>
              </w:rPr>
              <w:t>⑤</w:t>
            </w:r>
            <w:r>
              <w:rPr>
                <w:color w:val="auto"/>
              </w:rPr>
              <w:t>直接从事收集、贮存、运输、利用、处置危险废物的人员，应当接受专业培训，经考核合格，方可从事该项工作。</w:t>
            </w:r>
          </w:p>
          <w:p w14:paraId="4C693CAD">
            <w:pPr>
              <w:ind w:firstLine="480"/>
              <w:rPr>
                <w:color w:val="auto"/>
              </w:rPr>
            </w:pPr>
            <w:r>
              <w:rPr>
                <w:rFonts w:hint="eastAsia"/>
                <w:color w:val="auto"/>
              </w:rPr>
              <w:t>⑥</w:t>
            </w:r>
            <w:r>
              <w:rPr>
                <w:color w:val="auto"/>
              </w:rPr>
              <w:t>固废贮存（处置）场所规范化设置，固体废物贮存</w:t>
            </w:r>
            <w:r>
              <w:rPr>
                <w:rFonts w:hint="eastAsia"/>
                <w:color w:val="auto"/>
              </w:rPr>
              <w:t>（</w:t>
            </w:r>
            <w:r>
              <w:rPr>
                <w:color w:val="auto"/>
              </w:rPr>
              <w:t>处置</w:t>
            </w:r>
            <w:r>
              <w:rPr>
                <w:rFonts w:hint="eastAsia"/>
                <w:color w:val="auto"/>
              </w:rPr>
              <w:t>）</w:t>
            </w:r>
            <w:r>
              <w:rPr>
                <w:color w:val="auto"/>
              </w:rPr>
              <w:t>场所应在醒目处设置标志牌。</w:t>
            </w:r>
          </w:p>
          <w:p w14:paraId="064639B9">
            <w:pPr>
              <w:ind w:firstLine="480"/>
              <w:rPr>
                <w:color w:val="auto"/>
              </w:rPr>
            </w:pPr>
            <w:r>
              <w:rPr>
                <w:rFonts w:hint="eastAsia"/>
                <w:color w:val="auto"/>
              </w:rPr>
              <w:t>⑦</w:t>
            </w:r>
            <w:r>
              <w:rPr>
                <w:color w:val="auto"/>
              </w:rPr>
              <w:t>危废应根据其化学特性选择合适的容器和存放地点，通过密闭容器存放，不可混合贮存，容器标签必须标明废物种类、贮存时间，定期处理。</w:t>
            </w:r>
          </w:p>
          <w:p w14:paraId="002FCBDE">
            <w:pPr>
              <w:ind w:firstLine="480"/>
              <w:rPr>
                <w:color w:val="auto"/>
              </w:rPr>
            </w:pPr>
            <w:r>
              <w:rPr>
                <w:rFonts w:hint="eastAsia"/>
                <w:color w:val="auto"/>
              </w:rPr>
              <w:t>⑧</w:t>
            </w:r>
            <w:r>
              <w:rPr>
                <w:color w:val="auto"/>
              </w:rPr>
              <w:t>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4EC26709">
            <w:pPr>
              <w:ind w:firstLine="480"/>
              <w:rPr>
                <w:color w:val="auto"/>
              </w:rPr>
            </w:pPr>
            <w:r>
              <w:rPr>
                <w:color w:val="auto"/>
              </w:rPr>
              <w:t>综上所述，经采取上述措施后，本项目固废均可得到有效处置，处置率100%，符合环保要求，不会对周围环境造成不良影响。</w:t>
            </w:r>
          </w:p>
          <w:p w14:paraId="428D98A8">
            <w:pPr>
              <w:ind w:firstLine="482"/>
              <w:rPr>
                <w:b/>
                <w:bCs/>
                <w:color w:val="auto"/>
              </w:rPr>
            </w:pPr>
            <w:r>
              <w:rPr>
                <w:rFonts w:hint="eastAsia"/>
                <w:b/>
                <w:bCs/>
                <w:color w:val="auto"/>
              </w:rPr>
              <w:t>五、地下水及土壤</w:t>
            </w:r>
          </w:p>
          <w:p w14:paraId="20AD38EE">
            <w:pPr>
              <w:ind w:firstLine="482"/>
              <w:rPr>
                <w:b/>
                <w:bCs/>
                <w:color w:val="auto"/>
              </w:rPr>
            </w:pPr>
            <w:r>
              <w:rPr>
                <w:rFonts w:hint="eastAsia"/>
                <w:b/>
                <w:bCs/>
                <w:color w:val="auto"/>
              </w:rPr>
              <w:t>1、</w:t>
            </w:r>
            <w:r>
              <w:rPr>
                <w:b/>
                <w:bCs/>
                <w:color w:val="auto"/>
              </w:rPr>
              <w:t>土壤、地下水污染途径</w:t>
            </w:r>
          </w:p>
          <w:p w14:paraId="0075520A">
            <w:pPr>
              <w:bidi w:val="0"/>
              <w:rPr>
                <w:color w:val="auto"/>
              </w:rPr>
            </w:pPr>
            <w:r>
              <w:rPr>
                <w:rFonts w:hint="eastAsia"/>
                <w:color w:val="auto"/>
                <w:lang w:val="en-US" w:eastAsia="zh-CN"/>
              </w:rPr>
              <w:t>本项目</w:t>
            </w:r>
            <w:r>
              <w:rPr>
                <w:rFonts w:hint="eastAsia"/>
                <w:color w:val="auto"/>
              </w:rPr>
              <w:t>雨污分流，</w:t>
            </w:r>
            <w:r>
              <w:rPr>
                <w:rFonts w:hint="eastAsia"/>
                <w:color w:val="auto"/>
                <w:lang w:val="en-US" w:eastAsia="zh-CN"/>
              </w:rPr>
              <w:t>雨水经雨水管网排入市政雨水管网，综合医疗废水经化粪池+污水处理站处理后由市政污水管道排入山南新区污水处理厂处理。</w:t>
            </w:r>
            <w:r>
              <w:rPr>
                <w:color w:val="auto"/>
              </w:rPr>
              <w:t>。</w:t>
            </w:r>
          </w:p>
          <w:p w14:paraId="282FE9A6">
            <w:pPr>
              <w:bidi w:val="0"/>
              <w:rPr>
                <w:color w:val="auto"/>
              </w:rPr>
            </w:pPr>
            <w:r>
              <w:rPr>
                <w:color w:val="auto"/>
              </w:rPr>
              <w:t>本项目影响地下水、土壤环境的污染源主要为</w:t>
            </w:r>
            <w:r>
              <w:rPr>
                <w:rFonts w:hint="eastAsia"/>
                <w:color w:val="auto"/>
                <w:lang w:val="en-US" w:eastAsia="zh-CN"/>
              </w:rPr>
              <w:t>污水处理站、医废暂存间、</w:t>
            </w:r>
            <w:r>
              <w:rPr>
                <w:color w:val="auto"/>
              </w:rPr>
              <w:t>危废暂存间</w:t>
            </w:r>
            <w:r>
              <w:rPr>
                <w:rFonts w:hint="eastAsia"/>
                <w:color w:val="auto"/>
                <w:lang w:val="en-US" w:eastAsia="zh-CN"/>
              </w:rPr>
              <w:t>防渗层破裂，有害物质泄漏</w:t>
            </w:r>
            <w:r>
              <w:rPr>
                <w:color w:val="auto"/>
              </w:rPr>
              <w:t>渗入地下导致地下水和土壤污染。</w:t>
            </w:r>
          </w:p>
          <w:p w14:paraId="69D803AC">
            <w:pPr>
              <w:numPr>
                <w:ilvl w:val="0"/>
                <w:numId w:val="9"/>
              </w:numPr>
              <w:ind w:firstLine="482"/>
              <w:rPr>
                <w:b/>
                <w:color w:val="auto"/>
              </w:rPr>
            </w:pPr>
            <w:r>
              <w:rPr>
                <w:b/>
                <w:color w:val="auto"/>
              </w:rPr>
              <w:t>污染防治措施</w:t>
            </w:r>
          </w:p>
          <w:p w14:paraId="2D1DFF84">
            <w:pPr>
              <w:bidi w:val="0"/>
              <w:rPr>
                <w:color w:val="auto"/>
              </w:rPr>
            </w:pPr>
            <w:r>
              <w:rPr>
                <w:rFonts w:hint="eastAsia"/>
                <w:color w:val="auto"/>
                <w:lang w:val="en-US" w:eastAsia="zh-CN"/>
              </w:rPr>
              <w:t>地</w:t>
            </w:r>
            <w:r>
              <w:rPr>
                <w:color w:val="auto"/>
              </w:rPr>
              <w:t>下水、土壤污染防治措施坚持</w:t>
            </w:r>
            <w:r>
              <w:rPr>
                <w:rFonts w:hint="eastAsia"/>
                <w:color w:val="auto"/>
                <w:lang w:eastAsia="zh-CN"/>
              </w:rPr>
              <w:t>“</w:t>
            </w:r>
            <w:r>
              <w:rPr>
                <w:color w:val="auto"/>
              </w:rPr>
              <w:t>源头控制、末端防治、污染监控、应急响应相结合</w:t>
            </w:r>
            <w:r>
              <w:rPr>
                <w:rFonts w:hint="eastAsia"/>
                <w:color w:val="auto"/>
                <w:lang w:eastAsia="zh-CN"/>
              </w:rPr>
              <w:t>”</w:t>
            </w:r>
            <w:r>
              <w:rPr>
                <w:color w:val="auto"/>
              </w:rPr>
              <w:t>的原则。主动控制，分区防渗。</w:t>
            </w:r>
          </w:p>
          <w:p w14:paraId="7C07B909">
            <w:pPr>
              <w:ind w:firstLine="482"/>
              <w:rPr>
                <w:b/>
                <w:color w:val="auto"/>
              </w:rPr>
            </w:pPr>
            <w:r>
              <w:rPr>
                <w:rFonts w:hint="eastAsia"/>
                <w:b/>
                <w:color w:val="auto"/>
              </w:rPr>
              <w:t>（1）</w:t>
            </w:r>
            <w:r>
              <w:rPr>
                <w:b/>
                <w:color w:val="auto"/>
              </w:rPr>
              <w:t>源头控制措施</w:t>
            </w:r>
          </w:p>
          <w:p w14:paraId="24286DA7">
            <w:pPr>
              <w:ind w:firstLine="480"/>
              <w:rPr>
                <w:color w:val="auto"/>
              </w:rPr>
            </w:pPr>
            <w:r>
              <w:rPr>
                <w:color w:val="auto"/>
              </w:rPr>
              <w:fldChar w:fldCharType="begin"/>
            </w:r>
            <w:r>
              <w:rPr>
                <w:color w:val="auto"/>
              </w:rPr>
              <w:instrText xml:space="preserve"> = 1 \* GB3 </w:instrText>
            </w:r>
            <w:r>
              <w:rPr>
                <w:color w:val="auto"/>
              </w:rPr>
              <w:fldChar w:fldCharType="separate"/>
            </w:r>
            <w:r>
              <w:rPr>
                <w:color w:val="auto"/>
              </w:rPr>
              <w:t>①</w:t>
            </w:r>
            <w:r>
              <w:rPr>
                <w:color w:val="auto"/>
              </w:rPr>
              <w:fldChar w:fldCharType="end"/>
            </w:r>
            <w:r>
              <w:rPr>
                <w:color w:val="auto"/>
              </w:rPr>
              <w:t>严格按照国家相关规范要求，对液态物料存储设施等采取相应措施，</w:t>
            </w:r>
            <w:r>
              <w:rPr>
                <w:rFonts w:hint="eastAsia"/>
                <w:color w:val="auto"/>
                <w:spacing w:val="3"/>
                <w:sz w:val="24"/>
                <w:szCs w:val="24"/>
                <w:lang w:val="en-US" w:eastAsia="zh-CN"/>
              </w:rPr>
              <w:t>院</w:t>
            </w:r>
            <w:r>
              <w:rPr>
                <w:color w:val="auto"/>
                <w:spacing w:val="2"/>
                <w:sz w:val="24"/>
                <w:szCs w:val="24"/>
              </w:rPr>
              <w:t>区道路硬化，</w:t>
            </w:r>
            <w:r>
              <w:rPr>
                <w:rFonts w:hint="eastAsia"/>
                <w:color w:val="auto"/>
                <w:spacing w:val="2"/>
                <w:sz w:val="24"/>
                <w:szCs w:val="24"/>
                <w:lang w:val="en-US" w:eastAsia="zh-CN"/>
              </w:rPr>
              <w:t>强化</w:t>
            </w:r>
            <w:r>
              <w:rPr>
                <w:color w:val="auto"/>
                <w:spacing w:val="2"/>
                <w:sz w:val="24"/>
                <w:szCs w:val="24"/>
              </w:rPr>
              <w:t>排水管道、</w:t>
            </w:r>
            <w:r>
              <w:rPr>
                <w:rFonts w:hint="eastAsia"/>
                <w:color w:val="auto"/>
                <w:spacing w:val="2"/>
                <w:sz w:val="24"/>
                <w:szCs w:val="24"/>
                <w:lang w:val="en-US" w:eastAsia="zh-CN"/>
              </w:rPr>
              <w:t>污水处理站</w:t>
            </w:r>
            <w:r>
              <w:rPr>
                <w:color w:val="auto"/>
                <w:spacing w:val="2"/>
                <w:sz w:val="24"/>
                <w:szCs w:val="24"/>
              </w:rPr>
              <w:t>的防腐防渗要求，</w:t>
            </w:r>
            <w:r>
              <w:rPr>
                <w:color w:val="auto"/>
              </w:rPr>
              <w:t>以防止和降低污染物的跑、冒、滴、漏，将污染物泄漏的环境风险事故降到最低程度。</w:t>
            </w:r>
          </w:p>
          <w:p w14:paraId="774F87E5">
            <w:pPr>
              <w:ind w:firstLine="480"/>
              <w:rPr>
                <w:color w:val="auto"/>
              </w:rPr>
            </w:pPr>
            <w:r>
              <w:rPr>
                <w:color w:val="auto"/>
              </w:rPr>
              <w:fldChar w:fldCharType="begin"/>
            </w:r>
            <w:r>
              <w:rPr>
                <w:color w:val="auto"/>
              </w:rPr>
              <w:instrText xml:space="preserve"> = 2 \* GB3 </w:instrText>
            </w:r>
            <w:r>
              <w:rPr>
                <w:color w:val="auto"/>
              </w:rPr>
              <w:fldChar w:fldCharType="separate"/>
            </w:r>
            <w:r>
              <w:rPr>
                <w:color w:val="auto"/>
              </w:rPr>
              <w:t>②</w:t>
            </w:r>
            <w:r>
              <w:rPr>
                <w:color w:val="auto"/>
              </w:rPr>
              <w:fldChar w:fldCharType="end"/>
            </w:r>
            <w:r>
              <w:rPr>
                <w:color w:val="auto"/>
              </w:rPr>
              <w:t>对管道内外均采用防腐处理，定期对管道进行检漏，对出现泄漏处的土壤进行换土。</w:t>
            </w:r>
          </w:p>
          <w:p w14:paraId="6A245F64">
            <w:pPr>
              <w:ind w:firstLine="480"/>
              <w:rPr>
                <w:color w:val="auto"/>
              </w:rPr>
            </w:pPr>
            <w:r>
              <w:rPr>
                <w:color w:val="auto"/>
              </w:rPr>
              <w:fldChar w:fldCharType="begin"/>
            </w:r>
            <w:r>
              <w:rPr>
                <w:color w:val="auto"/>
              </w:rPr>
              <w:instrText xml:space="preserve"> = 3 \* GB3 </w:instrText>
            </w:r>
            <w:r>
              <w:rPr>
                <w:color w:val="auto"/>
              </w:rPr>
              <w:fldChar w:fldCharType="separate"/>
            </w:r>
            <w:r>
              <w:rPr>
                <w:color w:val="auto"/>
              </w:rPr>
              <w:t>③</w:t>
            </w:r>
            <w:r>
              <w:rPr>
                <w:color w:val="auto"/>
              </w:rPr>
              <w:fldChar w:fldCharType="end"/>
            </w:r>
            <w:r>
              <w:rPr>
                <w:color w:val="auto"/>
              </w:rPr>
              <w:t>严格固体废物管理，不接触外界降水，使其不产生淋滤液，严防污染物泄漏到地下水中。</w:t>
            </w:r>
          </w:p>
          <w:p w14:paraId="2C01DC9A">
            <w:pPr>
              <w:numPr>
                <w:ilvl w:val="0"/>
                <w:numId w:val="0"/>
              </w:numPr>
              <w:ind w:leftChars="200"/>
              <w:rPr>
                <w:b/>
                <w:color w:val="auto"/>
              </w:rPr>
            </w:pPr>
            <w:r>
              <w:rPr>
                <w:rFonts w:hint="eastAsia"/>
                <w:b/>
                <w:color w:val="auto"/>
                <w:lang w:eastAsia="zh-CN"/>
              </w:rPr>
              <w:t>（</w:t>
            </w:r>
            <w:r>
              <w:rPr>
                <w:rFonts w:hint="eastAsia"/>
                <w:b/>
                <w:color w:val="auto"/>
                <w:lang w:val="en-US" w:eastAsia="zh-CN"/>
              </w:rPr>
              <w:t>2</w:t>
            </w:r>
            <w:r>
              <w:rPr>
                <w:rFonts w:hint="eastAsia"/>
                <w:b/>
                <w:color w:val="auto"/>
                <w:lang w:eastAsia="zh-CN"/>
              </w:rPr>
              <w:t>）</w:t>
            </w:r>
            <w:r>
              <w:rPr>
                <w:b/>
                <w:color w:val="auto"/>
              </w:rPr>
              <w:t>分区防渗措施</w:t>
            </w:r>
          </w:p>
          <w:p w14:paraId="451D8DDC">
            <w:pPr>
              <w:bidi w:val="0"/>
              <w:rPr>
                <w:color w:val="auto"/>
              </w:rPr>
            </w:pPr>
            <w:r>
              <w:rPr>
                <w:color w:val="auto"/>
              </w:rPr>
              <w:t>根据《环境影响评价技术导则地下水环境》（HJ610-2016）表7地下水防渗分区参照表，分区防渗方案如下：</w:t>
            </w:r>
          </w:p>
          <w:p w14:paraId="7FBA51BC">
            <w:pPr>
              <w:pStyle w:val="27"/>
              <w:bidi w:val="0"/>
              <w:rPr>
                <w:rFonts w:hint="eastAsia"/>
                <w:lang w:val="en-US" w:eastAsia="zh-CN"/>
              </w:rPr>
            </w:pPr>
            <w:r>
              <w:t>表4.</w:t>
            </w:r>
            <w:r>
              <w:rPr>
                <w:rFonts w:hint="eastAsia"/>
                <w:lang w:val="en-US" w:eastAsia="zh-CN"/>
              </w:rPr>
              <w:t>25</w:t>
            </w:r>
            <w:r>
              <w:t xml:space="preserve">  污染防渗分区措施</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243"/>
              <w:gridCol w:w="1658"/>
              <w:gridCol w:w="1273"/>
              <w:gridCol w:w="2727"/>
            </w:tblGrid>
            <w:tr w14:paraId="015B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shd w:val="clear" w:color="auto" w:fill="auto"/>
                  <w:vAlign w:val="center"/>
                </w:tcPr>
                <w:p w14:paraId="45529189">
                  <w:pPr>
                    <w:pStyle w:val="32"/>
                    <w:bidi w:val="0"/>
                    <w:rPr>
                      <w:rFonts w:hint="default"/>
                      <w:b/>
                      <w:bCs/>
                      <w:color w:val="auto"/>
                      <w:lang w:val="en-US" w:eastAsia="zh-CN"/>
                    </w:rPr>
                  </w:pPr>
                  <w:r>
                    <w:rPr>
                      <w:b/>
                      <w:bCs/>
                    </w:rPr>
                    <w:t>序号</w:t>
                  </w:r>
                </w:p>
              </w:tc>
              <w:tc>
                <w:tcPr>
                  <w:tcW w:w="3883" w:type="dxa"/>
                  <w:gridSpan w:val="2"/>
                  <w:shd w:val="clear" w:color="auto" w:fill="auto"/>
                  <w:vAlign w:val="center"/>
                </w:tcPr>
                <w:p w14:paraId="076BA1E6">
                  <w:pPr>
                    <w:pStyle w:val="32"/>
                    <w:bidi w:val="0"/>
                    <w:rPr>
                      <w:rFonts w:hint="default"/>
                      <w:b/>
                      <w:bCs/>
                      <w:color w:val="auto"/>
                      <w:lang w:val="en-US" w:eastAsia="zh-CN"/>
                    </w:rPr>
                  </w:pPr>
                  <w:r>
                    <w:rPr>
                      <w:b/>
                      <w:bCs/>
                    </w:rPr>
                    <w:t>防渗区域或部位</w:t>
                  </w:r>
                </w:p>
              </w:tc>
              <w:tc>
                <w:tcPr>
                  <w:tcW w:w="1267" w:type="dxa"/>
                  <w:shd w:val="clear" w:color="auto" w:fill="auto"/>
                  <w:vAlign w:val="center"/>
                </w:tcPr>
                <w:p w14:paraId="08B01E90">
                  <w:pPr>
                    <w:pStyle w:val="32"/>
                    <w:bidi w:val="0"/>
                    <w:rPr>
                      <w:rFonts w:hint="default"/>
                      <w:b/>
                      <w:bCs/>
                      <w:color w:val="auto"/>
                      <w:lang w:val="en-US" w:eastAsia="zh-CN"/>
                    </w:rPr>
                  </w:pPr>
                  <w:r>
                    <w:rPr>
                      <w:b/>
                      <w:bCs/>
                    </w:rPr>
                    <w:t>防渗等级</w:t>
                  </w:r>
                </w:p>
              </w:tc>
              <w:tc>
                <w:tcPr>
                  <w:tcW w:w="2714" w:type="dxa"/>
                  <w:shd w:val="clear" w:color="auto" w:fill="auto"/>
                  <w:vAlign w:val="center"/>
                </w:tcPr>
                <w:p w14:paraId="7A07A9B3">
                  <w:pPr>
                    <w:pStyle w:val="32"/>
                    <w:bidi w:val="0"/>
                    <w:rPr>
                      <w:rFonts w:hint="default"/>
                      <w:b/>
                      <w:bCs/>
                      <w:color w:val="auto"/>
                      <w:lang w:val="en-US" w:eastAsia="zh-CN"/>
                    </w:rPr>
                  </w:pPr>
                  <w:r>
                    <w:rPr>
                      <w:b/>
                      <w:bCs/>
                    </w:rPr>
                    <w:t>防渗要求</w:t>
                  </w:r>
                </w:p>
              </w:tc>
            </w:tr>
            <w:tr w14:paraId="0102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Align w:val="center"/>
                </w:tcPr>
                <w:p w14:paraId="4156D0EE">
                  <w:pPr>
                    <w:pStyle w:val="32"/>
                    <w:bidi w:val="0"/>
                    <w:rPr>
                      <w:rFonts w:hint="default"/>
                      <w:color w:val="auto"/>
                      <w:lang w:val="en-US" w:eastAsia="zh-CN"/>
                    </w:rPr>
                  </w:pPr>
                  <w:r>
                    <w:rPr>
                      <w:rFonts w:hint="eastAsia"/>
                      <w:lang w:val="en-US" w:eastAsia="zh-CN"/>
                    </w:rPr>
                    <w:t>1</w:t>
                  </w:r>
                </w:p>
              </w:tc>
              <w:tc>
                <w:tcPr>
                  <w:tcW w:w="2233" w:type="dxa"/>
                  <w:vAlign w:val="center"/>
                </w:tcPr>
                <w:p w14:paraId="79800D6A">
                  <w:pPr>
                    <w:pStyle w:val="32"/>
                    <w:bidi w:val="0"/>
                    <w:rPr>
                      <w:rFonts w:hint="default"/>
                      <w:color w:val="auto"/>
                      <w:lang w:val="en-US" w:eastAsia="zh-CN"/>
                    </w:rPr>
                  </w:pPr>
                  <w:r>
                    <w:rPr>
                      <w:rFonts w:hint="eastAsia"/>
                      <w:lang w:val="en-US" w:eastAsia="zh-CN"/>
                    </w:rPr>
                    <w:t>污水处理站、危废暂存间、医废暂存间、事故池</w:t>
                  </w:r>
                </w:p>
              </w:tc>
              <w:tc>
                <w:tcPr>
                  <w:tcW w:w="1650" w:type="dxa"/>
                  <w:vAlign w:val="center"/>
                </w:tcPr>
                <w:p w14:paraId="45C3BB26">
                  <w:pPr>
                    <w:pStyle w:val="32"/>
                    <w:bidi w:val="0"/>
                    <w:rPr>
                      <w:rFonts w:hint="default"/>
                      <w:color w:val="auto"/>
                      <w:lang w:val="en-US" w:eastAsia="zh-CN"/>
                    </w:rPr>
                  </w:pPr>
                  <w:r>
                    <w:rPr>
                      <w:rFonts w:hint="eastAsia"/>
                      <w:lang w:val="en-US" w:eastAsia="zh-CN"/>
                    </w:rPr>
                    <w:t>污水处理站池体、地面、裙角</w:t>
                  </w:r>
                </w:p>
              </w:tc>
              <w:tc>
                <w:tcPr>
                  <w:tcW w:w="1267" w:type="dxa"/>
                  <w:vAlign w:val="center"/>
                </w:tcPr>
                <w:p w14:paraId="40B10FF4">
                  <w:pPr>
                    <w:pStyle w:val="32"/>
                    <w:bidi w:val="0"/>
                    <w:rPr>
                      <w:rFonts w:hint="default"/>
                      <w:color w:val="auto"/>
                      <w:lang w:val="en-US" w:eastAsia="zh-CN"/>
                    </w:rPr>
                  </w:pPr>
                  <w:r>
                    <w:rPr>
                      <w:rFonts w:hint="eastAsia"/>
                      <w:lang w:val="en-US" w:eastAsia="zh-CN"/>
                    </w:rPr>
                    <w:t>重点防渗</w:t>
                  </w:r>
                </w:p>
              </w:tc>
              <w:tc>
                <w:tcPr>
                  <w:tcW w:w="2714" w:type="dxa"/>
                  <w:vAlign w:val="center"/>
                </w:tcPr>
                <w:p w14:paraId="30896D61">
                  <w:pPr>
                    <w:pStyle w:val="32"/>
                    <w:bidi w:val="0"/>
                    <w:rPr>
                      <w:rFonts w:hint="default"/>
                      <w:color w:val="auto"/>
                      <w:lang w:val="en-US" w:eastAsia="zh-CN"/>
                    </w:rPr>
                  </w:pPr>
                  <w:r>
                    <w:t>等效黏土防渗层Mb≥</w:t>
                  </w:r>
                  <w:r>
                    <w:rPr>
                      <w:rFonts w:hint="eastAsia"/>
                      <w:lang w:val="en-US" w:eastAsia="zh-CN"/>
                    </w:rPr>
                    <w:t>6.0</w:t>
                  </w:r>
                  <w:r>
                    <w:t>m，K≤1</w:t>
                  </w:r>
                  <w:r>
                    <w:rPr>
                      <w:rFonts w:hint="eastAsia"/>
                    </w:rPr>
                    <w:t>×</w:t>
                  </w:r>
                  <w:r>
                    <w:t>10</w:t>
                  </w:r>
                  <w:r>
                    <w:rPr>
                      <w:vertAlign w:val="superscript"/>
                    </w:rPr>
                    <w:t>-7</w:t>
                  </w:r>
                  <w:r>
                    <w:t>cm/s</w:t>
                  </w:r>
                </w:p>
              </w:tc>
            </w:tr>
            <w:tr w14:paraId="5DFA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Align w:val="center"/>
                </w:tcPr>
                <w:p w14:paraId="58627C09">
                  <w:pPr>
                    <w:pStyle w:val="32"/>
                    <w:bidi w:val="0"/>
                    <w:rPr>
                      <w:rFonts w:hint="default"/>
                      <w:color w:val="auto"/>
                      <w:lang w:val="en-US" w:eastAsia="zh-CN"/>
                    </w:rPr>
                  </w:pPr>
                  <w:r>
                    <w:rPr>
                      <w:rFonts w:hint="eastAsia"/>
                      <w:lang w:val="en-US" w:eastAsia="zh-CN"/>
                    </w:rPr>
                    <w:t>2</w:t>
                  </w:r>
                </w:p>
              </w:tc>
              <w:tc>
                <w:tcPr>
                  <w:tcW w:w="2233" w:type="dxa"/>
                  <w:shd w:val="clear" w:color="auto" w:fill="auto"/>
                  <w:vAlign w:val="center"/>
                </w:tcPr>
                <w:p w14:paraId="7FD11FC5">
                  <w:pPr>
                    <w:pStyle w:val="32"/>
                    <w:bidi w:val="0"/>
                    <w:rPr>
                      <w:rFonts w:hint="default" w:ascii="Times New Roman" w:hAnsi="Times New Roman" w:eastAsia="宋体" w:cs="Times New Roman"/>
                      <w:b w:val="0"/>
                      <w:color w:val="auto"/>
                      <w:kern w:val="2"/>
                      <w:szCs w:val="21"/>
                      <w:lang w:val="en-US" w:eastAsia="zh-CN" w:bidi="ar-SA"/>
                    </w:rPr>
                  </w:pPr>
                  <w:r>
                    <w:rPr>
                      <w:rFonts w:hint="eastAsia" w:cs="Times New Roman"/>
                      <w:b w:val="0"/>
                      <w:color w:val="auto"/>
                      <w:kern w:val="2"/>
                      <w:szCs w:val="21"/>
                      <w:lang w:val="en-US" w:eastAsia="zh-CN" w:bidi="ar-SA"/>
                    </w:rPr>
                    <w:t>门诊、病房等其他区域</w:t>
                  </w:r>
                </w:p>
              </w:tc>
              <w:tc>
                <w:tcPr>
                  <w:tcW w:w="1650" w:type="dxa"/>
                  <w:shd w:val="clear" w:color="auto" w:fill="auto"/>
                  <w:vAlign w:val="center"/>
                </w:tcPr>
                <w:p w14:paraId="3648D92E">
                  <w:pPr>
                    <w:pStyle w:val="32"/>
                    <w:bidi w:val="0"/>
                    <w:rPr>
                      <w:rFonts w:hint="default" w:ascii="Times New Roman" w:hAnsi="Times New Roman" w:eastAsia="宋体" w:cs="Times New Roman"/>
                      <w:b w:val="0"/>
                      <w:color w:val="auto"/>
                      <w:kern w:val="2"/>
                      <w:szCs w:val="21"/>
                      <w:lang w:val="en-US" w:eastAsia="zh-CN" w:bidi="ar-SA"/>
                    </w:rPr>
                  </w:pPr>
                  <w:r>
                    <w:rPr>
                      <w:rFonts w:hint="eastAsia"/>
                      <w:lang w:val="en-US" w:eastAsia="zh-CN"/>
                    </w:rPr>
                    <w:t>地面</w:t>
                  </w:r>
                </w:p>
              </w:tc>
              <w:tc>
                <w:tcPr>
                  <w:tcW w:w="1267" w:type="dxa"/>
                  <w:shd w:val="clear" w:color="auto" w:fill="auto"/>
                  <w:vAlign w:val="center"/>
                </w:tcPr>
                <w:p w14:paraId="2E68AF39">
                  <w:pPr>
                    <w:pStyle w:val="32"/>
                    <w:bidi w:val="0"/>
                    <w:rPr>
                      <w:rFonts w:hint="default" w:ascii="Times New Roman" w:hAnsi="Times New Roman" w:eastAsia="宋体" w:cs="Times New Roman"/>
                      <w:b w:val="0"/>
                      <w:color w:val="auto"/>
                      <w:kern w:val="2"/>
                      <w:szCs w:val="21"/>
                      <w:lang w:val="en-US" w:eastAsia="zh-CN" w:bidi="ar-SA"/>
                    </w:rPr>
                  </w:pPr>
                  <w:r>
                    <w:rPr>
                      <w:rFonts w:hint="eastAsia"/>
                      <w:lang w:val="en-US" w:eastAsia="zh-CN"/>
                    </w:rPr>
                    <w:t>简单防渗</w:t>
                  </w:r>
                </w:p>
              </w:tc>
              <w:tc>
                <w:tcPr>
                  <w:tcW w:w="2714" w:type="dxa"/>
                  <w:shd w:val="clear" w:color="auto" w:fill="auto"/>
                  <w:vAlign w:val="center"/>
                </w:tcPr>
                <w:p w14:paraId="7CDA0729">
                  <w:pPr>
                    <w:pStyle w:val="32"/>
                    <w:bidi w:val="0"/>
                    <w:rPr>
                      <w:rFonts w:hint="default" w:ascii="Times New Roman" w:hAnsi="Times New Roman" w:eastAsia="宋体" w:cs="Times New Roman"/>
                      <w:b w:val="0"/>
                      <w:color w:val="auto"/>
                      <w:kern w:val="2"/>
                      <w:szCs w:val="21"/>
                      <w:lang w:val="en-US" w:eastAsia="zh-CN" w:bidi="ar-SA"/>
                    </w:rPr>
                  </w:pPr>
                  <w:r>
                    <w:rPr>
                      <w:rFonts w:hint="eastAsia"/>
                      <w:lang w:val="en-US" w:eastAsia="zh-CN"/>
                    </w:rPr>
                    <w:t>一般地面硬化</w:t>
                  </w:r>
                </w:p>
              </w:tc>
            </w:tr>
          </w:tbl>
          <w:p w14:paraId="68F9C2BB">
            <w:pPr>
              <w:bidi w:val="0"/>
              <w:rPr>
                <w:b/>
                <w:bCs/>
                <w:color w:val="auto"/>
              </w:rPr>
            </w:pPr>
            <w:r>
              <w:rPr>
                <w:b/>
                <w:bCs/>
                <w:color w:val="auto"/>
              </w:rPr>
              <w:t>3</w:t>
            </w:r>
            <w:r>
              <w:rPr>
                <w:rFonts w:hint="eastAsia"/>
                <w:b/>
                <w:bCs/>
                <w:color w:val="auto"/>
                <w:lang w:eastAsia="zh-CN"/>
              </w:rPr>
              <w:t>）</w:t>
            </w:r>
            <w:r>
              <w:rPr>
                <w:b/>
                <w:bCs/>
                <w:color w:val="auto"/>
              </w:rPr>
              <w:t>日常检查工作</w:t>
            </w:r>
          </w:p>
          <w:p w14:paraId="11C92D91">
            <w:pPr>
              <w:ind w:firstLine="480"/>
              <w:rPr>
                <w:color w:val="auto"/>
              </w:rPr>
            </w:pPr>
            <w:r>
              <w:rPr>
                <w:color w:val="auto"/>
              </w:rPr>
              <w:t>加强地下水污染源的日常管理与维护，尤其是重点防治区域，发现防渗性能有明显下降时应及时补修。</w:t>
            </w:r>
            <w:r>
              <w:rPr>
                <w:rFonts w:hint="eastAsia"/>
                <w:color w:val="auto"/>
                <w:lang w:val="en-US" w:eastAsia="zh-CN"/>
              </w:rPr>
              <w:t>医废、</w:t>
            </w:r>
            <w:r>
              <w:rPr>
                <w:rFonts w:hint="eastAsia"/>
                <w:color w:val="auto"/>
              </w:rPr>
              <w:t>危废妥善暂存于规范</w:t>
            </w:r>
            <w:r>
              <w:rPr>
                <w:rFonts w:hint="eastAsia"/>
                <w:color w:val="auto"/>
                <w:lang w:val="en-US" w:eastAsia="zh-CN"/>
              </w:rPr>
              <w:t>医废暂存间、</w:t>
            </w:r>
            <w:r>
              <w:rPr>
                <w:rFonts w:hint="eastAsia"/>
                <w:color w:val="auto"/>
              </w:rPr>
              <w:t>危废暂存间内，做好台账记录</w:t>
            </w:r>
            <w:r>
              <w:rPr>
                <w:color w:val="auto"/>
              </w:rPr>
              <w:t>。建设项目强化废物产生、收集、贮运各环节的管理，杜绝固废在</w:t>
            </w:r>
            <w:r>
              <w:rPr>
                <w:rFonts w:hint="eastAsia"/>
                <w:color w:val="auto"/>
                <w:lang w:val="en-US" w:eastAsia="zh-CN"/>
              </w:rPr>
              <w:t>院区</w:t>
            </w:r>
            <w:r>
              <w:rPr>
                <w:color w:val="auto"/>
              </w:rPr>
              <w:t>内的散失、渗漏。</w:t>
            </w:r>
          </w:p>
          <w:p w14:paraId="6174A3CE">
            <w:pPr>
              <w:bidi w:val="0"/>
              <w:rPr>
                <w:color w:val="auto"/>
              </w:rPr>
            </w:pPr>
            <w:r>
              <w:rPr>
                <w:color w:val="auto"/>
              </w:rPr>
              <w:t>采取上述措施后，本项目营运期基本不会对地下水</w:t>
            </w:r>
            <w:r>
              <w:rPr>
                <w:rFonts w:hint="eastAsia"/>
                <w:color w:val="auto"/>
              </w:rPr>
              <w:t>、土壤</w:t>
            </w:r>
            <w:r>
              <w:rPr>
                <w:color w:val="auto"/>
              </w:rPr>
              <w:t>造成污染影响。</w:t>
            </w:r>
          </w:p>
          <w:p w14:paraId="6EA391EB">
            <w:pPr>
              <w:numPr>
                <w:ilvl w:val="0"/>
                <w:numId w:val="10"/>
              </w:numPr>
              <w:bidi w:val="0"/>
              <w:rPr>
                <w:rFonts w:hint="eastAsia"/>
                <w:b/>
                <w:bCs/>
                <w:color w:val="auto"/>
                <w:lang w:val="en-US" w:eastAsia="zh-CN"/>
              </w:rPr>
            </w:pPr>
            <w:r>
              <w:rPr>
                <w:rFonts w:hint="eastAsia"/>
                <w:b/>
                <w:bCs/>
                <w:color w:val="auto"/>
                <w:lang w:val="en-US" w:eastAsia="zh-CN"/>
              </w:rPr>
              <w:t>辐射污染</w:t>
            </w:r>
          </w:p>
          <w:p w14:paraId="3D98805F">
            <w:pPr>
              <w:ind w:firstLine="480"/>
              <w:rPr>
                <w:rFonts w:hint="default"/>
                <w:color w:val="auto"/>
                <w:lang w:val="en-US" w:eastAsia="zh-CN"/>
              </w:rPr>
            </w:pPr>
            <w:r>
              <w:rPr>
                <w:rFonts w:hint="eastAsia"/>
                <w:color w:val="auto"/>
                <w:lang w:val="en-US" w:eastAsia="zh-CN"/>
              </w:rPr>
              <w:t>本院区目前无核磁共振、CT等辐射设备，因此本环评不涉及辐射类环评内容，如后期新增辐射相关设备，应符合国家《医用射线诊断卫生防护标准》(GBZ130-2002)、《电离辐射防护与辐射源安全基本标准》(GB18871-2002)对辐射实践的防护要求。并委托具有资质的单位进行单独的电磁辐射环境影响评价。</w:t>
            </w:r>
          </w:p>
          <w:p w14:paraId="2F5EBF9D">
            <w:pPr>
              <w:bidi w:val="0"/>
              <w:rPr>
                <w:b/>
                <w:bCs/>
              </w:rPr>
            </w:pPr>
            <w:r>
              <w:rPr>
                <w:rFonts w:hint="eastAsia"/>
                <w:b/>
                <w:bCs/>
                <w:lang w:val="en-US" w:eastAsia="zh-CN"/>
              </w:rPr>
              <w:t>七、</w:t>
            </w:r>
            <w:r>
              <w:rPr>
                <w:rFonts w:hint="eastAsia"/>
                <w:b/>
                <w:bCs/>
              </w:rPr>
              <w:t>环</w:t>
            </w:r>
            <w:r>
              <w:rPr>
                <w:b/>
                <w:bCs/>
              </w:rPr>
              <w:t>境风险影响分析</w:t>
            </w:r>
          </w:p>
          <w:p w14:paraId="0F3257D3">
            <w:pPr>
              <w:bidi w:val="0"/>
              <w:rPr>
                <w:b/>
                <w:bCs/>
              </w:rPr>
            </w:pPr>
            <w:r>
              <w:rPr>
                <w:rFonts w:hint="eastAsia"/>
                <w:b/>
                <w:bCs/>
              </w:rPr>
              <w:t>1、建设项目风险调查</w:t>
            </w:r>
          </w:p>
          <w:p w14:paraId="3B1718AE">
            <w:pPr>
              <w:bidi w:val="0"/>
            </w:pPr>
            <w:r>
              <w:rPr>
                <w:rFonts w:hint="eastAsia"/>
              </w:rPr>
              <w:t>根据《建设项目环境风险评价技术导则》（HJ169-2018），</w:t>
            </w:r>
            <w:r>
              <w:t>附录B中表B.1，</w:t>
            </w:r>
            <w:r>
              <w:rPr>
                <w:rFonts w:hint="eastAsia"/>
              </w:rPr>
              <w:t>本</w:t>
            </w:r>
            <w:r>
              <w:t>项目建成后涉及的危险物质主要为</w:t>
            </w:r>
            <w:r>
              <w:rPr>
                <w:rFonts w:hint="eastAsia"/>
                <w:lang w:val="en-US" w:eastAsia="zh-CN"/>
              </w:rPr>
              <w:t>次氯酸钠、废活性炭</w:t>
            </w:r>
            <w:r>
              <w:t>。</w:t>
            </w:r>
          </w:p>
          <w:p w14:paraId="32A9A000">
            <w:pPr>
              <w:bidi w:val="0"/>
            </w:pPr>
            <w:r>
              <w:t>根据《建设项目环境风险评价技术导则》（HJ169-2018）当存在多种危险物质时，则按式（C.1）计算物质总量与其临界量比值（Q）：</w:t>
            </w:r>
          </w:p>
          <w:p w14:paraId="2430B4A7">
            <w:pPr>
              <w:ind w:firstLine="480"/>
              <w:jc w:val="center"/>
              <w:rPr>
                <w:color w:val="auto"/>
              </w:rPr>
            </w:pPr>
            <m:oMath>
              <m:r>
                <m:rPr>
                  <m:sty m:val="p"/>
                </m:rPr>
                <w:rPr>
                  <w:rFonts w:ascii="Cambria Math" w:hAnsi="Cambria Math"/>
                  <w:color w:val="auto"/>
                </w:rPr>
                <m:t>Q=</m:t>
              </m:r>
              <m:f>
                <m:fPr>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q</m:t>
                      </m:r>
                      <m:ctrlPr>
                        <w:rPr>
                          <w:rFonts w:ascii="Cambria Math" w:hAnsi="Cambria Math"/>
                          <w:color w:val="auto"/>
                        </w:rPr>
                      </m:ctrlPr>
                    </m:e>
                    <m:sub>
                      <m:r>
                        <m:rPr>
                          <m:sty m:val="p"/>
                        </m:rPr>
                        <w:rPr>
                          <w:rFonts w:ascii="Cambria Math" w:hAnsi="Cambria Math"/>
                          <w:color w:val="auto"/>
                        </w:rPr>
                        <m:t>1</m:t>
                      </m:r>
                      <m:ctrlPr>
                        <w:rPr>
                          <w:rFonts w:ascii="Cambria Math" w:hAnsi="Cambria Math"/>
                          <w:color w:val="auto"/>
                        </w:rPr>
                      </m:ctrlPr>
                    </m:sub>
                  </m:sSub>
                  <m:ctrlPr>
                    <w:rPr>
                      <w:rFonts w:ascii="Cambria Math" w:hAnsi="Cambria Math"/>
                      <w:color w:val="auto"/>
                    </w:rPr>
                  </m:ctrlPr>
                </m:num>
                <m:den>
                  <m:sSub>
                    <m:sSubPr>
                      <m:ctrlPr>
                        <w:rPr>
                          <w:rFonts w:ascii="Cambria Math" w:hAnsi="Cambria Math"/>
                          <w:color w:val="auto"/>
                        </w:rPr>
                      </m:ctrlPr>
                    </m:sSubPr>
                    <m:e>
                      <m:r>
                        <m:rPr/>
                        <w:rPr>
                          <w:rFonts w:ascii="Cambria Math" w:hAnsi="Cambria Math"/>
                          <w:color w:val="auto"/>
                        </w:rPr>
                        <m:t>Q</m:t>
                      </m:r>
                      <m:ctrlPr>
                        <w:rPr>
                          <w:rFonts w:ascii="Cambria Math" w:hAnsi="Cambria Math"/>
                          <w:color w:val="auto"/>
                        </w:rPr>
                      </m:ctrlPr>
                    </m:e>
                    <m:sub>
                      <m:r>
                        <m:rPr>
                          <m:sty m:val="p"/>
                        </m:rPr>
                        <w:rPr>
                          <w:rFonts w:ascii="Cambria Math" w:hAnsi="Cambria Math"/>
                          <w:color w:val="auto"/>
                        </w:rPr>
                        <m:t>1</m:t>
                      </m:r>
                      <m:ctrlPr>
                        <w:rPr>
                          <w:rFonts w:ascii="Cambria Math" w:hAnsi="Cambria Math"/>
                          <w:color w:val="auto"/>
                        </w:rPr>
                      </m:ctrlPr>
                    </m:sub>
                  </m:sSub>
                  <m:ctrlPr>
                    <w:rPr>
                      <w:rFonts w:ascii="Cambria Math" w:hAnsi="Cambria Math"/>
                      <w:color w:val="auto"/>
                    </w:rPr>
                  </m:ctrlPr>
                </m:den>
              </m:f>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q</m:t>
                      </m:r>
                      <m:ctrlPr>
                        <w:rPr>
                          <w:rFonts w:ascii="Cambria Math" w:hAnsi="Cambria Math"/>
                          <w:color w:val="auto"/>
                        </w:rPr>
                      </m:ctrlPr>
                    </m:e>
                    <m:sub>
                      <m:r>
                        <m:rPr>
                          <m:sty m:val="p"/>
                        </m:rPr>
                        <w:rPr>
                          <w:rFonts w:ascii="Cambria Math" w:hAnsi="Cambria Math"/>
                          <w:color w:val="auto"/>
                        </w:rPr>
                        <m:t>2</m:t>
                      </m:r>
                      <m:ctrlPr>
                        <w:rPr>
                          <w:rFonts w:ascii="Cambria Math" w:hAnsi="Cambria Math"/>
                          <w:color w:val="auto"/>
                        </w:rPr>
                      </m:ctrlPr>
                    </m:sub>
                  </m:sSub>
                  <m:ctrlPr>
                    <w:rPr>
                      <w:rFonts w:ascii="Cambria Math" w:hAnsi="Cambria Math"/>
                      <w:color w:val="auto"/>
                    </w:rPr>
                  </m:ctrlPr>
                </m:num>
                <m:den>
                  <m:sSub>
                    <m:sSubPr>
                      <m:ctrlPr>
                        <w:rPr>
                          <w:rFonts w:ascii="Cambria Math" w:hAnsi="Cambria Math"/>
                          <w:color w:val="auto"/>
                        </w:rPr>
                      </m:ctrlPr>
                    </m:sSubPr>
                    <m:e>
                      <m:r>
                        <m:rPr/>
                        <w:rPr>
                          <w:rFonts w:ascii="Cambria Math" w:hAnsi="Cambria Math"/>
                          <w:color w:val="auto"/>
                        </w:rPr>
                        <m:t>Q</m:t>
                      </m:r>
                      <m:ctrlPr>
                        <w:rPr>
                          <w:rFonts w:ascii="Cambria Math" w:hAnsi="Cambria Math"/>
                          <w:color w:val="auto"/>
                        </w:rPr>
                      </m:ctrlPr>
                    </m:e>
                    <m:sub>
                      <m:r>
                        <m:rPr>
                          <m:sty m:val="p"/>
                        </m:rPr>
                        <w:rPr>
                          <w:rFonts w:ascii="Cambria Math" w:hAnsi="Cambria Math"/>
                          <w:color w:val="auto"/>
                        </w:rPr>
                        <m:t>2</m:t>
                      </m:r>
                      <m:ctrlPr>
                        <w:rPr>
                          <w:rFonts w:ascii="Cambria Math" w:hAnsi="Cambria Math"/>
                          <w:color w:val="auto"/>
                        </w:rPr>
                      </m:ctrlPr>
                    </m:sub>
                  </m:sSub>
                  <m:ctrlPr>
                    <w:rPr>
                      <w:rFonts w:ascii="Cambria Math" w:hAnsi="Cambria Math"/>
                      <w:color w:val="auto"/>
                    </w:rPr>
                  </m:ctrlPr>
                </m:den>
              </m:f>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q</m:t>
                      </m:r>
                      <m:ctrlPr>
                        <w:rPr>
                          <w:rFonts w:ascii="Cambria Math" w:hAnsi="Cambria Math"/>
                          <w:color w:val="auto"/>
                        </w:rPr>
                      </m:ctrlPr>
                    </m:e>
                    <m:sub>
                      <m:r>
                        <m:rPr/>
                        <w:rPr>
                          <w:rFonts w:ascii="Cambria Math" w:hAnsi="Cambria Math"/>
                          <w:color w:val="auto"/>
                        </w:rPr>
                        <m:t>n</m:t>
                      </m:r>
                      <m:ctrlPr>
                        <w:rPr>
                          <w:rFonts w:ascii="Cambria Math" w:hAnsi="Cambria Math"/>
                          <w:color w:val="auto"/>
                        </w:rPr>
                      </m:ctrlPr>
                    </m:sub>
                  </m:sSub>
                  <m:ctrlPr>
                    <w:rPr>
                      <w:rFonts w:ascii="Cambria Math" w:hAnsi="Cambria Math"/>
                      <w:color w:val="auto"/>
                    </w:rPr>
                  </m:ctrlPr>
                </m:num>
                <m:den>
                  <m:sSub>
                    <m:sSubPr>
                      <m:ctrlPr>
                        <w:rPr>
                          <w:rFonts w:ascii="Cambria Math" w:hAnsi="Cambria Math"/>
                          <w:color w:val="auto"/>
                        </w:rPr>
                      </m:ctrlPr>
                    </m:sSubPr>
                    <m:e>
                      <m:r>
                        <m:rPr/>
                        <w:rPr>
                          <w:rFonts w:ascii="Cambria Math" w:hAnsi="Cambria Math"/>
                          <w:color w:val="auto"/>
                        </w:rPr>
                        <m:t>Q</m:t>
                      </m:r>
                      <m:ctrlPr>
                        <w:rPr>
                          <w:rFonts w:ascii="Cambria Math" w:hAnsi="Cambria Math"/>
                          <w:color w:val="auto"/>
                        </w:rPr>
                      </m:ctrlPr>
                    </m:e>
                    <m:sub>
                      <m:r>
                        <m:rPr/>
                        <w:rPr>
                          <w:rFonts w:ascii="Cambria Math" w:hAnsi="Cambria Math"/>
                          <w:color w:val="auto"/>
                        </w:rPr>
                        <m:t>n</m:t>
                      </m:r>
                      <m:ctrlPr>
                        <w:rPr>
                          <w:rFonts w:ascii="Cambria Math" w:hAnsi="Cambria Math"/>
                          <w:color w:val="auto"/>
                        </w:rPr>
                      </m:ctrlPr>
                    </m:sub>
                  </m:sSub>
                  <m:ctrlPr>
                    <w:rPr>
                      <w:rFonts w:ascii="Cambria Math" w:hAnsi="Cambria Math"/>
                      <w:color w:val="auto"/>
                    </w:rPr>
                  </m:ctrlPr>
                </m:den>
              </m:f>
            </m:oMath>
            <w:r>
              <w:rPr>
                <w:rFonts w:hint="eastAsia" w:hAnsi="Cambria Math"/>
                <w:color w:val="auto"/>
              </w:rPr>
              <w:t>1</w:t>
            </w:r>
          </w:p>
          <w:p w14:paraId="3A46AC56">
            <w:pPr>
              <w:ind w:firstLine="480"/>
              <w:rPr>
                <w:snapToGrid w:val="0"/>
                <w:color w:val="auto"/>
                <w:kern w:val="0"/>
              </w:rPr>
            </w:pPr>
            <w:r>
              <w:rPr>
                <w:snapToGrid w:val="0"/>
                <w:color w:val="auto"/>
                <w:kern w:val="0"/>
              </w:rPr>
              <w:t>式中：q</w:t>
            </w:r>
            <w:r>
              <w:rPr>
                <w:snapToGrid w:val="0"/>
                <w:color w:val="auto"/>
                <w:kern w:val="0"/>
                <w:vertAlign w:val="subscript"/>
              </w:rPr>
              <w:t>1</w:t>
            </w:r>
            <w:r>
              <w:rPr>
                <w:snapToGrid w:val="0"/>
                <w:color w:val="auto"/>
                <w:kern w:val="0"/>
              </w:rPr>
              <w:t>，q</w:t>
            </w:r>
            <w:r>
              <w:rPr>
                <w:snapToGrid w:val="0"/>
                <w:color w:val="auto"/>
                <w:kern w:val="0"/>
                <w:vertAlign w:val="subscript"/>
              </w:rPr>
              <w:t>2</w:t>
            </w:r>
            <w:r>
              <w:rPr>
                <w:snapToGrid w:val="0"/>
                <w:color w:val="auto"/>
                <w:kern w:val="0"/>
              </w:rPr>
              <w:t>…q</w:t>
            </w:r>
            <w:r>
              <w:rPr>
                <w:snapToGrid w:val="0"/>
                <w:color w:val="auto"/>
                <w:kern w:val="0"/>
                <w:vertAlign w:val="subscript"/>
              </w:rPr>
              <w:t>n</w:t>
            </w:r>
            <w:r>
              <w:rPr>
                <w:snapToGrid w:val="0"/>
                <w:color w:val="auto"/>
                <w:kern w:val="0"/>
              </w:rPr>
              <w:t>为每种危险物质最大存在总量，t。</w:t>
            </w:r>
          </w:p>
          <w:p w14:paraId="337282CE">
            <w:pPr>
              <w:ind w:firstLine="1200" w:firstLineChars="500"/>
              <w:rPr>
                <w:snapToGrid w:val="0"/>
                <w:color w:val="auto"/>
                <w:kern w:val="0"/>
              </w:rPr>
            </w:pPr>
            <w:r>
              <w:rPr>
                <w:snapToGrid w:val="0"/>
                <w:color w:val="auto"/>
                <w:kern w:val="0"/>
              </w:rPr>
              <w:t>Q</w:t>
            </w:r>
            <w:r>
              <w:rPr>
                <w:snapToGrid w:val="0"/>
                <w:color w:val="auto"/>
                <w:kern w:val="0"/>
                <w:vertAlign w:val="subscript"/>
              </w:rPr>
              <w:t>1</w:t>
            </w:r>
            <w:r>
              <w:rPr>
                <w:snapToGrid w:val="0"/>
                <w:color w:val="auto"/>
                <w:kern w:val="0"/>
              </w:rPr>
              <w:t>，Q</w:t>
            </w:r>
            <w:r>
              <w:rPr>
                <w:snapToGrid w:val="0"/>
                <w:color w:val="auto"/>
                <w:kern w:val="0"/>
                <w:vertAlign w:val="subscript"/>
              </w:rPr>
              <w:t>2</w:t>
            </w:r>
            <w:r>
              <w:rPr>
                <w:snapToGrid w:val="0"/>
                <w:color w:val="auto"/>
                <w:kern w:val="0"/>
              </w:rPr>
              <w:t>…Q</w:t>
            </w:r>
            <w:r>
              <w:rPr>
                <w:snapToGrid w:val="0"/>
                <w:color w:val="auto"/>
                <w:kern w:val="0"/>
                <w:vertAlign w:val="subscript"/>
              </w:rPr>
              <w:t>n</w:t>
            </w:r>
            <w:r>
              <w:rPr>
                <w:snapToGrid w:val="0"/>
                <w:color w:val="auto"/>
                <w:kern w:val="0"/>
              </w:rPr>
              <w:t>为每种危险物质的临界量，t。</w:t>
            </w:r>
          </w:p>
          <w:p w14:paraId="3124D384">
            <w:pPr>
              <w:ind w:firstLine="0" w:firstLineChars="0"/>
              <w:rPr>
                <w:snapToGrid w:val="0"/>
                <w:color w:val="auto"/>
                <w:kern w:val="0"/>
              </w:rPr>
            </w:pPr>
            <w:r>
              <w:rPr>
                <w:snapToGrid w:val="0"/>
                <w:color w:val="auto"/>
                <w:kern w:val="0"/>
              </w:rPr>
              <w:t>当Q＜1时，该项目环境风险潜势为I；</w:t>
            </w:r>
          </w:p>
          <w:p w14:paraId="160B6F4B">
            <w:pPr>
              <w:ind w:firstLine="0" w:firstLineChars="0"/>
              <w:jc w:val="both"/>
              <w:rPr>
                <w:snapToGrid w:val="0"/>
                <w:color w:val="auto"/>
                <w:kern w:val="0"/>
              </w:rPr>
            </w:pPr>
            <w:r>
              <w:rPr>
                <w:snapToGrid w:val="0"/>
                <w:color w:val="auto"/>
                <w:kern w:val="0"/>
              </w:rPr>
              <w:t>当Q≥1时，将Q值划分为：（1）1≤Q＜10；（2）10≤Q＜100；（3）Q≥100。</w:t>
            </w:r>
          </w:p>
          <w:p w14:paraId="63BF3320">
            <w:pPr>
              <w:bidi w:val="0"/>
              <w:rPr>
                <w:rFonts w:hint="eastAsia"/>
                <w:lang w:val="en-US" w:eastAsia="zh-CN"/>
              </w:rPr>
            </w:pPr>
            <w:r>
              <w:rPr>
                <w:rFonts w:hint="eastAsia"/>
                <w:lang w:val="en-US" w:eastAsia="zh-CN"/>
              </w:rPr>
              <w:t>本项目判别情况见下表。</w:t>
            </w:r>
          </w:p>
          <w:p w14:paraId="58CE3A4B">
            <w:pPr>
              <w:pStyle w:val="27"/>
              <w:bidi w:val="0"/>
              <w:rPr>
                <w:rFonts w:hint="default"/>
              </w:rPr>
            </w:pPr>
            <w:r>
              <w:rPr>
                <w:rFonts w:hint="default"/>
              </w:rPr>
              <w:t>表</w:t>
            </w:r>
            <w:r>
              <w:t>4</w:t>
            </w:r>
            <w:r>
              <w:rPr>
                <w:rFonts w:hint="default"/>
              </w:rPr>
              <w:t>-</w:t>
            </w:r>
            <w:r>
              <w:rPr>
                <w:rFonts w:hint="eastAsia"/>
                <w:lang w:val="en-US" w:eastAsia="zh-CN"/>
              </w:rPr>
              <w:t xml:space="preserve">26 </w:t>
            </w:r>
            <w:r>
              <w:rPr>
                <w:rFonts w:hint="default"/>
              </w:rPr>
              <w:t xml:space="preserve"> 危险物质数量与临界量比值（Q）计算结果一览表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50"/>
              <w:gridCol w:w="1453"/>
              <w:gridCol w:w="978"/>
              <w:gridCol w:w="1731"/>
              <w:gridCol w:w="1691"/>
              <w:gridCol w:w="1137"/>
              <w:gridCol w:w="1020"/>
            </w:tblGrid>
            <w:tr w14:paraId="78B8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321" w:type="pct"/>
                  <w:noWrap/>
                  <w:vAlign w:val="center"/>
                </w:tcPr>
                <w:p w14:paraId="06D305B7">
                  <w:pPr>
                    <w:pStyle w:val="32"/>
                    <w:bidi w:val="0"/>
                    <w:rPr>
                      <w:rFonts w:hint="default"/>
                      <w:b/>
                      <w:bCs/>
                      <w:color w:val="auto"/>
                    </w:rPr>
                  </w:pPr>
                  <w:r>
                    <w:rPr>
                      <w:rFonts w:hint="default"/>
                      <w:b/>
                      <w:bCs/>
                    </w:rPr>
                    <w:t>序号</w:t>
                  </w:r>
                </w:p>
              </w:tc>
              <w:tc>
                <w:tcPr>
                  <w:tcW w:w="849" w:type="pct"/>
                  <w:noWrap/>
                  <w:vAlign w:val="center"/>
                </w:tcPr>
                <w:p w14:paraId="5BB9972F">
                  <w:pPr>
                    <w:pStyle w:val="32"/>
                    <w:bidi w:val="0"/>
                    <w:rPr>
                      <w:rFonts w:hint="default"/>
                      <w:b/>
                      <w:bCs/>
                      <w:color w:val="auto"/>
                    </w:rPr>
                  </w:pPr>
                  <w:r>
                    <w:rPr>
                      <w:rFonts w:hint="default"/>
                      <w:b/>
                      <w:bCs/>
                    </w:rPr>
                    <w:t>危险物质名称</w:t>
                  </w:r>
                </w:p>
              </w:tc>
              <w:tc>
                <w:tcPr>
                  <w:tcW w:w="571" w:type="pct"/>
                  <w:noWrap/>
                  <w:vAlign w:val="center"/>
                </w:tcPr>
                <w:p w14:paraId="2D8985E3">
                  <w:pPr>
                    <w:pStyle w:val="32"/>
                    <w:bidi w:val="0"/>
                    <w:rPr>
                      <w:rFonts w:hint="default"/>
                      <w:b/>
                      <w:bCs/>
                      <w:color w:val="auto"/>
                    </w:rPr>
                  </w:pPr>
                  <w:r>
                    <w:rPr>
                      <w:rFonts w:hint="default"/>
                      <w:b/>
                      <w:bCs/>
                    </w:rPr>
                    <w:t>CAS号</w:t>
                  </w:r>
                </w:p>
              </w:tc>
              <w:tc>
                <w:tcPr>
                  <w:tcW w:w="1011" w:type="pct"/>
                  <w:noWrap/>
                  <w:vAlign w:val="center"/>
                </w:tcPr>
                <w:p w14:paraId="352726A7">
                  <w:pPr>
                    <w:pStyle w:val="32"/>
                    <w:bidi w:val="0"/>
                    <w:rPr>
                      <w:rFonts w:hint="default"/>
                      <w:b/>
                      <w:bCs/>
                      <w:color w:val="auto"/>
                    </w:rPr>
                  </w:pPr>
                  <w:r>
                    <w:rPr>
                      <w:rFonts w:hint="default"/>
                      <w:b/>
                      <w:bCs/>
                    </w:rPr>
                    <w:t>储存位置</w:t>
                  </w:r>
                </w:p>
              </w:tc>
              <w:tc>
                <w:tcPr>
                  <w:tcW w:w="988" w:type="pct"/>
                  <w:noWrap/>
                  <w:vAlign w:val="center"/>
                </w:tcPr>
                <w:p w14:paraId="1A7DEB6A">
                  <w:pPr>
                    <w:pStyle w:val="32"/>
                    <w:bidi w:val="0"/>
                    <w:rPr>
                      <w:rFonts w:hint="default"/>
                      <w:b/>
                      <w:bCs/>
                      <w:color w:val="auto"/>
                    </w:rPr>
                  </w:pPr>
                  <w:r>
                    <w:rPr>
                      <w:rFonts w:hint="default"/>
                      <w:b/>
                      <w:bCs/>
                    </w:rPr>
                    <w:t>最大</w:t>
                  </w:r>
                  <w:r>
                    <w:rPr>
                      <w:b/>
                      <w:bCs/>
                    </w:rPr>
                    <w:t>存在总量/t</w:t>
                  </w:r>
                </w:p>
              </w:tc>
              <w:tc>
                <w:tcPr>
                  <w:tcW w:w="663" w:type="pct"/>
                  <w:noWrap/>
                  <w:vAlign w:val="center"/>
                </w:tcPr>
                <w:p w14:paraId="0E29EEDE">
                  <w:pPr>
                    <w:pStyle w:val="32"/>
                    <w:bidi w:val="0"/>
                    <w:rPr>
                      <w:rFonts w:hint="default"/>
                      <w:b/>
                      <w:bCs/>
                      <w:color w:val="auto"/>
                    </w:rPr>
                  </w:pPr>
                  <w:r>
                    <w:rPr>
                      <w:rFonts w:hint="default"/>
                      <w:b/>
                      <w:bCs/>
                    </w:rPr>
                    <w:t>临界量</w:t>
                  </w:r>
                  <w:r>
                    <w:rPr>
                      <w:b/>
                      <w:bCs/>
                    </w:rPr>
                    <w:t>/t</w:t>
                  </w:r>
                </w:p>
              </w:tc>
              <w:tc>
                <w:tcPr>
                  <w:tcW w:w="595" w:type="pct"/>
                  <w:noWrap/>
                  <w:vAlign w:val="center"/>
                </w:tcPr>
                <w:p w14:paraId="6E70820F">
                  <w:pPr>
                    <w:pStyle w:val="32"/>
                    <w:bidi w:val="0"/>
                    <w:rPr>
                      <w:rFonts w:hint="default"/>
                      <w:b/>
                      <w:bCs/>
                      <w:color w:val="auto"/>
                    </w:rPr>
                  </w:pPr>
                  <w:r>
                    <w:rPr>
                      <w:rFonts w:hint="default"/>
                      <w:b/>
                      <w:bCs/>
                    </w:rPr>
                    <w:t>Q</w:t>
                  </w:r>
                  <w:r>
                    <w:rPr>
                      <w:b/>
                      <w:bCs/>
                    </w:rPr>
                    <w:t>值</w:t>
                  </w:r>
                </w:p>
              </w:tc>
            </w:tr>
            <w:tr w14:paraId="1315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321" w:type="pct"/>
                  <w:noWrap/>
                  <w:vAlign w:val="center"/>
                </w:tcPr>
                <w:p w14:paraId="23F76CC0">
                  <w:pPr>
                    <w:pStyle w:val="32"/>
                    <w:bidi w:val="0"/>
                    <w:rPr>
                      <w:rFonts w:hint="default"/>
                      <w:color w:val="auto"/>
                    </w:rPr>
                  </w:pPr>
                  <w:r>
                    <w:rPr>
                      <w:rFonts w:hint="default"/>
                    </w:rPr>
                    <w:t>1</w:t>
                  </w:r>
                </w:p>
              </w:tc>
              <w:tc>
                <w:tcPr>
                  <w:tcW w:w="849" w:type="pct"/>
                  <w:noWrap/>
                  <w:vAlign w:val="center"/>
                </w:tcPr>
                <w:p w14:paraId="5E67C856">
                  <w:pPr>
                    <w:pStyle w:val="32"/>
                    <w:bidi w:val="0"/>
                    <w:rPr>
                      <w:rFonts w:hint="eastAsia" w:eastAsia="宋体"/>
                      <w:color w:val="auto"/>
                      <w:lang w:eastAsia="zh-CN"/>
                    </w:rPr>
                  </w:pPr>
                  <w:r>
                    <w:rPr>
                      <w:rFonts w:hint="eastAsia"/>
                      <w:lang w:val="en-US" w:eastAsia="zh-CN"/>
                    </w:rPr>
                    <w:t>次氯酸钠</w:t>
                  </w:r>
                </w:p>
              </w:tc>
              <w:tc>
                <w:tcPr>
                  <w:tcW w:w="571" w:type="pct"/>
                  <w:noWrap/>
                  <w:vAlign w:val="center"/>
                </w:tcPr>
                <w:p w14:paraId="5C03584D">
                  <w:pPr>
                    <w:pStyle w:val="32"/>
                    <w:bidi w:val="0"/>
                    <w:rPr>
                      <w:rFonts w:hint="default" w:eastAsia="宋体"/>
                      <w:color w:val="auto"/>
                      <w:lang w:val="en-US" w:eastAsia="zh-CN"/>
                    </w:rPr>
                  </w:pPr>
                  <w:r>
                    <w:rPr>
                      <w:rFonts w:hint="eastAsia"/>
                      <w:lang w:val="en-US" w:eastAsia="zh-CN"/>
                    </w:rPr>
                    <w:t>7681-52-9</w:t>
                  </w:r>
                </w:p>
              </w:tc>
              <w:tc>
                <w:tcPr>
                  <w:tcW w:w="1011" w:type="pct"/>
                  <w:noWrap/>
                  <w:vAlign w:val="center"/>
                </w:tcPr>
                <w:p w14:paraId="54B27435">
                  <w:pPr>
                    <w:pStyle w:val="32"/>
                    <w:bidi w:val="0"/>
                    <w:rPr>
                      <w:rFonts w:hint="default" w:eastAsia="宋体"/>
                      <w:color w:val="auto"/>
                      <w:lang w:val="en-US" w:eastAsia="zh-CN"/>
                    </w:rPr>
                  </w:pPr>
                  <w:r>
                    <w:rPr>
                      <w:rFonts w:hint="eastAsia"/>
                      <w:color w:val="auto"/>
                      <w:lang w:val="en-US" w:eastAsia="zh-CN"/>
                    </w:rPr>
                    <w:t>污水站消毒间</w:t>
                  </w:r>
                </w:p>
              </w:tc>
              <w:tc>
                <w:tcPr>
                  <w:tcW w:w="988" w:type="pct"/>
                  <w:noWrap/>
                  <w:vAlign w:val="center"/>
                </w:tcPr>
                <w:p w14:paraId="54A1E840">
                  <w:pPr>
                    <w:pStyle w:val="32"/>
                    <w:bidi w:val="0"/>
                    <w:rPr>
                      <w:rFonts w:hint="default" w:eastAsia="宋体"/>
                      <w:color w:val="auto"/>
                      <w:lang w:val="en-US" w:eastAsia="zh-CN"/>
                    </w:rPr>
                  </w:pPr>
                  <w:r>
                    <w:rPr>
                      <w:rFonts w:hint="eastAsia"/>
                      <w:lang w:val="en-US" w:eastAsia="zh-CN"/>
                    </w:rPr>
                    <w:t>0.039</w:t>
                  </w:r>
                </w:p>
              </w:tc>
              <w:tc>
                <w:tcPr>
                  <w:tcW w:w="663" w:type="pct"/>
                  <w:noWrap/>
                  <w:vAlign w:val="center"/>
                </w:tcPr>
                <w:p w14:paraId="5893E1AE">
                  <w:pPr>
                    <w:pStyle w:val="32"/>
                    <w:bidi w:val="0"/>
                    <w:rPr>
                      <w:rFonts w:hint="eastAsia" w:eastAsia="宋体"/>
                      <w:color w:val="auto"/>
                      <w:lang w:eastAsia="zh-CN"/>
                    </w:rPr>
                  </w:pPr>
                  <w:r>
                    <w:rPr>
                      <w:rFonts w:hint="eastAsia"/>
                      <w:lang w:val="en-US" w:eastAsia="zh-CN"/>
                    </w:rPr>
                    <w:t>5</w:t>
                  </w:r>
                </w:p>
              </w:tc>
              <w:tc>
                <w:tcPr>
                  <w:tcW w:w="595" w:type="pct"/>
                  <w:noWrap/>
                  <w:vAlign w:val="center"/>
                </w:tcPr>
                <w:p w14:paraId="0874C434">
                  <w:pPr>
                    <w:pStyle w:val="32"/>
                    <w:bidi w:val="0"/>
                    <w:rPr>
                      <w:rFonts w:hint="default" w:eastAsia="宋体"/>
                      <w:color w:val="auto"/>
                      <w:lang w:val="en-US" w:eastAsia="zh-CN"/>
                    </w:rPr>
                  </w:pPr>
                  <w:r>
                    <w:rPr>
                      <w:rFonts w:hint="eastAsia"/>
                      <w:lang w:val="en-US" w:eastAsia="zh-CN"/>
                    </w:rPr>
                    <w:t>0.0078</w:t>
                  </w:r>
                </w:p>
              </w:tc>
            </w:tr>
            <w:tr w14:paraId="0DB1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321" w:type="pct"/>
                  <w:noWrap/>
                  <w:vAlign w:val="center"/>
                </w:tcPr>
                <w:p w14:paraId="54652B58">
                  <w:pPr>
                    <w:pStyle w:val="32"/>
                    <w:bidi w:val="0"/>
                    <w:rPr>
                      <w:rFonts w:hint="default"/>
                      <w:color w:val="auto"/>
                    </w:rPr>
                  </w:pPr>
                  <w:r>
                    <w:t>2</w:t>
                  </w:r>
                </w:p>
              </w:tc>
              <w:tc>
                <w:tcPr>
                  <w:tcW w:w="849" w:type="pct"/>
                  <w:noWrap/>
                  <w:vAlign w:val="center"/>
                </w:tcPr>
                <w:p w14:paraId="654C42D9">
                  <w:pPr>
                    <w:pStyle w:val="32"/>
                    <w:bidi w:val="0"/>
                    <w:rPr>
                      <w:rFonts w:hint="eastAsia" w:eastAsia="宋体"/>
                      <w:color w:val="auto"/>
                      <w:lang w:eastAsia="zh-CN"/>
                    </w:rPr>
                  </w:pPr>
                  <w:r>
                    <w:rPr>
                      <w:rFonts w:hint="eastAsia"/>
                      <w:lang w:val="en-US" w:eastAsia="zh-CN"/>
                    </w:rPr>
                    <w:t>废活性炭</w:t>
                  </w:r>
                </w:p>
              </w:tc>
              <w:tc>
                <w:tcPr>
                  <w:tcW w:w="571" w:type="pct"/>
                  <w:noWrap/>
                  <w:vAlign w:val="center"/>
                </w:tcPr>
                <w:p w14:paraId="3ED15EED">
                  <w:pPr>
                    <w:pStyle w:val="32"/>
                    <w:bidi w:val="0"/>
                    <w:rPr>
                      <w:rFonts w:hint="default"/>
                      <w:color w:val="auto"/>
                    </w:rPr>
                  </w:pPr>
                  <w:r>
                    <w:t>/</w:t>
                  </w:r>
                </w:p>
              </w:tc>
              <w:tc>
                <w:tcPr>
                  <w:tcW w:w="1011" w:type="pct"/>
                  <w:noWrap/>
                  <w:vAlign w:val="center"/>
                </w:tcPr>
                <w:p w14:paraId="1132BF64">
                  <w:pPr>
                    <w:pStyle w:val="32"/>
                    <w:bidi w:val="0"/>
                    <w:rPr>
                      <w:rFonts w:hint="default" w:eastAsia="宋体"/>
                      <w:color w:val="auto"/>
                      <w:lang w:val="en-US" w:eastAsia="zh-CN"/>
                    </w:rPr>
                  </w:pPr>
                  <w:r>
                    <w:t>危废暂存间</w:t>
                  </w:r>
                </w:p>
              </w:tc>
              <w:tc>
                <w:tcPr>
                  <w:tcW w:w="988" w:type="pct"/>
                  <w:noWrap/>
                  <w:vAlign w:val="center"/>
                </w:tcPr>
                <w:p w14:paraId="17AD3321">
                  <w:pPr>
                    <w:pStyle w:val="32"/>
                    <w:bidi w:val="0"/>
                    <w:rPr>
                      <w:rFonts w:hint="default" w:eastAsia="宋体"/>
                      <w:color w:val="auto"/>
                      <w:lang w:val="en-US" w:eastAsia="zh-CN"/>
                    </w:rPr>
                  </w:pPr>
                  <w:r>
                    <w:rPr>
                      <w:rFonts w:hint="eastAsia"/>
                      <w:lang w:val="en-US" w:eastAsia="zh-CN"/>
                    </w:rPr>
                    <w:t>0.0450</w:t>
                  </w:r>
                </w:p>
              </w:tc>
              <w:tc>
                <w:tcPr>
                  <w:tcW w:w="663" w:type="pct"/>
                  <w:noWrap/>
                  <w:vAlign w:val="center"/>
                </w:tcPr>
                <w:p w14:paraId="5ADE9DE5">
                  <w:pPr>
                    <w:pStyle w:val="32"/>
                    <w:bidi w:val="0"/>
                    <w:rPr>
                      <w:rFonts w:hint="default" w:eastAsia="宋体"/>
                      <w:color w:val="auto"/>
                      <w:lang w:val="en-US" w:eastAsia="zh-CN"/>
                    </w:rPr>
                  </w:pPr>
                  <w:r>
                    <w:rPr>
                      <w:rFonts w:hint="eastAsia"/>
                      <w:lang w:val="en-US" w:eastAsia="zh-CN"/>
                    </w:rPr>
                    <w:t>50</w:t>
                  </w:r>
                </w:p>
              </w:tc>
              <w:tc>
                <w:tcPr>
                  <w:tcW w:w="595" w:type="pct"/>
                  <w:noWrap/>
                  <w:vAlign w:val="center"/>
                </w:tcPr>
                <w:p w14:paraId="2928E750">
                  <w:pPr>
                    <w:pStyle w:val="32"/>
                    <w:bidi w:val="0"/>
                    <w:rPr>
                      <w:rFonts w:hint="default" w:eastAsia="宋体"/>
                      <w:color w:val="auto"/>
                      <w:lang w:val="en-US" w:eastAsia="zh-CN"/>
                    </w:rPr>
                  </w:pPr>
                  <w:r>
                    <w:rPr>
                      <w:rFonts w:hint="eastAsia"/>
                      <w:lang w:val="en-US" w:eastAsia="zh-CN"/>
                    </w:rPr>
                    <w:t>0.0009</w:t>
                  </w:r>
                </w:p>
              </w:tc>
            </w:tr>
            <w:tr w14:paraId="4D11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4404" w:type="pct"/>
                  <w:gridSpan w:val="6"/>
                  <w:noWrap/>
                  <w:vAlign w:val="center"/>
                </w:tcPr>
                <w:p w14:paraId="3BADA36A">
                  <w:pPr>
                    <w:pStyle w:val="32"/>
                    <w:bidi w:val="0"/>
                    <w:rPr>
                      <w:rFonts w:hint="default"/>
                      <w:color w:val="auto"/>
                    </w:rPr>
                  </w:pPr>
                  <w:r>
                    <w:rPr>
                      <w:rFonts w:hint="default"/>
                    </w:rPr>
                    <w:t>合计</w:t>
                  </w:r>
                </w:p>
              </w:tc>
              <w:tc>
                <w:tcPr>
                  <w:tcW w:w="595" w:type="pct"/>
                  <w:noWrap/>
                  <w:vAlign w:val="center"/>
                </w:tcPr>
                <w:p w14:paraId="30609B82">
                  <w:pPr>
                    <w:pStyle w:val="32"/>
                    <w:bidi w:val="0"/>
                    <w:rPr>
                      <w:rFonts w:hint="default" w:eastAsia="宋体"/>
                      <w:color w:val="auto"/>
                      <w:lang w:val="en-US" w:eastAsia="zh-CN"/>
                    </w:rPr>
                  </w:pPr>
                  <w:r>
                    <w:rPr>
                      <w:rFonts w:hint="eastAsia"/>
                      <w:lang w:val="en-US" w:eastAsia="zh-CN"/>
                    </w:rPr>
                    <w:t>0.0087</w:t>
                  </w:r>
                </w:p>
              </w:tc>
            </w:tr>
            <w:tr w14:paraId="041B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000" w:type="pct"/>
                  <w:gridSpan w:val="7"/>
                  <w:noWrap/>
                  <w:vAlign w:val="center"/>
                </w:tcPr>
                <w:p w14:paraId="0BCCFA71">
                  <w:pPr>
                    <w:pStyle w:val="32"/>
                    <w:bidi w:val="0"/>
                    <w:jc w:val="left"/>
                    <w:rPr>
                      <w:rFonts w:hint="eastAsia"/>
                      <w:b/>
                      <w:bCs/>
                      <w:sz w:val="18"/>
                      <w:szCs w:val="21"/>
                      <w:lang w:val="en-US" w:eastAsia="zh-CN"/>
                    </w:rPr>
                  </w:pPr>
                  <w:r>
                    <w:rPr>
                      <w:rFonts w:hint="eastAsia"/>
                      <w:b/>
                      <w:bCs/>
                      <w:sz w:val="18"/>
                      <w:szCs w:val="21"/>
                      <w:lang w:val="en-US" w:eastAsia="zh-CN"/>
                    </w:rPr>
                    <w:t>备注：①项目年使用年使用次氯酸钠（13%）3.6t，最大暂存量为0.3t，含次氯酸钠0.039t。</w:t>
                  </w:r>
                </w:p>
                <w:p w14:paraId="1D21B9C7">
                  <w:pPr>
                    <w:pStyle w:val="32"/>
                    <w:bidi w:val="0"/>
                    <w:jc w:val="left"/>
                    <w:rPr>
                      <w:rFonts w:hint="default"/>
                      <w:color w:val="auto"/>
                      <w:lang w:val="en-US" w:eastAsia="zh-CN"/>
                    </w:rPr>
                  </w:pPr>
                  <w:r>
                    <w:rPr>
                      <w:rFonts w:hint="eastAsia"/>
                      <w:b/>
                      <w:bCs/>
                      <w:sz w:val="18"/>
                      <w:szCs w:val="21"/>
                      <w:lang w:val="en-US" w:eastAsia="zh-CN"/>
                    </w:rPr>
                    <w:t>②</w:t>
                  </w:r>
                  <w:r>
                    <w:rPr>
                      <w:b/>
                      <w:bCs/>
                      <w:sz w:val="18"/>
                      <w:szCs w:val="21"/>
                    </w:rPr>
                    <w:t>废活性炭因吸附</w:t>
                  </w:r>
                  <w:r>
                    <w:rPr>
                      <w:rFonts w:hint="eastAsia"/>
                      <w:b/>
                      <w:bCs/>
                      <w:sz w:val="18"/>
                      <w:szCs w:val="21"/>
                      <w:lang w:val="en-US" w:eastAsia="zh-CN"/>
                    </w:rPr>
                    <w:t>废气</w:t>
                  </w:r>
                  <w:r>
                    <w:rPr>
                      <w:b/>
                      <w:bCs/>
                      <w:sz w:val="18"/>
                      <w:szCs w:val="21"/>
                    </w:rPr>
                    <w:t>，具有一定的毒性，其临界量参照《建设项目环境风险评价技术导则》（HJ169-2018）附录B中表B.2健康危险急性毒性物质（类别2，类别3）临界量50t计算</w:t>
                  </w:r>
                </w:p>
              </w:tc>
            </w:tr>
          </w:tbl>
          <w:p w14:paraId="08132EAC">
            <w:pPr>
              <w:ind w:firstLine="480"/>
              <w:rPr>
                <w:color w:val="auto"/>
              </w:rPr>
            </w:pPr>
            <w:r>
              <w:rPr>
                <w:rFonts w:hint="eastAsia"/>
                <w:color w:val="auto"/>
              </w:rPr>
              <w:t>根据上表可知，Q</w:t>
            </w:r>
            <w:r>
              <w:rPr>
                <w:snapToGrid w:val="0"/>
                <w:color w:val="auto"/>
                <w:kern w:val="0"/>
              </w:rPr>
              <w:t>＜1</w:t>
            </w:r>
            <w:r>
              <w:rPr>
                <w:rFonts w:hint="eastAsia"/>
                <w:color w:val="auto"/>
              </w:rPr>
              <w:t>，环境风险潜势为</w:t>
            </w:r>
            <w:r>
              <w:rPr>
                <w:snapToGrid w:val="0"/>
                <w:color w:val="auto"/>
                <w:kern w:val="0"/>
              </w:rPr>
              <w:t>I</w:t>
            </w:r>
            <w:r>
              <w:rPr>
                <w:rFonts w:hint="eastAsia"/>
                <w:snapToGrid w:val="0"/>
                <w:color w:val="auto"/>
                <w:kern w:val="0"/>
              </w:rPr>
              <w:t>，本项目环境风险评价简单分析即可</w:t>
            </w:r>
            <w:r>
              <w:rPr>
                <w:color w:val="auto"/>
              </w:rPr>
              <w:t>。</w:t>
            </w:r>
          </w:p>
          <w:p w14:paraId="5AF280CC">
            <w:pPr>
              <w:numPr>
                <w:ilvl w:val="0"/>
                <w:numId w:val="0"/>
              </w:numPr>
              <w:ind w:leftChars="200"/>
              <w:rPr>
                <w:rFonts w:hint="eastAsia"/>
                <w:b/>
                <w:bCs/>
                <w:color w:val="auto"/>
                <w:lang w:val="en-US" w:eastAsia="zh-CN"/>
              </w:rPr>
            </w:pPr>
            <w:r>
              <w:rPr>
                <w:rFonts w:hint="eastAsia"/>
                <w:b/>
                <w:bCs/>
                <w:color w:val="auto"/>
                <w:lang w:val="en-US" w:eastAsia="zh-CN"/>
              </w:rPr>
              <w:t>2、可能影响途径</w:t>
            </w:r>
          </w:p>
          <w:p w14:paraId="26E1C013">
            <w:pPr>
              <w:bidi w:val="0"/>
              <w:rPr>
                <w:b/>
                <w:bCs/>
                <w:color w:val="auto"/>
                <w:sz w:val="21"/>
                <w:szCs w:val="21"/>
              </w:rPr>
            </w:pPr>
            <w:r>
              <w:rPr>
                <w:rFonts w:hint="eastAsia"/>
                <w:color w:val="auto"/>
              </w:rPr>
              <w:t>经对本项目组成辨识和分析，项目风险源为污水处理站、危险废物暂存间、</w:t>
            </w:r>
            <w:r>
              <w:rPr>
                <w:rFonts w:hint="eastAsia"/>
                <w:color w:val="auto"/>
                <w:lang w:val="en-US" w:eastAsia="zh-CN"/>
              </w:rPr>
              <w:t>医废暂存间、污水站消毒间</w:t>
            </w:r>
            <w:r>
              <w:rPr>
                <w:rFonts w:hint="eastAsia"/>
                <w:color w:val="auto"/>
              </w:rPr>
              <w:t>。影响环境的途径见下表。</w:t>
            </w:r>
            <w:r>
              <w:rPr>
                <w:color w:val="auto"/>
              </w:rPr>
              <w:t>：</w:t>
            </w:r>
          </w:p>
          <w:p w14:paraId="0974CA88">
            <w:pPr>
              <w:pStyle w:val="27"/>
              <w:bidi w:val="0"/>
            </w:pPr>
            <w:r>
              <w:t>表</w:t>
            </w:r>
            <w:r>
              <w:rPr>
                <w:rFonts w:hint="eastAsia"/>
              </w:rPr>
              <w:t>4</w:t>
            </w:r>
            <w:r>
              <w:t>-</w:t>
            </w:r>
            <w:r>
              <w:rPr>
                <w:rFonts w:hint="eastAsia"/>
                <w:lang w:val="en-US" w:eastAsia="zh-CN"/>
              </w:rPr>
              <w:t xml:space="preserve">27 </w:t>
            </w:r>
            <w:r>
              <w:rPr>
                <w:rFonts w:hint="eastAsia"/>
              </w:rPr>
              <w:t xml:space="preserve"> 本项目环境风险影响途径一览表</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201"/>
              <w:gridCol w:w="1225"/>
              <w:gridCol w:w="1129"/>
              <w:gridCol w:w="1129"/>
              <w:gridCol w:w="2430"/>
              <w:gridCol w:w="1436"/>
            </w:tblGrid>
            <w:tr w14:paraId="6E30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702" w:type="pct"/>
                  <w:vAlign w:val="center"/>
                </w:tcPr>
                <w:p w14:paraId="1C0FA90C">
                  <w:pPr>
                    <w:pStyle w:val="32"/>
                    <w:bidi w:val="0"/>
                    <w:rPr>
                      <w:rFonts w:hint="default"/>
                      <w:b/>
                      <w:bCs/>
                      <w:color w:val="auto"/>
                    </w:rPr>
                  </w:pPr>
                  <w:r>
                    <w:rPr>
                      <w:b/>
                      <w:bCs/>
                    </w:rPr>
                    <w:t>危险单元</w:t>
                  </w:r>
                </w:p>
              </w:tc>
              <w:tc>
                <w:tcPr>
                  <w:tcW w:w="716" w:type="pct"/>
                  <w:vAlign w:val="center"/>
                </w:tcPr>
                <w:p w14:paraId="5F47E3CC">
                  <w:pPr>
                    <w:pStyle w:val="32"/>
                    <w:bidi w:val="0"/>
                    <w:rPr>
                      <w:rFonts w:hint="default"/>
                      <w:b/>
                      <w:bCs/>
                      <w:color w:val="auto"/>
                    </w:rPr>
                  </w:pPr>
                  <w:r>
                    <w:rPr>
                      <w:b/>
                      <w:bCs/>
                    </w:rPr>
                    <w:t>潜在风险源</w:t>
                  </w:r>
                </w:p>
              </w:tc>
              <w:tc>
                <w:tcPr>
                  <w:tcW w:w="660" w:type="pct"/>
                  <w:vAlign w:val="center"/>
                </w:tcPr>
                <w:p w14:paraId="04B4B73D">
                  <w:pPr>
                    <w:pStyle w:val="32"/>
                    <w:bidi w:val="0"/>
                    <w:rPr>
                      <w:rFonts w:hint="default"/>
                      <w:b/>
                      <w:bCs/>
                      <w:color w:val="auto"/>
                    </w:rPr>
                  </w:pPr>
                  <w:r>
                    <w:rPr>
                      <w:b/>
                      <w:bCs/>
                    </w:rPr>
                    <w:t>主要危险物质</w:t>
                  </w:r>
                </w:p>
              </w:tc>
              <w:tc>
                <w:tcPr>
                  <w:tcW w:w="660" w:type="pct"/>
                  <w:vAlign w:val="center"/>
                </w:tcPr>
                <w:p w14:paraId="4593F841">
                  <w:pPr>
                    <w:pStyle w:val="32"/>
                    <w:bidi w:val="0"/>
                    <w:rPr>
                      <w:rFonts w:hint="default"/>
                      <w:b/>
                      <w:bCs/>
                      <w:color w:val="auto"/>
                    </w:rPr>
                  </w:pPr>
                  <w:r>
                    <w:rPr>
                      <w:b/>
                      <w:bCs/>
                    </w:rPr>
                    <w:t>环境风险类型</w:t>
                  </w:r>
                </w:p>
              </w:tc>
              <w:tc>
                <w:tcPr>
                  <w:tcW w:w="1420" w:type="pct"/>
                  <w:vAlign w:val="center"/>
                </w:tcPr>
                <w:p w14:paraId="529796A5">
                  <w:pPr>
                    <w:pStyle w:val="32"/>
                    <w:bidi w:val="0"/>
                    <w:rPr>
                      <w:rFonts w:hint="default"/>
                      <w:b/>
                      <w:bCs/>
                      <w:color w:val="auto"/>
                    </w:rPr>
                  </w:pPr>
                  <w:r>
                    <w:rPr>
                      <w:b/>
                      <w:bCs/>
                    </w:rPr>
                    <w:t>环境影响途径</w:t>
                  </w:r>
                </w:p>
              </w:tc>
              <w:tc>
                <w:tcPr>
                  <w:tcW w:w="839" w:type="pct"/>
                  <w:vAlign w:val="center"/>
                </w:tcPr>
                <w:p w14:paraId="66A96A89">
                  <w:pPr>
                    <w:pStyle w:val="32"/>
                    <w:bidi w:val="0"/>
                    <w:rPr>
                      <w:rFonts w:hint="default"/>
                      <w:b/>
                      <w:bCs/>
                      <w:color w:val="auto"/>
                    </w:rPr>
                  </w:pPr>
                  <w:r>
                    <w:rPr>
                      <w:b/>
                      <w:bCs/>
                    </w:rPr>
                    <w:t>可能受影响的环境敏感目标</w:t>
                  </w:r>
                </w:p>
              </w:tc>
            </w:tr>
            <w:tr w14:paraId="6C1B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702" w:type="pct"/>
                  <w:vAlign w:val="center"/>
                </w:tcPr>
                <w:p w14:paraId="095B3122">
                  <w:pPr>
                    <w:pStyle w:val="32"/>
                    <w:bidi w:val="0"/>
                    <w:rPr>
                      <w:rFonts w:hint="default"/>
                      <w:color w:val="auto"/>
                      <w:lang w:val="en-US"/>
                    </w:rPr>
                  </w:pPr>
                  <w:r>
                    <w:rPr>
                      <w:rFonts w:hint="eastAsia"/>
                      <w:lang w:val="en-US" w:eastAsia="zh-CN"/>
                    </w:rPr>
                    <w:t>医废暂存间</w:t>
                  </w:r>
                </w:p>
              </w:tc>
              <w:tc>
                <w:tcPr>
                  <w:tcW w:w="716" w:type="pct"/>
                  <w:vAlign w:val="center"/>
                </w:tcPr>
                <w:p w14:paraId="5F32DE52">
                  <w:pPr>
                    <w:pStyle w:val="32"/>
                    <w:bidi w:val="0"/>
                    <w:rPr>
                      <w:rFonts w:hint="default"/>
                      <w:color w:val="auto"/>
                      <w:lang w:val="en-US" w:eastAsia="zh-CN"/>
                    </w:rPr>
                  </w:pPr>
                  <w:r>
                    <w:rPr>
                      <w:rFonts w:hint="eastAsia"/>
                      <w:lang w:val="en-US" w:eastAsia="zh-CN"/>
                    </w:rPr>
                    <w:t>医疗废物、污泥、栅渣</w:t>
                  </w:r>
                </w:p>
              </w:tc>
              <w:tc>
                <w:tcPr>
                  <w:tcW w:w="660" w:type="pct"/>
                  <w:vAlign w:val="center"/>
                </w:tcPr>
                <w:p w14:paraId="71C7115C">
                  <w:pPr>
                    <w:pStyle w:val="32"/>
                    <w:bidi w:val="0"/>
                    <w:rPr>
                      <w:rFonts w:hint="default"/>
                      <w:color w:val="auto"/>
                      <w:lang w:val="en-US" w:eastAsia="zh-CN"/>
                    </w:rPr>
                  </w:pPr>
                  <w:r>
                    <w:rPr>
                      <w:rFonts w:hint="eastAsia"/>
                      <w:lang w:val="en-US" w:eastAsia="zh-CN"/>
                    </w:rPr>
                    <w:t>医疗废物、污泥、栅渣</w:t>
                  </w:r>
                </w:p>
              </w:tc>
              <w:tc>
                <w:tcPr>
                  <w:tcW w:w="660" w:type="pct"/>
                  <w:shd w:val="clear" w:color="auto" w:fill="auto"/>
                  <w:vAlign w:val="center"/>
                </w:tcPr>
                <w:p w14:paraId="20B33140">
                  <w:pPr>
                    <w:pStyle w:val="32"/>
                    <w:bidi w:val="0"/>
                    <w:rPr>
                      <w:rFonts w:hint="default" w:ascii="Times New Roman" w:hAnsi="Times New Roman" w:eastAsia="宋体" w:cs="Times New Roman"/>
                      <w:b w:val="0"/>
                      <w:color w:val="auto"/>
                      <w:kern w:val="2"/>
                      <w:szCs w:val="21"/>
                      <w:lang w:val="en-US" w:eastAsia="zh-CN" w:bidi="ar-SA"/>
                    </w:rPr>
                  </w:pPr>
                  <w:r>
                    <w:t>泄</w:t>
                  </w:r>
                  <w:r>
                    <w:rPr>
                      <w:rFonts w:hint="eastAsia"/>
                      <w:lang w:eastAsia="zh-CN"/>
                    </w:rPr>
                    <w:t>漏</w:t>
                  </w:r>
                </w:p>
              </w:tc>
              <w:tc>
                <w:tcPr>
                  <w:tcW w:w="1420" w:type="pct"/>
                  <w:shd w:val="clear" w:color="auto" w:fill="auto"/>
                  <w:vAlign w:val="center"/>
                </w:tcPr>
                <w:p w14:paraId="53C9FCEE">
                  <w:pPr>
                    <w:pStyle w:val="32"/>
                    <w:bidi w:val="0"/>
                    <w:rPr>
                      <w:rFonts w:hint="default" w:ascii="Times New Roman" w:hAnsi="Times New Roman" w:eastAsia="宋体" w:cs="Times New Roman"/>
                      <w:b w:val="0"/>
                      <w:color w:val="auto"/>
                      <w:kern w:val="2"/>
                      <w:szCs w:val="21"/>
                      <w:lang w:val="en-US" w:eastAsia="zh-CN" w:bidi="ar-SA"/>
                    </w:rPr>
                  </w:pPr>
                  <w:r>
                    <w:t>土壤、大气、地下水</w:t>
                  </w:r>
                </w:p>
              </w:tc>
              <w:tc>
                <w:tcPr>
                  <w:tcW w:w="839" w:type="pct"/>
                  <w:shd w:val="clear" w:color="auto" w:fill="auto"/>
                  <w:vAlign w:val="center"/>
                </w:tcPr>
                <w:p w14:paraId="73F451AD">
                  <w:pPr>
                    <w:pStyle w:val="32"/>
                    <w:bidi w:val="0"/>
                    <w:rPr>
                      <w:rFonts w:hint="default" w:ascii="Times New Roman" w:hAnsi="Times New Roman" w:eastAsia="宋体" w:cs="Times New Roman"/>
                      <w:b w:val="0"/>
                      <w:color w:val="auto"/>
                      <w:kern w:val="2"/>
                      <w:szCs w:val="21"/>
                      <w:lang w:val="en-US" w:eastAsia="zh-CN" w:bidi="ar-SA"/>
                    </w:rPr>
                  </w:pPr>
                  <w:r>
                    <w:t>周边居民区</w:t>
                  </w:r>
                </w:p>
              </w:tc>
            </w:tr>
            <w:tr w14:paraId="4CA9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702" w:type="pct"/>
                  <w:vAlign w:val="center"/>
                </w:tcPr>
                <w:p w14:paraId="30E2EAFA">
                  <w:pPr>
                    <w:pStyle w:val="32"/>
                    <w:bidi w:val="0"/>
                    <w:rPr>
                      <w:rFonts w:hint="default"/>
                      <w:lang w:val="en-US" w:eastAsia="zh-CN"/>
                    </w:rPr>
                  </w:pPr>
                  <w:r>
                    <w:rPr>
                      <w:rFonts w:hint="eastAsia"/>
                      <w:lang w:val="en-US" w:eastAsia="zh-CN"/>
                    </w:rPr>
                    <w:t>污水站消毒间</w:t>
                  </w:r>
                </w:p>
              </w:tc>
              <w:tc>
                <w:tcPr>
                  <w:tcW w:w="716" w:type="pct"/>
                  <w:vAlign w:val="center"/>
                </w:tcPr>
                <w:p w14:paraId="34B620DA">
                  <w:pPr>
                    <w:pStyle w:val="32"/>
                    <w:bidi w:val="0"/>
                    <w:rPr>
                      <w:rFonts w:hint="default"/>
                      <w:lang w:val="en-US" w:eastAsia="zh-CN"/>
                    </w:rPr>
                  </w:pPr>
                  <w:r>
                    <w:rPr>
                      <w:rFonts w:hint="eastAsia"/>
                      <w:lang w:val="en-US" w:eastAsia="zh-CN"/>
                    </w:rPr>
                    <w:t>84消毒剂</w:t>
                  </w:r>
                </w:p>
              </w:tc>
              <w:tc>
                <w:tcPr>
                  <w:tcW w:w="660" w:type="pct"/>
                  <w:vAlign w:val="center"/>
                </w:tcPr>
                <w:p w14:paraId="08115DD0">
                  <w:pPr>
                    <w:pStyle w:val="32"/>
                    <w:bidi w:val="0"/>
                    <w:rPr>
                      <w:rFonts w:hint="default"/>
                      <w:lang w:val="en-US" w:eastAsia="zh-CN"/>
                    </w:rPr>
                  </w:pPr>
                  <w:r>
                    <w:rPr>
                      <w:rFonts w:hint="eastAsia"/>
                      <w:lang w:val="en-US" w:eastAsia="zh-CN"/>
                    </w:rPr>
                    <w:t>次氯酸钠</w:t>
                  </w:r>
                </w:p>
              </w:tc>
              <w:tc>
                <w:tcPr>
                  <w:tcW w:w="660" w:type="pct"/>
                  <w:shd w:val="clear" w:color="auto" w:fill="auto"/>
                  <w:vAlign w:val="center"/>
                </w:tcPr>
                <w:p w14:paraId="493DF4D1">
                  <w:pPr>
                    <w:pStyle w:val="32"/>
                    <w:bidi w:val="0"/>
                    <w:rPr>
                      <w:rFonts w:hint="eastAsia" w:eastAsia="宋体"/>
                      <w:lang w:val="en-US" w:eastAsia="zh-CN"/>
                    </w:rPr>
                  </w:pPr>
                  <w:r>
                    <w:rPr>
                      <w:rFonts w:hint="eastAsia"/>
                      <w:lang w:val="en-US" w:eastAsia="zh-CN"/>
                    </w:rPr>
                    <w:t>泄露</w:t>
                  </w:r>
                </w:p>
              </w:tc>
              <w:tc>
                <w:tcPr>
                  <w:tcW w:w="1420" w:type="pct"/>
                  <w:shd w:val="clear" w:color="auto" w:fill="auto"/>
                  <w:vAlign w:val="center"/>
                </w:tcPr>
                <w:p w14:paraId="6B6514D3">
                  <w:pPr>
                    <w:pStyle w:val="32"/>
                    <w:bidi w:val="0"/>
                    <w:ind w:firstLine="0" w:firstLineChars="0"/>
                    <w:rPr>
                      <w:rFonts w:hint="default" w:ascii="Times New Roman" w:hAnsi="Times New Roman" w:eastAsia="宋体" w:cs="Times New Roman"/>
                      <w:b w:val="0"/>
                      <w:color w:val="auto"/>
                      <w:kern w:val="2"/>
                      <w:sz w:val="21"/>
                      <w:szCs w:val="21"/>
                      <w:lang w:val="en-US" w:eastAsia="zh-CN" w:bidi="ar-SA"/>
                    </w:rPr>
                  </w:pPr>
                  <w:r>
                    <w:t>土壤、大气、地下水</w:t>
                  </w:r>
                </w:p>
              </w:tc>
              <w:tc>
                <w:tcPr>
                  <w:tcW w:w="839" w:type="pct"/>
                  <w:shd w:val="clear" w:color="auto" w:fill="auto"/>
                  <w:vAlign w:val="center"/>
                </w:tcPr>
                <w:p w14:paraId="443A1AF9">
                  <w:pPr>
                    <w:pStyle w:val="32"/>
                    <w:bidi w:val="0"/>
                    <w:ind w:firstLine="0" w:firstLineChars="0"/>
                    <w:rPr>
                      <w:rFonts w:hint="default" w:ascii="Times New Roman" w:hAnsi="Times New Roman" w:eastAsia="宋体" w:cs="Times New Roman"/>
                      <w:b w:val="0"/>
                      <w:color w:val="auto"/>
                      <w:kern w:val="2"/>
                      <w:sz w:val="21"/>
                      <w:szCs w:val="21"/>
                      <w:lang w:val="en-US" w:eastAsia="zh-CN" w:bidi="ar-SA"/>
                    </w:rPr>
                  </w:pPr>
                  <w:r>
                    <w:t>周边居民区</w:t>
                  </w:r>
                </w:p>
              </w:tc>
            </w:tr>
            <w:tr w14:paraId="2496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702" w:type="pct"/>
                  <w:vAlign w:val="center"/>
                </w:tcPr>
                <w:p w14:paraId="348D1B9B">
                  <w:pPr>
                    <w:pStyle w:val="32"/>
                    <w:bidi w:val="0"/>
                    <w:rPr>
                      <w:rFonts w:hint="default"/>
                      <w:lang w:val="en-US" w:eastAsia="zh-CN"/>
                    </w:rPr>
                  </w:pPr>
                  <w:r>
                    <w:rPr>
                      <w:rFonts w:hint="eastAsia"/>
                      <w:lang w:val="en-US" w:eastAsia="zh-CN"/>
                    </w:rPr>
                    <w:t>污水处理站</w:t>
                  </w:r>
                </w:p>
              </w:tc>
              <w:tc>
                <w:tcPr>
                  <w:tcW w:w="716" w:type="pct"/>
                  <w:vAlign w:val="center"/>
                </w:tcPr>
                <w:p w14:paraId="47C9BD0C">
                  <w:pPr>
                    <w:pStyle w:val="32"/>
                    <w:bidi w:val="0"/>
                    <w:rPr>
                      <w:rFonts w:hint="default"/>
                      <w:lang w:val="en-US" w:eastAsia="zh-CN"/>
                    </w:rPr>
                  </w:pPr>
                  <w:r>
                    <w:rPr>
                      <w:rFonts w:hint="eastAsia"/>
                      <w:lang w:val="en-US" w:eastAsia="zh-CN"/>
                    </w:rPr>
                    <w:t>医疗废水</w:t>
                  </w:r>
                </w:p>
              </w:tc>
              <w:tc>
                <w:tcPr>
                  <w:tcW w:w="660" w:type="pct"/>
                  <w:vAlign w:val="center"/>
                </w:tcPr>
                <w:p w14:paraId="2F6E7915">
                  <w:pPr>
                    <w:pStyle w:val="32"/>
                    <w:bidi w:val="0"/>
                    <w:rPr>
                      <w:rFonts w:hint="default"/>
                      <w:lang w:val="en-US" w:eastAsia="zh-CN"/>
                    </w:rPr>
                  </w:pPr>
                  <w:r>
                    <w:rPr>
                      <w:rFonts w:hint="eastAsia"/>
                      <w:lang w:val="en-US" w:eastAsia="zh-CN"/>
                    </w:rPr>
                    <w:t>废水</w:t>
                  </w:r>
                </w:p>
              </w:tc>
              <w:tc>
                <w:tcPr>
                  <w:tcW w:w="660" w:type="pct"/>
                  <w:shd w:val="clear" w:color="auto" w:fill="auto"/>
                  <w:vAlign w:val="center"/>
                </w:tcPr>
                <w:p w14:paraId="03F797BC">
                  <w:pPr>
                    <w:pStyle w:val="32"/>
                    <w:bidi w:val="0"/>
                    <w:rPr>
                      <w:rFonts w:hint="default"/>
                      <w:lang w:val="en-US" w:eastAsia="zh-CN"/>
                    </w:rPr>
                  </w:pPr>
                  <w:r>
                    <w:rPr>
                      <w:rFonts w:hint="eastAsia"/>
                      <w:lang w:val="en-US" w:eastAsia="zh-CN"/>
                    </w:rPr>
                    <w:t>泄露、事故排放</w:t>
                  </w:r>
                </w:p>
              </w:tc>
              <w:tc>
                <w:tcPr>
                  <w:tcW w:w="1420" w:type="pct"/>
                  <w:shd w:val="clear" w:color="auto" w:fill="auto"/>
                  <w:vAlign w:val="center"/>
                </w:tcPr>
                <w:p w14:paraId="10E43740">
                  <w:pPr>
                    <w:pStyle w:val="32"/>
                    <w:bidi w:val="0"/>
                    <w:ind w:firstLine="0" w:firstLineChars="0"/>
                    <w:rPr>
                      <w:rFonts w:hint="default" w:ascii="Times New Roman" w:hAnsi="Times New Roman" w:eastAsia="宋体" w:cs="Times New Roman"/>
                      <w:b w:val="0"/>
                      <w:color w:val="auto"/>
                      <w:kern w:val="2"/>
                      <w:sz w:val="21"/>
                      <w:szCs w:val="21"/>
                      <w:lang w:val="en-US" w:eastAsia="zh-CN" w:bidi="ar-SA"/>
                    </w:rPr>
                  </w:pPr>
                  <w:r>
                    <w:t>土壤、大气、地下水</w:t>
                  </w:r>
                </w:p>
              </w:tc>
              <w:tc>
                <w:tcPr>
                  <w:tcW w:w="839" w:type="pct"/>
                  <w:shd w:val="clear" w:color="auto" w:fill="auto"/>
                  <w:vAlign w:val="center"/>
                </w:tcPr>
                <w:p w14:paraId="72CF1030">
                  <w:pPr>
                    <w:pStyle w:val="32"/>
                    <w:bidi w:val="0"/>
                    <w:ind w:firstLine="0" w:firstLineChars="0"/>
                    <w:rPr>
                      <w:rFonts w:hint="default" w:ascii="Times New Roman" w:hAnsi="Times New Roman" w:eastAsia="宋体" w:cs="Times New Roman"/>
                      <w:b w:val="0"/>
                      <w:color w:val="auto"/>
                      <w:kern w:val="2"/>
                      <w:sz w:val="21"/>
                      <w:szCs w:val="21"/>
                      <w:lang w:val="en-US" w:eastAsia="zh-CN" w:bidi="ar-SA"/>
                    </w:rPr>
                  </w:pPr>
                  <w:r>
                    <w:t>周边居民区</w:t>
                  </w:r>
                </w:p>
              </w:tc>
            </w:tr>
            <w:tr w14:paraId="6189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702" w:type="pct"/>
                  <w:vAlign w:val="center"/>
                </w:tcPr>
                <w:p w14:paraId="215D016F">
                  <w:pPr>
                    <w:pStyle w:val="32"/>
                    <w:bidi w:val="0"/>
                    <w:rPr>
                      <w:rFonts w:hint="default"/>
                      <w:color w:val="auto"/>
                    </w:rPr>
                  </w:pPr>
                  <w:r>
                    <w:t>危废暂存间</w:t>
                  </w:r>
                </w:p>
              </w:tc>
              <w:tc>
                <w:tcPr>
                  <w:tcW w:w="716" w:type="pct"/>
                  <w:vAlign w:val="center"/>
                </w:tcPr>
                <w:p w14:paraId="380399A3">
                  <w:pPr>
                    <w:pStyle w:val="32"/>
                    <w:bidi w:val="0"/>
                    <w:rPr>
                      <w:rFonts w:hint="eastAsia" w:eastAsia="宋体"/>
                      <w:color w:val="auto"/>
                      <w:lang w:eastAsia="zh-CN"/>
                    </w:rPr>
                  </w:pPr>
                  <w:r>
                    <w:t>废活性炭</w:t>
                  </w:r>
                </w:p>
              </w:tc>
              <w:tc>
                <w:tcPr>
                  <w:tcW w:w="660" w:type="pct"/>
                  <w:vAlign w:val="center"/>
                </w:tcPr>
                <w:p w14:paraId="35DF3678">
                  <w:pPr>
                    <w:pStyle w:val="32"/>
                    <w:bidi w:val="0"/>
                    <w:rPr>
                      <w:rFonts w:hint="default" w:eastAsia="宋体"/>
                      <w:color w:val="auto"/>
                      <w:lang w:val="en-US" w:eastAsia="zh-CN"/>
                    </w:rPr>
                  </w:pPr>
                  <w:r>
                    <w:rPr>
                      <w:rFonts w:hint="eastAsia"/>
                      <w:lang w:val="en-US" w:eastAsia="zh-CN"/>
                    </w:rPr>
                    <w:t>吸附废气</w:t>
                  </w:r>
                </w:p>
              </w:tc>
              <w:tc>
                <w:tcPr>
                  <w:tcW w:w="660" w:type="pct"/>
                  <w:vAlign w:val="center"/>
                </w:tcPr>
                <w:p w14:paraId="0B14F7B8">
                  <w:pPr>
                    <w:pStyle w:val="32"/>
                    <w:bidi w:val="0"/>
                    <w:rPr>
                      <w:rFonts w:hint="default"/>
                      <w:color w:val="auto"/>
                    </w:rPr>
                  </w:pPr>
                  <w:r>
                    <w:t>泄</w:t>
                  </w:r>
                  <w:r>
                    <w:rPr>
                      <w:rFonts w:hint="eastAsia"/>
                      <w:lang w:eastAsia="zh-CN"/>
                    </w:rPr>
                    <w:t>漏</w:t>
                  </w:r>
                  <w:r>
                    <w:t>、火灾</w:t>
                  </w:r>
                </w:p>
              </w:tc>
              <w:tc>
                <w:tcPr>
                  <w:tcW w:w="1420" w:type="pct"/>
                  <w:vAlign w:val="center"/>
                </w:tcPr>
                <w:p w14:paraId="1A1E6666">
                  <w:pPr>
                    <w:pStyle w:val="32"/>
                    <w:bidi w:val="0"/>
                    <w:rPr>
                      <w:rFonts w:hint="default"/>
                      <w:color w:val="auto"/>
                    </w:rPr>
                  </w:pPr>
                  <w:r>
                    <w:t>土壤、大气、地下水</w:t>
                  </w:r>
                </w:p>
              </w:tc>
              <w:tc>
                <w:tcPr>
                  <w:tcW w:w="839" w:type="pct"/>
                  <w:vAlign w:val="center"/>
                </w:tcPr>
                <w:p w14:paraId="6C08748C">
                  <w:pPr>
                    <w:pStyle w:val="32"/>
                    <w:bidi w:val="0"/>
                    <w:rPr>
                      <w:rFonts w:hint="default"/>
                      <w:color w:val="auto"/>
                    </w:rPr>
                  </w:pPr>
                  <w:r>
                    <w:t>周边居民区</w:t>
                  </w:r>
                </w:p>
              </w:tc>
            </w:tr>
          </w:tbl>
          <w:p w14:paraId="338E6944">
            <w:pPr>
              <w:pStyle w:val="6"/>
              <w:spacing w:before="0" w:after="0" w:line="360" w:lineRule="auto"/>
              <w:ind w:firstLine="482"/>
              <w:rPr>
                <w:snapToGrid w:val="0"/>
                <w:color w:val="auto"/>
                <w:sz w:val="24"/>
                <w:szCs w:val="24"/>
              </w:rPr>
            </w:pPr>
            <w:bookmarkStart w:id="8" w:name="_Toc5589"/>
            <w:r>
              <w:rPr>
                <w:rFonts w:hint="eastAsia"/>
                <w:snapToGrid w:val="0"/>
                <w:color w:val="auto"/>
                <w:sz w:val="24"/>
                <w:szCs w:val="24"/>
              </w:rPr>
              <w:t>3、风险防范措施</w:t>
            </w:r>
            <w:bookmarkEnd w:id="8"/>
          </w:p>
          <w:p w14:paraId="057842D2">
            <w:pPr>
              <w:ind w:firstLine="480"/>
              <w:rPr>
                <w:rFonts w:hint="eastAsia"/>
                <w:b/>
                <w:bCs/>
                <w:color w:val="auto"/>
                <w:kern w:val="0"/>
                <w:lang w:val="en-US" w:eastAsia="zh-CN"/>
              </w:rPr>
            </w:pPr>
            <w:r>
              <w:rPr>
                <w:rFonts w:hint="eastAsia"/>
                <w:b/>
                <w:bCs/>
                <w:color w:val="auto"/>
                <w:kern w:val="0"/>
                <w:lang w:val="en-US" w:eastAsia="zh-CN"/>
              </w:rPr>
              <w:t>1）污水处理站风险防范措施</w:t>
            </w:r>
          </w:p>
          <w:p w14:paraId="13536BCF">
            <w:pPr>
              <w:ind w:firstLine="480"/>
              <w:rPr>
                <w:rFonts w:hint="eastAsia"/>
                <w:color w:val="auto"/>
                <w:kern w:val="0"/>
                <w:lang w:val="en-US" w:eastAsia="zh-CN"/>
              </w:rPr>
            </w:pPr>
            <w:r>
              <w:rPr>
                <w:rFonts w:hint="eastAsia"/>
                <w:color w:val="auto"/>
                <w:kern w:val="0"/>
                <w:lang w:val="en-US" w:eastAsia="zh-CN"/>
              </w:rPr>
              <w:t>①按照对医疗机构的要求，特别是对污水处理设施的要求，制定和完善项目污水处理设施运行维护的管理制度，并严格执行。</w:t>
            </w:r>
          </w:p>
          <w:p w14:paraId="0DF35040">
            <w:pPr>
              <w:ind w:firstLine="480"/>
              <w:rPr>
                <w:rFonts w:hint="eastAsia"/>
                <w:color w:val="auto"/>
                <w:kern w:val="0"/>
                <w:lang w:val="en-US" w:eastAsia="zh-CN"/>
              </w:rPr>
            </w:pPr>
            <w:r>
              <w:rPr>
                <w:rFonts w:hint="eastAsia"/>
                <w:color w:val="auto"/>
                <w:kern w:val="0"/>
                <w:lang w:val="en-US" w:eastAsia="zh-CN"/>
              </w:rPr>
              <w:t>②污水处理设施相关人员和管理人员应当达到以下要求：</w:t>
            </w:r>
          </w:p>
          <w:p w14:paraId="2EC29AA0">
            <w:pPr>
              <w:ind w:firstLine="480"/>
              <w:rPr>
                <w:rFonts w:hint="eastAsia"/>
                <w:color w:val="auto"/>
                <w:kern w:val="0"/>
                <w:lang w:val="en-US" w:eastAsia="zh-CN"/>
              </w:rPr>
            </w:pPr>
            <w:r>
              <w:rPr>
                <w:rFonts w:hint="eastAsia"/>
                <w:color w:val="auto"/>
                <w:kern w:val="0"/>
                <w:lang w:val="en-US" w:eastAsia="zh-CN"/>
              </w:rPr>
              <w:t>a掌握国家相关法律、法规、规章和有关规范性文件的规定，熟悉医院制定的污水处理设施管理的规章制度、工作流程和各项工作要求；</w:t>
            </w:r>
          </w:p>
          <w:p w14:paraId="7382EEC4">
            <w:pPr>
              <w:ind w:firstLine="480"/>
              <w:rPr>
                <w:rFonts w:hint="eastAsia"/>
                <w:color w:val="auto"/>
                <w:kern w:val="0"/>
                <w:lang w:val="en-US" w:eastAsia="zh-CN"/>
              </w:rPr>
            </w:pPr>
            <w:r>
              <w:rPr>
                <w:rFonts w:hint="eastAsia"/>
                <w:color w:val="auto"/>
                <w:kern w:val="0"/>
                <w:lang w:val="en-US" w:eastAsia="zh-CN"/>
              </w:rPr>
              <w:t>b熟悉污水处理设施的工艺流程和操作程序；</w:t>
            </w:r>
          </w:p>
          <w:p w14:paraId="306A0221">
            <w:pPr>
              <w:ind w:firstLine="480"/>
              <w:rPr>
                <w:rFonts w:hint="eastAsia"/>
                <w:color w:val="auto"/>
                <w:kern w:val="0"/>
                <w:lang w:val="en-US" w:eastAsia="zh-CN"/>
              </w:rPr>
            </w:pPr>
            <w:r>
              <w:rPr>
                <w:rFonts w:hint="eastAsia"/>
                <w:color w:val="auto"/>
                <w:kern w:val="0"/>
                <w:lang w:val="en-US" w:eastAsia="zh-CN"/>
              </w:rPr>
              <w:t>c严格按照工艺要求操作；</w:t>
            </w:r>
          </w:p>
          <w:p w14:paraId="0A3DA875">
            <w:pPr>
              <w:ind w:firstLine="480"/>
              <w:rPr>
                <w:rFonts w:hint="eastAsia"/>
                <w:color w:val="auto"/>
                <w:kern w:val="0"/>
                <w:lang w:val="en-US" w:eastAsia="zh-CN"/>
              </w:rPr>
            </w:pPr>
            <w:r>
              <w:rPr>
                <w:rFonts w:hint="eastAsia"/>
                <w:color w:val="auto"/>
                <w:kern w:val="0"/>
                <w:lang w:val="en-US" w:eastAsia="zh-CN"/>
              </w:rPr>
              <w:t>d按照要求进行出水水质监测；</w:t>
            </w:r>
          </w:p>
          <w:p w14:paraId="7F1F6631">
            <w:pPr>
              <w:ind w:firstLine="480"/>
              <w:rPr>
                <w:rFonts w:hint="eastAsia"/>
                <w:color w:val="auto"/>
                <w:kern w:val="0"/>
                <w:lang w:val="en-US" w:eastAsia="zh-CN"/>
              </w:rPr>
            </w:pPr>
            <w:r>
              <w:rPr>
                <w:rFonts w:hint="eastAsia"/>
                <w:color w:val="auto"/>
                <w:kern w:val="0"/>
                <w:lang w:val="en-US" w:eastAsia="zh-CN"/>
              </w:rPr>
              <w:t>e及时清理格栅污物，保证设施的而正常运行；</w:t>
            </w:r>
          </w:p>
          <w:p w14:paraId="309E6E63">
            <w:pPr>
              <w:ind w:firstLine="480"/>
              <w:rPr>
                <w:rFonts w:hint="eastAsia"/>
                <w:color w:val="auto"/>
                <w:kern w:val="0"/>
                <w:lang w:val="en-US" w:eastAsia="zh-CN"/>
              </w:rPr>
            </w:pPr>
            <w:r>
              <w:rPr>
                <w:rFonts w:hint="eastAsia"/>
                <w:color w:val="auto"/>
                <w:kern w:val="0"/>
                <w:lang w:val="en-US" w:eastAsia="zh-CN"/>
              </w:rPr>
              <w:t>f污水处理设施出水进行消毒处理，达标排放。</w:t>
            </w:r>
          </w:p>
          <w:p w14:paraId="502C08C7">
            <w:pPr>
              <w:jc w:val="both"/>
              <w:rPr>
                <w:rFonts w:hint="default"/>
                <w:color w:val="auto"/>
                <w:kern w:val="0"/>
                <w:lang w:val="en-US" w:eastAsia="zh-CN"/>
              </w:rPr>
            </w:pPr>
            <w:r>
              <w:rPr>
                <w:rFonts w:hint="eastAsia"/>
                <w:color w:val="auto"/>
                <w:kern w:val="0"/>
                <w:lang w:val="en-US" w:eastAsia="zh-CN"/>
              </w:rPr>
              <w:t>③设置事故池，</w:t>
            </w:r>
            <w:r>
              <w:rPr>
                <w:rFonts w:hint="eastAsia"/>
                <w:lang w:val="en-US" w:eastAsia="zh-CN"/>
              </w:rPr>
              <w:t>根据</w:t>
            </w:r>
            <w:r>
              <w:rPr>
                <w:rFonts w:hint="eastAsia"/>
              </w:rPr>
              <w:t>《医疗机构污水处理工程技术标准》(GB51459—2024)</w:t>
            </w:r>
            <w:r>
              <w:rPr>
                <w:rFonts w:hint="eastAsia"/>
                <w:lang w:val="en-US" w:eastAsia="zh-CN"/>
              </w:rPr>
              <w:t>9.1.2 2 非传染病医疗机构污水处理工程应急事故池容积不应小于日排放量的30%，本项目废水排放量为87.9762m³/d，应设应急事故池容积为26.4m³。本项目</w:t>
            </w:r>
            <w:r>
              <w:rPr>
                <w:rFonts w:hint="eastAsia"/>
                <w:highlight w:val="none"/>
                <w:lang w:val="en-US" w:eastAsia="zh-CN"/>
              </w:rPr>
              <w:t>拟设置应急事故池30m³，一旦出现事故情况，废水应全部排入应急事故池内，待污水</w:t>
            </w:r>
            <w:r>
              <w:rPr>
                <w:rFonts w:hint="eastAsia"/>
                <w:lang w:val="en-US" w:eastAsia="zh-CN"/>
              </w:rPr>
              <w:t>处理站正常运行后进行处理达标排放。</w:t>
            </w:r>
          </w:p>
          <w:p w14:paraId="4F5061E3">
            <w:pPr>
              <w:ind w:firstLine="480"/>
              <w:rPr>
                <w:rFonts w:hint="eastAsia"/>
                <w:color w:val="auto"/>
                <w:kern w:val="0"/>
                <w:lang w:val="en-US" w:eastAsia="zh-CN"/>
              </w:rPr>
            </w:pPr>
            <w:r>
              <w:rPr>
                <w:rFonts w:hint="eastAsia"/>
                <w:color w:val="auto"/>
                <w:kern w:val="0"/>
                <w:lang w:val="en-US" w:eastAsia="zh-CN"/>
              </w:rPr>
              <w:t>④对工作人员和管理人员进行有关的法律法规标准的培训，进行工艺流程和操作程序的培训，设置双回路电源，保证设施正常运行；严格监督设施运行人员按照国家和地方的要求进行设施的运行；一旦发生污水处理站异常运行导至污水超标，应将污水处理废水排入到事故池内，并在最短时间内对污水处理设施加以维修，确保其正常稳定运行后，再将事故池内废水倒入污水处理站进行处理达标后排放。</w:t>
            </w:r>
          </w:p>
          <w:p w14:paraId="22A62D15">
            <w:pPr>
              <w:numPr>
                <w:ilvl w:val="0"/>
                <w:numId w:val="8"/>
              </w:numPr>
              <w:ind w:left="0" w:leftChars="0" w:firstLine="482" w:firstLineChars="200"/>
              <w:rPr>
                <w:rFonts w:hint="eastAsia"/>
                <w:b/>
                <w:bCs/>
                <w:color w:val="auto"/>
                <w:kern w:val="0"/>
                <w:lang w:val="en-US" w:eastAsia="zh-CN"/>
              </w:rPr>
            </w:pPr>
            <w:r>
              <w:rPr>
                <w:rFonts w:hint="eastAsia"/>
                <w:b/>
                <w:bCs/>
                <w:color w:val="auto"/>
                <w:kern w:val="0"/>
                <w:lang w:val="en-US" w:eastAsia="zh-CN"/>
              </w:rPr>
              <w:t>医疗废物风险防范措施</w:t>
            </w:r>
          </w:p>
          <w:p w14:paraId="041A93C9">
            <w:pPr>
              <w:bidi w:val="0"/>
              <w:rPr>
                <w:rFonts w:hint="eastAsia" w:eastAsia="宋体"/>
                <w:lang w:eastAsia="zh-CN"/>
              </w:rPr>
            </w:pPr>
            <w:r>
              <w:rPr>
                <w:rFonts w:hint="eastAsia"/>
              </w:rPr>
              <w:t>针对医疗废物在收集、储运过程中可能产生的流失、泄露、扩散和意外事故，本项目应当采取的风险防范措施</w:t>
            </w:r>
            <w:r>
              <w:rPr>
                <w:rFonts w:hint="eastAsia"/>
                <w:lang w:eastAsia="zh-CN"/>
              </w:rPr>
              <w:t>：</w:t>
            </w:r>
          </w:p>
          <w:p w14:paraId="7FF1DA46">
            <w:pPr>
              <w:bidi w:val="0"/>
              <w:rPr>
                <w:rFonts w:hint="eastAsia"/>
              </w:rPr>
            </w:pPr>
            <w:r>
              <w:rPr>
                <w:rFonts w:hint="eastAsia"/>
              </w:rPr>
              <w:t>①完善医疗废物管理制度</w:t>
            </w:r>
          </w:p>
          <w:p w14:paraId="392ACF23">
            <w:pPr>
              <w:bidi w:val="0"/>
              <w:rPr>
                <w:rFonts w:hint="eastAsia"/>
              </w:rPr>
            </w:pPr>
            <w:r>
              <w:rPr>
                <w:rFonts w:hint="eastAsia"/>
              </w:rPr>
              <w:t>按照国家对医院的政策要求，特别是对医疗废物的处理处置要求和《医疗废物管理条例》等，制定和完善医疗废物管理制度，制定严格的医疗废物收集、储运的操作程序，防止出现流失、泄露、扩散而导致意外事故的发生。</w:t>
            </w:r>
          </w:p>
          <w:p w14:paraId="20B5C7D2">
            <w:pPr>
              <w:bidi w:val="0"/>
              <w:rPr>
                <w:rFonts w:hint="eastAsia"/>
              </w:rPr>
            </w:pPr>
            <w:r>
              <w:rPr>
                <w:rFonts w:hint="eastAsia"/>
              </w:rPr>
              <w:t>②提高人员素质，进行人员安全防护医疗废物相关工作人员和管理人员</w:t>
            </w:r>
            <w:r>
              <w:rPr>
                <w:rFonts w:hint="eastAsia"/>
                <w:lang w:val="en-US" w:eastAsia="zh-CN"/>
              </w:rPr>
              <w:t>培训且</w:t>
            </w:r>
            <w:r>
              <w:rPr>
                <w:rFonts w:hint="eastAsia"/>
              </w:rPr>
              <w:t>应该达到以下要求:</w:t>
            </w:r>
          </w:p>
          <w:p w14:paraId="25F20F5E">
            <w:pPr>
              <w:bidi w:val="0"/>
              <w:rPr>
                <w:rFonts w:hint="eastAsia"/>
                <w:lang w:eastAsia="zh-CN"/>
              </w:rPr>
            </w:pPr>
            <w:r>
              <w:rPr>
                <w:rFonts w:hint="eastAsia"/>
              </w:rPr>
              <w:t>a 掌握国家相关法律、法规、规章和有关规范性文件的规定，熟悉本机构制定的医疗废物管理的规章制度、工作流程和各项工作要求</w:t>
            </w:r>
            <w:r>
              <w:rPr>
                <w:rFonts w:hint="eastAsia"/>
                <w:lang w:eastAsia="zh-CN"/>
              </w:rPr>
              <w:t>；</w:t>
            </w:r>
          </w:p>
          <w:p w14:paraId="55FAF20D">
            <w:pPr>
              <w:bidi w:val="0"/>
              <w:rPr>
                <w:rFonts w:hint="eastAsia"/>
                <w:lang w:eastAsia="zh-CN"/>
              </w:rPr>
            </w:pPr>
            <w:r>
              <w:rPr>
                <w:rFonts w:hint="eastAsia"/>
              </w:rPr>
              <w:t>b掌握医疗废物分类收集、运输、暂时贮存的正确方法和操作程序</w:t>
            </w:r>
            <w:r>
              <w:rPr>
                <w:rFonts w:hint="eastAsia"/>
                <w:lang w:eastAsia="zh-CN"/>
              </w:rPr>
              <w:t>；</w:t>
            </w:r>
          </w:p>
          <w:p w14:paraId="4F914486">
            <w:pPr>
              <w:bidi w:val="0"/>
              <w:rPr>
                <w:rFonts w:hint="eastAsia" w:eastAsia="宋体"/>
                <w:lang w:eastAsia="zh-CN"/>
              </w:rPr>
            </w:pPr>
            <w:r>
              <w:rPr>
                <w:rFonts w:hint="eastAsia"/>
              </w:rPr>
              <w:t>c掌握医疗废物分类中的安全知识、专业技术、职业卫生安全防护等知识</w:t>
            </w:r>
            <w:r>
              <w:rPr>
                <w:rFonts w:hint="eastAsia"/>
                <w:lang w:eastAsia="zh-CN"/>
              </w:rPr>
              <w:t>；</w:t>
            </w:r>
          </w:p>
          <w:p w14:paraId="7ABC6271">
            <w:pPr>
              <w:bidi w:val="0"/>
              <w:rPr>
                <w:rFonts w:hint="eastAsia" w:eastAsia="宋体"/>
                <w:lang w:eastAsia="zh-CN"/>
              </w:rPr>
            </w:pPr>
            <w:r>
              <w:rPr>
                <w:rFonts w:hint="eastAsia"/>
              </w:rPr>
              <w:t>d掌握在医疗废物分类收集、运送、暂时贮存及处置过程中预防被医疗废物刺伤、擦伤等伤害的措施及发生后的处理措施</w:t>
            </w:r>
            <w:r>
              <w:rPr>
                <w:rFonts w:hint="eastAsia"/>
                <w:lang w:eastAsia="zh-CN"/>
              </w:rPr>
              <w:t>；</w:t>
            </w:r>
          </w:p>
          <w:p w14:paraId="6B801CDA">
            <w:pPr>
              <w:bidi w:val="0"/>
              <w:rPr>
                <w:rFonts w:hint="eastAsia" w:eastAsia="宋体"/>
                <w:lang w:val="en-US" w:eastAsia="zh-CN"/>
              </w:rPr>
            </w:pPr>
            <w:r>
              <w:rPr>
                <w:rFonts w:hint="eastAsia"/>
              </w:rPr>
              <w:t>e掌握发生医疗废物流失、泄露、扩散和意外事故情况是的紧急处理</w:t>
            </w:r>
            <w:r>
              <w:rPr>
                <w:rFonts w:hint="eastAsia"/>
                <w:lang w:val="en-US" w:eastAsia="zh-CN"/>
              </w:rPr>
              <w:t>措施；</w:t>
            </w:r>
          </w:p>
          <w:p w14:paraId="3244B5D5">
            <w:pPr>
              <w:bidi w:val="0"/>
              <w:rPr>
                <w:rFonts w:hint="eastAsia"/>
              </w:rPr>
            </w:pPr>
            <w:r>
              <w:rPr>
                <w:rFonts w:hint="eastAsia"/>
              </w:rPr>
              <w:t>本项目建设单位应当根据接触医疗废物种类及风险大小的不同，采用适宜、有效的职业卫生防护措施，为</w:t>
            </w:r>
            <w:r>
              <w:rPr>
                <w:rFonts w:hint="eastAsia"/>
                <w:lang w:val="en-US" w:eastAsia="zh-CN"/>
              </w:rPr>
              <w:t>院</w:t>
            </w:r>
            <w:r>
              <w:rPr>
                <w:rFonts w:hint="eastAsia"/>
              </w:rPr>
              <w:t>内从事医疗废物分类收集、运送、暂时贮存和处置等工作的人员和管理人员配备必要的防护用品，定期进行健康检查，必要时，对有关人员进行免疫接种，防治其受到健康损害。本项目的工作人员在工作中发生被医疗废物刺伤、擦伤等伤害时，应当采取相应的处理措施，并及时报告</w:t>
            </w:r>
            <w:r>
              <w:rPr>
                <w:rFonts w:hint="eastAsia"/>
                <w:lang w:val="en-US" w:eastAsia="zh-CN"/>
              </w:rPr>
              <w:t>医院</w:t>
            </w:r>
            <w:r>
              <w:rPr>
                <w:rFonts w:hint="eastAsia"/>
              </w:rPr>
              <w:t>相关部门。</w:t>
            </w:r>
          </w:p>
          <w:p w14:paraId="1620E400">
            <w:pPr>
              <w:bidi w:val="0"/>
              <w:rPr>
                <w:rFonts w:hint="eastAsia"/>
              </w:rPr>
            </w:pPr>
            <w:r>
              <w:rPr>
                <w:rFonts w:hint="eastAsia"/>
              </w:rPr>
              <w:t>③建设单位应当采取的措施</w:t>
            </w:r>
          </w:p>
          <w:p w14:paraId="178AB1CE">
            <w:pPr>
              <w:bidi w:val="0"/>
              <w:rPr>
                <w:rFonts w:hint="eastAsia"/>
                <w:lang w:eastAsia="zh-CN"/>
              </w:rPr>
            </w:pPr>
            <w:r>
              <w:rPr>
                <w:rFonts w:hint="eastAsia"/>
              </w:rPr>
              <w:t>a应当使用防渗漏、防抛洒的专用运送工具，按照本单位确定的内部医疗废物运送时间、路线，将医疗废物收集、运送至有资质单位进行处置</w:t>
            </w:r>
            <w:r>
              <w:rPr>
                <w:rFonts w:hint="eastAsia"/>
                <w:lang w:eastAsia="zh-CN"/>
              </w:rPr>
              <w:t>；</w:t>
            </w:r>
          </w:p>
          <w:p w14:paraId="2B43AD11">
            <w:pPr>
              <w:bidi w:val="0"/>
              <w:rPr>
                <w:rFonts w:hint="eastAsia" w:eastAsia="宋体"/>
                <w:lang w:eastAsia="zh-CN"/>
              </w:rPr>
            </w:pPr>
            <w:r>
              <w:rPr>
                <w:rFonts w:hint="eastAsia"/>
              </w:rPr>
              <w:t>b运送工具使用后应当在指定的地点及时消毒和清洁</w:t>
            </w:r>
            <w:r>
              <w:rPr>
                <w:rFonts w:hint="eastAsia"/>
                <w:lang w:eastAsia="zh-CN"/>
              </w:rPr>
              <w:t>；</w:t>
            </w:r>
          </w:p>
          <w:p w14:paraId="5A0E60D4">
            <w:pPr>
              <w:bidi w:val="0"/>
              <w:rPr>
                <w:rFonts w:hint="eastAsia"/>
              </w:rPr>
            </w:pPr>
            <w:r>
              <w:rPr>
                <w:rFonts w:hint="eastAsia"/>
              </w:rPr>
              <w:t>c项目医疗废物中的药物性废物(如过期药品等)和化学性废物(如废弃的消毒剂、废化学试剂等)分类收集、贮存，贴上醒目标签，不得与生活垃圾混合堆放</w:t>
            </w:r>
            <w:r>
              <w:rPr>
                <w:rFonts w:hint="eastAsia"/>
                <w:lang w:eastAsia="zh-CN"/>
              </w:rPr>
              <w:t>；</w:t>
            </w:r>
            <w:r>
              <w:rPr>
                <w:rFonts w:hint="eastAsia"/>
              </w:rPr>
              <w:t>污水处理设施污泥消毒后，用专用容器盛装，贴上醒目标签，并且不得与生活垃圾和医疗废物混合。发生危险废物与生活垃圾混合的现象，应将所有被污染的生活垃圾当作危险废物处理。</w:t>
            </w:r>
          </w:p>
          <w:p w14:paraId="0C4D3014">
            <w:pPr>
              <w:bidi w:val="0"/>
              <w:rPr>
                <w:rFonts w:hint="default"/>
                <w:lang w:val="en-US"/>
              </w:rPr>
            </w:pPr>
            <w:r>
              <w:rPr>
                <w:rFonts w:hint="eastAsia"/>
              </w:rPr>
              <w:t>d按照《医疗废物管理条例》和《医疗卫生机构医疗废物管理办法》的规定，医疗废物在运送过程中发生翻车、</w:t>
            </w:r>
            <w:r>
              <w:rPr>
                <w:rFonts w:hint="eastAsia"/>
                <w:lang w:val="en-US" w:eastAsia="zh-CN"/>
              </w:rPr>
              <w:t>抛洒</w:t>
            </w:r>
            <w:r>
              <w:rPr>
                <w:rFonts w:hint="eastAsia"/>
              </w:rPr>
              <w:t>现象，当事人应立即对</w:t>
            </w:r>
            <w:r>
              <w:rPr>
                <w:rFonts w:hint="eastAsia"/>
                <w:lang w:val="en-US" w:eastAsia="zh-CN"/>
              </w:rPr>
              <w:t>洒落</w:t>
            </w:r>
            <w:r>
              <w:rPr>
                <w:rFonts w:hint="eastAsia"/>
              </w:rPr>
              <w:t>的危险废物迅速进行收集、清理，对被污染的现场地面进行消毒和清洁处理。对于污泥，因污泥含水率高，还需采用生石灰</w:t>
            </w:r>
            <w:r>
              <w:rPr>
                <w:rFonts w:hint="eastAsia"/>
                <w:lang w:val="en-US" w:eastAsia="zh-CN"/>
              </w:rPr>
              <w:t>消毒后使用脱水机</w:t>
            </w:r>
            <w:r>
              <w:rPr>
                <w:rFonts w:hint="eastAsia"/>
              </w:rPr>
              <w:t>进行脱水处理</w:t>
            </w:r>
            <w:r>
              <w:rPr>
                <w:rFonts w:hint="eastAsia"/>
                <w:lang w:eastAsia="zh-CN"/>
              </w:rPr>
              <w:t>；</w:t>
            </w:r>
            <w:r>
              <w:rPr>
                <w:rFonts w:hint="eastAsia"/>
              </w:rPr>
              <w:t>同时，应立即请求公安交通警察在受污染地区设立隔离区，禁止其他车辆和行人穿过，避免污染物扩散和对行人造成伤害。同时在 48h内向主管卫生局、</w:t>
            </w:r>
            <w:r>
              <w:rPr>
                <w:rFonts w:hint="eastAsia"/>
                <w:lang w:val="en-US" w:eastAsia="zh-CN"/>
              </w:rPr>
              <w:t>生态环境主管部门</w:t>
            </w:r>
            <w:r>
              <w:rPr>
                <w:rFonts w:hint="eastAsia"/>
              </w:rPr>
              <w:t>报告，处理工作结束后，业主应当将处理结果向当地主管卫生局</w:t>
            </w:r>
            <w:r>
              <w:rPr>
                <w:rFonts w:hint="eastAsia"/>
                <w:lang w:eastAsia="zh-CN"/>
              </w:rPr>
              <w:t>、</w:t>
            </w:r>
            <w:r>
              <w:rPr>
                <w:rFonts w:hint="eastAsia"/>
                <w:lang w:val="en-US" w:eastAsia="zh-CN"/>
              </w:rPr>
              <w:t>生态环境主管部门报告。</w:t>
            </w:r>
          </w:p>
          <w:p w14:paraId="45F87FC3">
            <w:pPr>
              <w:bidi w:val="0"/>
              <w:rPr>
                <w:rFonts w:hint="default" w:eastAsia="宋体"/>
                <w:b/>
                <w:bCs/>
                <w:lang w:val="en-US" w:eastAsia="zh-CN"/>
              </w:rPr>
            </w:pPr>
            <w:r>
              <w:rPr>
                <w:rFonts w:hint="eastAsia"/>
                <w:b/>
                <w:bCs/>
                <w:lang w:val="en-US" w:eastAsia="zh-CN"/>
              </w:rPr>
              <w:t>3）危险废物风险防范措施</w:t>
            </w:r>
          </w:p>
          <w:p w14:paraId="5B6EFAD8">
            <w:pPr>
              <w:keepNext w:val="0"/>
              <w:keepLines w:val="0"/>
              <w:suppressLineNumbers w:val="0"/>
              <w:bidi w:val="0"/>
              <w:spacing w:before="0" w:beforeAutospacing="0" w:after="0" w:afterAutospacing="0"/>
              <w:ind w:left="0" w:right="0"/>
              <w:rPr>
                <w:rFonts w:hint="default"/>
              </w:rPr>
            </w:pPr>
            <w:r>
              <w:rPr>
                <w:rFonts w:hint="eastAsia"/>
                <w:lang w:val="en-US" w:eastAsia="zh-CN"/>
              </w:rPr>
              <w:t>由工程分析可知，本项目危险废物主要为废活性炭，</w:t>
            </w:r>
            <w:r>
              <w:rPr>
                <w:rFonts w:hint="default"/>
              </w:rPr>
              <w:t>在交由有资质的单位处理处置前，</w:t>
            </w:r>
            <w:r>
              <w:rPr>
                <w:rFonts w:hint="eastAsia"/>
                <w:lang w:val="en-US" w:eastAsia="zh-CN"/>
              </w:rPr>
              <w:t>院内</w:t>
            </w:r>
            <w:r>
              <w:rPr>
                <w:rFonts w:hint="default"/>
              </w:rPr>
              <w:t>必须设置危险废物暂存场所对其进行合理贮存和严格管理，若任意堆放或暂存场所未采取防渗防漏措施或疏于管理，都将造成危险废物中的有毒有害物质进入周边环境，给周边的土壤、生态、水体及空气等环境造成一定的危害。</w:t>
            </w:r>
          </w:p>
          <w:p w14:paraId="3E043E39">
            <w:pPr>
              <w:keepNext w:val="0"/>
              <w:keepLines w:val="0"/>
              <w:suppressLineNumbers w:val="0"/>
              <w:bidi w:val="0"/>
              <w:spacing w:before="0" w:beforeAutospacing="0" w:after="0" w:afterAutospacing="0"/>
              <w:ind w:left="0" w:right="0"/>
              <w:rPr>
                <w:rFonts w:hint="default"/>
              </w:rPr>
            </w:pPr>
            <w:r>
              <w:rPr>
                <w:rFonts w:hint="default"/>
              </w:rPr>
              <w:t>危险废物暂存仓的贮存场所须满足以下要求：</w:t>
            </w:r>
          </w:p>
          <w:p w14:paraId="2C3CA0B6">
            <w:pPr>
              <w:keepNext w:val="0"/>
              <w:keepLines w:val="0"/>
              <w:suppressLineNumbers w:val="0"/>
              <w:spacing w:before="0" w:beforeAutospacing="0" w:after="0" w:afterAutospacing="0"/>
              <w:ind w:left="0" w:right="0" w:firstLine="480"/>
              <w:jc w:val="both"/>
              <w:rPr>
                <w:rFonts w:hint="default"/>
              </w:rPr>
            </w:pPr>
            <w:r>
              <w:rPr>
                <w:rFonts w:hint="eastAsia"/>
              </w:rPr>
              <w:t>①</w:t>
            </w:r>
            <w:r>
              <w:rPr>
                <w:rFonts w:hint="eastAsia"/>
                <w:lang w:val="en-US" w:eastAsia="zh-CN"/>
              </w:rPr>
              <w:t>对新建</w:t>
            </w:r>
            <w:r>
              <w:rPr>
                <w:rFonts w:hint="eastAsia" w:ascii="Times New Roman" w:hAnsi="Times New Roman" w:eastAsia="宋体" w:cs="Times New Roman"/>
                <w:lang w:val="en-US" w:eastAsia="zh-CN"/>
              </w:rPr>
              <w:t>危废暂存库</w:t>
            </w:r>
            <w:r>
              <w:rPr>
                <w:rFonts w:hint="eastAsia" w:ascii="Times New Roman" w:hAnsi="Times New Roman" w:eastAsia="宋体" w:cs="Times New Roman"/>
              </w:rPr>
              <w:t>进行重点防</w:t>
            </w:r>
            <w:r>
              <w:rPr>
                <w:rFonts w:hint="default" w:ascii="Times New Roman" w:hAnsi="Times New Roman" w:eastAsia="宋体" w:cs="Times New Roman"/>
              </w:rPr>
              <w:t>渗，防渗层为2mm</w:t>
            </w:r>
            <w:r>
              <w:rPr>
                <w:rFonts w:hint="eastAsia" w:ascii="Times New Roman" w:hAnsi="Times New Roman" w:eastAsia="宋体" w:cs="Times New Roman"/>
              </w:rPr>
              <w:t>厚的环氧树脂防水涂料，其渗透系数</w:t>
            </w:r>
            <w:r>
              <w:rPr>
                <w:rFonts w:hint="eastAsia" w:ascii="Times New Roman" w:hAnsi="Times New Roman" w:eastAsia="宋体" w:cs="Times New Roman"/>
                <w:lang w:val="en-GB"/>
              </w:rPr>
              <w:t>≤10</w:t>
            </w:r>
            <w:r>
              <w:rPr>
                <w:rFonts w:hint="eastAsia" w:ascii="Times New Roman" w:hAnsi="Times New Roman" w:eastAsia="宋体" w:cs="Times New Roman"/>
                <w:vertAlign w:val="superscript"/>
                <w:lang w:val="en-GB"/>
              </w:rPr>
              <w:t>-10</w:t>
            </w:r>
            <w:r>
              <w:rPr>
                <w:rFonts w:hint="eastAsia" w:ascii="Times New Roman" w:hAnsi="Times New Roman" w:eastAsia="宋体" w:cs="Times New Roman"/>
                <w:lang w:val="en-GB"/>
              </w:rPr>
              <w:t>cm/s</w:t>
            </w:r>
            <w:r>
              <w:rPr>
                <w:rFonts w:hint="eastAsia" w:ascii="Times New Roman" w:hAnsi="Times New Roman" w:eastAsia="宋体" w:cs="Times New Roman"/>
                <w:lang w:val="en-GB" w:eastAsia="zh-CN"/>
              </w:rPr>
              <w:t>，</w:t>
            </w:r>
            <w:r>
              <w:rPr>
                <w:rFonts w:hint="eastAsia"/>
              </w:rPr>
              <w:t>以达到防静电、防尘、防腐、防渗作用，周围设置环形消防通道及消防栓、灭火器等应急器材。</w:t>
            </w:r>
          </w:p>
          <w:p w14:paraId="7F16FE6C">
            <w:pPr>
              <w:keepNext w:val="0"/>
              <w:keepLines w:val="0"/>
              <w:suppressLineNumbers w:val="0"/>
              <w:spacing w:before="0" w:beforeAutospacing="0" w:after="0" w:afterAutospacing="0"/>
              <w:ind w:left="0" w:right="0" w:firstLine="480"/>
              <w:jc w:val="both"/>
              <w:rPr>
                <w:rFonts w:hint="default"/>
              </w:rPr>
            </w:pPr>
            <w:r>
              <w:rPr>
                <w:rFonts w:hint="eastAsia"/>
              </w:rPr>
              <w:t>②必须有泄漏液体收集装置，应设计堵截泄漏的裙脚，地面与裙脚所围建的容积不低于堵截最大容器的最大储量或总储存量的</w:t>
            </w:r>
            <w:r>
              <w:rPr>
                <w:rFonts w:hint="default"/>
              </w:rPr>
              <w:t>1/5</w:t>
            </w:r>
            <w:r>
              <w:rPr>
                <w:rFonts w:hint="eastAsia"/>
              </w:rPr>
              <w:t>；地面与裙脚要用坚固、防渗的材料建造，建筑材料必须与危险废物相容。</w:t>
            </w:r>
          </w:p>
          <w:p w14:paraId="71DFE26B">
            <w:pPr>
              <w:keepNext w:val="0"/>
              <w:keepLines w:val="0"/>
              <w:suppressLineNumbers w:val="0"/>
              <w:spacing w:before="0" w:beforeAutospacing="0" w:after="0" w:afterAutospacing="0"/>
              <w:ind w:left="0" w:right="0" w:firstLine="480"/>
              <w:jc w:val="both"/>
              <w:rPr>
                <w:rFonts w:hint="default"/>
              </w:rPr>
            </w:pPr>
            <w:r>
              <w:rPr>
                <w:rFonts w:hint="eastAsia"/>
              </w:rPr>
              <w:t>③定期对所贮存的危险废物包装容器及贮存设施进行检查，发现破损应及时采取措施清理更换。</w:t>
            </w:r>
          </w:p>
          <w:p w14:paraId="637F798A">
            <w:pPr>
              <w:keepNext w:val="0"/>
              <w:keepLines w:val="0"/>
              <w:suppressLineNumbers w:val="0"/>
              <w:spacing w:before="0" w:beforeAutospacing="0" w:after="0" w:afterAutospacing="0"/>
              <w:ind w:left="0" w:right="0" w:firstLine="480"/>
              <w:jc w:val="both"/>
              <w:rPr>
                <w:rFonts w:hint="default"/>
              </w:rPr>
            </w:pPr>
            <w:r>
              <w:rPr>
                <w:rFonts w:hint="eastAsia"/>
              </w:rPr>
              <w:t>④危险废物分类贮存在符合标准的容器内。</w:t>
            </w:r>
          </w:p>
          <w:p w14:paraId="535B94C5">
            <w:pPr>
              <w:keepNext w:val="0"/>
              <w:keepLines w:val="0"/>
              <w:suppressLineNumbers w:val="0"/>
              <w:spacing w:before="0" w:beforeAutospacing="0" w:after="0" w:afterAutospacing="0"/>
              <w:ind w:left="0" w:right="0" w:firstLine="480"/>
              <w:jc w:val="both"/>
              <w:rPr>
                <w:rFonts w:hint="default"/>
              </w:rPr>
            </w:pPr>
            <w:r>
              <w:rPr>
                <w:rFonts w:hint="eastAsia"/>
              </w:rPr>
              <w:t>⑤危险废物必须交由有资质的单位进行安全处置，并签订危废处置协议。</w:t>
            </w:r>
          </w:p>
          <w:p w14:paraId="3F4BADE8">
            <w:pPr>
              <w:keepNext w:val="0"/>
              <w:keepLines w:val="0"/>
              <w:suppressLineNumbers w:val="0"/>
              <w:spacing w:before="0" w:beforeAutospacing="0" w:after="0" w:afterAutospacing="0"/>
              <w:ind w:left="0" w:right="0" w:firstLine="480"/>
              <w:jc w:val="both"/>
              <w:rPr>
                <w:rFonts w:hint="default"/>
              </w:rPr>
            </w:pPr>
            <w:r>
              <w:rPr>
                <w:rFonts w:hint="eastAsia"/>
              </w:rPr>
              <w:t>⑥设置台账，如实记录危险废物的名称、来源、数量、出入库时间、交接人等信息，定期汇总保存。</w:t>
            </w:r>
          </w:p>
          <w:p w14:paraId="6C83E904">
            <w:pPr>
              <w:keepNext w:val="0"/>
              <w:keepLines w:val="0"/>
              <w:suppressLineNumbers w:val="0"/>
              <w:bidi w:val="0"/>
              <w:spacing w:before="0" w:beforeAutospacing="0" w:after="0" w:afterAutospacing="0"/>
              <w:ind w:left="0" w:right="0"/>
              <w:rPr>
                <w:rFonts w:hint="default"/>
                <w:b/>
                <w:bCs/>
              </w:rPr>
            </w:pPr>
            <w:r>
              <w:rPr>
                <w:rFonts w:hint="eastAsia"/>
                <w:b/>
                <w:bCs/>
                <w:lang w:val="en-US" w:eastAsia="zh-CN"/>
              </w:rPr>
              <w:t>4）</w:t>
            </w:r>
            <w:r>
              <w:rPr>
                <w:rFonts w:hint="default"/>
                <w:b/>
                <w:bCs/>
              </w:rPr>
              <w:t>风险事故应急预案</w:t>
            </w:r>
          </w:p>
          <w:p w14:paraId="4953C3CD">
            <w:pPr>
              <w:keepNext w:val="0"/>
              <w:keepLines w:val="0"/>
              <w:suppressLineNumbers w:val="0"/>
              <w:bidi w:val="0"/>
              <w:spacing w:before="0" w:beforeAutospacing="0" w:after="0" w:afterAutospacing="0"/>
              <w:ind w:left="0" w:right="0"/>
              <w:rPr>
                <w:rFonts w:hint="eastAsia"/>
                <w:lang w:eastAsia="zh-CN"/>
              </w:rPr>
            </w:pPr>
            <w:r>
              <w:rPr>
                <w:rFonts w:hint="default"/>
              </w:rPr>
              <w:t>制定风险事故应急预案的</w:t>
            </w:r>
            <w:r>
              <w:rPr>
                <w:rFonts w:hint="eastAsia"/>
                <w:lang w:eastAsia="zh-CN"/>
              </w:rPr>
              <w:t>目的是</w:t>
            </w:r>
            <w:r>
              <w:rPr>
                <w:rFonts w:hint="default"/>
              </w:rPr>
              <w:t>在发生风险事故时，能以最快的速度发挥最大效能，有序的实施救援，尽快控制事态的发展，降低事故造成的危害，减少事故造成的损失。根据HJ/T169-2004《建设项目环境风险评价技术导则》（HJ169-2018），本项目投入运行前按规定需编制应急预案。应急预案应涵盖下表的内容和要求</w:t>
            </w:r>
            <w:r>
              <w:rPr>
                <w:rFonts w:hint="eastAsia"/>
                <w:lang w:eastAsia="zh-CN"/>
              </w:rPr>
              <w:t>。</w:t>
            </w:r>
          </w:p>
          <w:p w14:paraId="5BF22C24">
            <w:pPr>
              <w:pStyle w:val="41"/>
              <w:keepNext w:val="0"/>
              <w:keepLines w:val="0"/>
              <w:suppressLineNumbers w:val="0"/>
              <w:bidi w:val="0"/>
              <w:spacing w:before="0" w:beforeAutospacing="0" w:after="0" w:afterAutospacing="0"/>
              <w:ind w:left="0" w:right="0"/>
              <w:rPr>
                <w:rFonts w:hint="eastAsia"/>
                <w:lang w:eastAsia="zh-CN"/>
              </w:rPr>
            </w:pPr>
            <w:r>
              <w:rPr>
                <w:rFonts w:hint="default"/>
              </w:rPr>
              <w:t>表</w:t>
            </w:r>
            <w:r>
              <w:rPr>
                <w:rFonts w:hint="eastAsia"/>
              </w:rPr>
              <w:t>4</w:t>
            </w:r>
            <w:r>
              <w:rPr>
                <w:rFonts w:hint="default"/>
              </w:rPr>
              <w:t>-</w:t>
            </w:r>
            <w:r>
              <w:rPr>
                <w:rFonts w:hint="eastAsia"/>
                <w:lang w:val="en-US" w:eastAsia="zh-CN"/>
              </w:rPr>
              <w:t>28</w:t>
            </w:r>
            <w:r>
              <w:rPr>
                <w:rFonts w:hint="eastAsia"/>
                <w:lang w:eastAsia="zh-CN"/>
              </w:rPr>
              <w:t xml:space="preserve">  </w:t>
            </w:r>
            <w:r>
              <w:rPr>
                <w:rFonts w:hint="default" w:ascii="Times New Roman" w:hAnsi="Times New Roman" w:eastAsia="宋体" w:cs="Times New Roman"/>
              </w:rPr>
              <w:t>项目环境风险应急预案内容及要求</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0"/>
              <w:gridCol w:w="2581"/>
              <w:gridCol w:w="5129"/>
            </w:tblGrid>
            <w:tr w14:paraId="5FF5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jc w:val="center"/>
              </w:trPr>
              <w:tc>
                <w:tcPr>
                  <w:tcW w:w="782" w:type="dxa"/>
                  <w:vAlign w:val="center"/>
                </w:tcPr>
                <w:p w14:paraId="507B80D0">
                  <w:pPr>
                    <w:pStyle w:val="45"/>
                    <w:bidi w:val="0"/>
                    <w:jc w:val="center"/>
                    <w:rPr>
                      <w:b/>
                      <w:bCs/>
                    </w:rPr>
                  </w:pPr>
                  <w:r>
                    <w:rPr>
                      <w:b/>
                      <w:bCs/>
                    </w:rPr>
                    <w:t>序号</w:t>
                  </w:r>
                </w:p>
              </w:tc>
              <w:tc>
                <w:tcPr>
                  <w:tcW w:w="2376" w:type="dxa"/>
                  <w:vAlign w:val="center"/>
                </w:tcPr>
                <w:p w14:paraId="345E0B07">
                  <w:pPr>
                    <w:pStyle w:val="45"/>
                    <w:bidi w:val="0"/>
                    <w:jc w:val="center"/>
                    <w:rPr>
                      <w:b/>
                      <w:bCs/>
                    </w:rPr>
                  </w:pPr>
                  <w:r>
                    <w:rPr>
                      <w:b/>
                      <w:bCs/>
                    </w:rPr>
                    <w:t>项目</w:t>
                  </w:r>
                </w:p>
              </w:tc>
              <w:tc>
                <w:tcPr>
                  <w:tcW w:w="4721" w:type="dxa"/>
                  <w:vAlign w:val="center"/>
                </w:tcPr>
                <w:p w14:paraId="1A37A2A5">
                  <w:pPr>
                    <w:pStyle w:val="45"/>
                    <w:bidi w:val="0"/>
                    <w:jc w:val="center"/>
                    <w:rPr>
                      <w:b/>
                      <w:bCs/>
                    </w:rPr>
                  </w:pPr>
                  <w:r>
                    <w:rPr>
                      <w:b/>
                      <w:bCs/>
                    </w:rPr>
                    <w:t>内容及要求</w:t>
                  </w:r>
                </w:p>
              </w:tc>
            </w:tr>
            <w:tr w14:paraId="4DCC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782" w:type="dxa"/>
                  <w:vAlign w:val="center"/>
                </w:tcPr>
                <w:p w14:paraId="781DDAD7">
                  <w:pPr>
                    <w:pStyle w:val="45"/>
                    <w:bidi w:val="0"/>
                    <w:jc w:val="center"/>
                  </w:pPr>
                  <w:r>
                    <w:t>1</w:t>
                  </w:r>
                </w:p>
              </w:tc>
              <w:tc>
                <w:tcPr>
                  <w:tcW w:w="2376" w:type="dxa"/>
                  <w:vAlign w:val="center"/>
                </w:tcPr>
                <w:p w14:paraId="2EDE856B">
                  <w:pPr>
                    <w:pStyle w:val="45"/>
                    <w:bidi w:val="0"/>
                    <w:jc w:val="center"/>
                  </w:pPr>
                  <w:r>
                    <w:t>应急计划区</w:t>
                  </w:r>
                </w:p>
              </w:tc>
              <w:tc>
                <w:tcPr>
                  <w:tcW w:w="4721" w:type="dxa"/>
                  <w:vAlign w:val="center"/>
                </w:tcPr>
                <w:p w14:paraId="3848E7A1">
                  <w:pPr>
                    <w:pStyle w:val="45"/>
                    <w:bidi w:val="0"/>
                    <w:jc w:val="center"/>
                    <w:rPr>
                      <w:rFonts w:hint="default" w:eastAsia="宋体"/>
                      <w:lang w:val="en-US" w:eastAsia="zh-CN"/>
                    </w:rPr>
                  </w:pPr>
                  <w:r>
                    <w:t>危险目标：</w:t>
                  </w:r>
                  <w:r>
                    <w:rPr>
                      <w:rFonts w:hint="eastAsia"/>
                      <w:lang w:val="en-US" w:eastAsia="zh-CN"/>
                    </w:rPr>
                    <w:t>危废暂存间、医废暂存间、污水处理站</w:t>
                  </w:r>
                </w:p>
              </w:tc>
            </w:tr>
            <w:tr w14:paraId="34E6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782" w:type="dxa"/>
                  <w:vAlign w:val="center"/>
                </w:tcPr>
                <w:p w14:paraId="3E2C75C5">
                  <w:pPr>
                    <w:pStyle w:val="45"/>
                    <w:bidi w:val="0"/>
                    <w:jc w:val="center"/>
                  </w:pPr>
                  <w:r>
                    <w:t>2</w:t>
                  </w:r>
                </w:p>
              </w:tc>
              <w:tc>
                <w:tcPr>
                  <w:tcW w:w="2376" w:type="dxa"/>
                  <w:vAlign w:val="center"/>
                </w:tcPr>
                <w:p w14:paraId="324BCF7E">
                  <w:pPr>
                    <w:pStyle w:val="45"/>
                    <w:bidi w:val="0"/>
                    <w:jc w:val="center"/>
                  </w:pPr>
                  <w:r>
                    <w:t>应急组织机构、人员</w:t>
                  </w:r>
                </w:p>
              </w:tc>
              <w:tc>
                <w:tcPr>
                  <w:tcW w:w="4721" w:type="dxa"/>
                  <w:vAlign w:val="center"/>
                </w:tcPr>
                <w:p w14:paraId="79EA0453">
                  <w:pPr>
                    <w:pStyle w:val="45"/>
                    <w:bidi w:val="0"/>
                    <w:jc w:val="center"/>
                  </w:pPr>
                  <w:r>
                    <w:rPr>
                      <w:rFonts w:hint="eastAsia"/>
                      <w:lang w:val="en-US" w:eastAsia="zh-CN"/>
                    </w:rPr>
                    <w:t>院内</w:t>
                  </w:r>
                  <w:r>
                    <w:t>应急组织机构、人员</w:t>
                  </w:r>
                </w:p>
              </w:tc>
            </w:tr>
            <w:tr w14:paraId="63ED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782" w:type="dxa"/>
                  <w:vAlign w:val="center"/>
                </w:tcPr>
                <w:p w14:paraId="3D800DA6">
                  <w:pPr>
                    <w:pStyle w:val="45"/>
                    <w:bidi w:val="0"/>
                    <w:jc w:val="center"/>
                  </w:pPr>
                  <w:r>
                    <w:t>3</w:t>
                  </w:r>
                </w:p>
              </w:tc>
              <w:tc>
                <w:tcPr>
                  <w:tcW w:w="2376" w:type="dxa"/>
                  <w:vAlign w:val="center"/>
                </w:tcPr>
                <w:p w14:paraId="74B80ADE">
                  <w:pPr>
                    <w:pStyle w:val="45"/>
                    <w:bidi w:val="0"/>
                    <w:jc w:val="center"/>
                  </w:pPr>
                  <w:r>
                    <w:t>预案分级响应条件</w:t>
                  </w:r>
                </w:p>
              </w:tc>
              <w:tc>
                <w:tcPr>
                  <w:tcW w:w="4721" w:type="dxa"/>
                  <w:vAlign w:val="center"/>
                </w:tcPr>
                <w:p w14:paraId="29D9A874">
                  <w:pPr>
                    <w:pStyle w:val="45"/>
                    <w:bidi w:val="0"/>
                    <w:jc w:val="center"/>
                  </w:pPr>
                  <w:r>
                    <w:t>规定预案级别及分级响应程序</w:t>
                  </w:r>
                </w:p>
              </w:tc>
            </w:tr>
            <w:tr w14:paraId="5744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782" w:type="dxa"/>
                  <w:vAlign w:val="center"/>
                </w:tcPr>
                <w:p w14:paraId="6F30EB79">
                  <w:pPr>
                    <w:pStyle w:val="45"/>
                    <w:bidi w:val="0"/>
                    <w:jc w:val="center"/>
                  </w:pPr>
                  <w:r>
                    <w:t>4</w:t>
                  </w:r>
                </w:p>
              </w:tc>
              <w:tc>
                <w:tcPr>
                  <w:tcW w:w="2376" w:type="dxa"/>
                  <w:vAlign w:val="center"/>
                </w:tcPr>
                <w:p w14:paraId="73A04E4C">
                  <w:pPr>
                    <w:pStyle w:val="45"/>
                    <w:bidi w:val="0"/>
                    <w:jc w:val="center"/>
                  </w:pPr>
                  <w:r>
                    <w:t>应急救援保障</w:t>
                  </w:r>
                </w:p>
              </w:tc>
              <w:tc>
                <w:tcPr>
                  <w:tcW w:w="4721" w:type="dxa"/>
                  <w:vAlign w:val="center"/>
                </w:tcPr>
                <w:p w14:paraId="69D2290C">
                  <w:pPr>
                    <w:pStyle w:val="45"/>
                    <w:bidi w:val="0"/>
                    <w:jc w:val="center"/>
                  </w:pPr>
                  <w:r>
                    <w:t>应急设施，设备与器材等</w:t>
                  </w:r>
                </w:p>
              </w:tc>
            </w:tr>
            <w:tr w14:paraId="367D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782" w:type="dxa"/>
                  <w:vAlign w:val="center"/>
                </w:tcPr>
                <w:p w14:paraId="7306B925">
                  <w:pPr>
                    <w:pStyle w:val="45"/>
                    <w:bidi w:val="0"/>
                    <w:jc w:val="center"/>
                  </w:pPr>
                  <w:r>
                    <w:t>5</w:t>
                  </w:r>
                </w:p>
              </w:tc>
              <w:tc>
                <w:tcPr>
                  <w:tcW w:w="2376" w:type="dxa"/>
                  <w:vAlign w:val="center"/>
                </w:tcPr>
                <w:p w14:paraId="5326777C">
                  <w:pPr>
                    <w:pStyle w:val="45"/>
                    <w:bidi w:val="0"/>
                    <w:jc w:val="center"/>
                  </w:pPr>
                  <w:r>
                    <w:t>报警、通讯联络方式</w:t>
                  </w:r>
                </w:p>
              </w:tc>
              <w:tc>
                <w:tcPr>
                  <w:tcW w:w="4721" w:type="dxa"/>
                  <w:vAlign w:val="center"/>
                </w:tcPr>
                <w:p w14:paraId="6CFD5255">
                  <w:pPr>
                    <w:pStyle w:val="45"/>
                    <w:bidi w:val="0"/>
                    <w:jc w:val="center"/>
                  </w:pPr>
                  <w:r>
                    <w:t>规定应急状态下的</w:t>
                  </w:r>
                  <w:r>
                    <w:rPr>
                      <w:rFonts w:hint="eastAsia"/>
                      <w:lang w:eastAsia="zh-CN"/>
                    </w:rPr>
                    <w:t>报警通信</w:t>
                  </w:r>
                  <w:r>
                    <w:t>方式、通知方式和交通保障、管制等相关内容</w:t>
                  </w:r>
                </w:p>
              </w:tc>
            </w:tr>
            <w:tr w14:paraId="38D1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782" w:type="dxa"/>
                  <w:vAlign w:val="center"/>
                </w:tcPr>
                <w:p w14:paraId="0FCFE219">
                  <w:pPr>
                    <w:pStyle w:val="45"/>
                    <w:bidi w:val="0"/>
                    <w:jc w:val="center"/>
                  </w:pPr>
                  <w:r>
                    <w:t>6</w:t>
                  </w:r>
                </w:p>
              </w:tc>
              <w:tc>
                <w:tcPr>
                  <w:tcW w:w="2376" w:type="dxa"/>
                  <w:vAlign w:val="center"/>
                </w:tcPr>
                <w:p w14:paraId="1C814487">
                  <w:pPr>
                    <w:pStyle w:val="45"/>
                    <w:bidi w:val="0"/>
                    <w:jc w:val="center"/>
                  </w:pPr>
                  <w:r>
                    <w:t>应急环境监测、抢险、救援及控制措施</w:t>
                  </w:r>
                </w:p>
              </w:tc>
              <w:tc>
                <w:tcPr>
                  <w:tcW w:w="4721" w:type="dxa"/>
                  <w:vAlign w:val="center"/>
                </w:tcPr>
                <w:p w14:paraId="219A208F">
                  <w:pPr>
                    <w:pStyle w:val="45"/>
                    <w:bidi w:val="0"/>
                    <w:jc w:val="center"/>
                  </w:pPr>
                  <w:r>
                    <w:t>由专业队伍负责对事故现场进行监测，对事故性质、参数与后果进行评估，为指挥部门提供决策依据</w:t>
                  </w:r>
                </w:p>
              </w:tc>
            </w:tr>
            <w:tr w14:paraId="6E86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782" w:type="dxa"/>
                  <w:vAlign w:val="center"/>
                </w:tcPr>
                <w:p w14:paraId="2C1F28CE">
                  <w:pPr>
                    <w:pStyle w:val="45"/>
                    <w:bidi w:val="0"/>
                    <w:jc w:val="center"/>
                  </w:pPr>
                  <w:r>
                    <w:t>7</w:t>
                  </w:r>
                </w:p>
              </w:tc>
              <w:tc>
                <w:tcPr>
                  <w:tcW w:w="2376" w:type="dxa"/>
                  <w:vAlign w:val="center"/>
                </w:tcPr>
                <w:p w14:paraId="089B96C5">
                  <w:pPr>
                    <w:pStyle w:val="45"/>
                    <w:bidi w:val="0"/>
                    <w:jc w:val="center"/>
                  </w:pPr>
                  <w:r>
                    <w:t>应急检测、防护措施、清除泄漏措施和器材</w:t>
                  </w:r>
                </w:p>
              </w:tc>
              <w:tc>
                <w:tcPr>
                  <w:tcW w:w="4721" w:type="dxa"/>
                  <w:vAlign w:val="center"/>
                </w:tcPr>
                <w:p w14:paraId="7A27B65D">
                  <w:pPr>
                    <w:pStyle w:val="45"/>
                    <w:bidi w:val="0"/>
                    <w:jc w:val="center"/>
                  </w:pPr>
                  <w:r>
                    <w:t>防火区域控制：事故现场邻近区域清除污染措施：事故现场邻近区域清除污染设备及配置</w:t>
                  </w:r>
                </w:p>
              </w:tc>
            </w:tr>
            <w:tr w14:paraId="5FEC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782" w:type="dxa"/>
                  <w:vAlign w:val="center"/>
                </w:tcPr>
                <w:p w14:paraId="2F358A2A">
                  <w:pPr>
                    <w:pStyle w:val="45"/>
                    <w:bidi w:val="0"/>
                    <w:ind w:left="0" w:leftChars="0" w:firstLine="0" w:firstLineChars="0"/>
                    <w:jc w:val="center"/>
                  </w:pPr>
                  <w:r>
                    <w:t>8</w:t>
                  </w:r>
                </w:p>
              </w:tc>
              <w:tc>
                <w:tcPr>
                  <w:tcW w:w="2376" w:type="dxa"/>
                  <w:vAlign w:val="center"/>
                </w:tcPr>
                <w:p w14:paraId="43CE4D71">
                  <w:pPr>
                    <w:pStyle w:val="45"/>
                    <w:bidi w:val="0"/>
                    <w:jc w:val="center"/>
                  </w:pPr>
                  <w:r>
                    <w:t>人员紧急撤离、疏散，应急剂量控制、撤离组织计划</w:t>
                  </w:r>
                </w:p>
              </w:tc>
              <w:tc>
                <w:tcPr>
                  <w:tcW w:w="4721" w:type="dxa"/>
                  <w:vAlign w:val="center"/>
                </w:tcPr>
                <w:p w14:paraId="20A69825">
                  <w:pPr>
                    <w:pStyle w:val="45"/>
                    <w:bidi w:val="0"/>
                    <w:jc w:val="center"/>
                  </w:pPr>
                  <w:r>
                    <w:t>毒物应急剂量控制规定：事故现场</w:t>
                  </w:r>
                  <w:r>
                    <w:rPr>
                      <w:rFonts w:hint="eastAsia"/>
                      <w:lang w:eastAsia="zh-CN"/>
                    </w:rPr>
                    <w:t>、</w:t>
                  </w:r>
                  <w:r>
                    <w:t>邻近区撤离组织计划医疗救护公众健康</w:t>
                  </w:r>
                </w:p>
              </w:tc>
            </w:tr>
            <w:tr w14:paraId="24FA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782" w:type="dxa"/>
                  <w:vAlign w:val="center"/>
                </w:tcPr>
                <w:p w14:paraId="4C91B17F">
                  <w:pPr>
                    <w:pStyle w:val="45"/>
                    <w:bidi w:val="0"/>
                    <w:jc w:val="center"/>
                  </w:pPr>
                  <w:r>
                    <w:t>9</w:t>
                  </w:r>
                </w:p>
              </w:tc>
              <w:tc>
                <w:tcPr>
                  <w:tcW w:w="2376" w:type="dxa"/>
                  <w:vAlign w:val="center"/>
                </w:tcPr>
                <w:p w14:paraId="53417708">
                  <w:pPr>
                    <w:pStyle w:val="45"/>
                    <w:bidi w:val="0"/>
                    <w:jc w:val="center"/>
                  </w:pPr>
                  <w:r>
                    <w:t>事故应急救援关闭程序与恢复措施</w:t>
                  </w:r>
                </w:p>
              </w:tc>
              <w:tc>
                <w:tcPr>
                  <w:tcW w:w="4721" w:type="dxa"/>
                  <w:vAlign w:val="center"/>
                </w:tcPr>
                <w:p w14:paraId="2B479EA4">
                  <w:pPr>
                    <w:pStyle w:val="45"/>
                    <w:bidi w:val="0"/>
                    <w:jc w:val="center"/>
                  </w:pPr>
                  <w:r>
                    <w:t>规定应急状态终止程序事故现场善后处理，恢复措施基地、邻近区域解除事故警戒及善后恢复措施</w:t>
                  </w:r>
                </w:p>
              </w:tc>
            </w:tr>
            <w:tr w14:paraId="09A7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782" w:type="dxa"/>
                  <w:vAlign w:val="center"/>
                </w:tcPr>
                <w:p w14:paraId="47B067F7">
                  <w:pPr>
                    <w:pStyle w:val="45"/>
                    <w:bidi w:val="0"/>
                    <w:jc w:val="center"/>
                  </w:pPr>
                  <w:r>
                    <w:t>10</w:t>
                  </w:r>
                </w:p>
              </w:tc>
              <w:tc>
                <w:tcPr>
                  <w:tcW w:w="2376" w:type="dxa"/>
                  <w:vAlign w:val="center"/>
                </w:tcPr>
                <w:p w14:paraId="2E622610">
                  <w:pPr>
                    <w:pStyle w:val="45"/>
                    <w:bidi w:val="0"/>
                    <w:jc w:val="center"/>
                  </w:pPr>
                  <w:r>
                    <w:t>应急培训计划</w:t>
                  </w:r>
                </w:p>
              </w:tc>
              <w:tc>
                <w:tcPr>
                  <w:tcW w:w="4721" w:type="dxa"/>
                  <w:vAlign w:val="center"/>
                </w:tcPr>
                <w:p w14:paraId="2D4DD705">
                  <w:pPr>
                    <w:pStyle w:val="45"/>
                    <w:bidi w:val="0"/>
                    <w:jc w:val="center"/>
                  </w:pPr>
                  <w:r>
                    <w:t>人员培训应急预案演练</w:t>
                  </w:r>
                </w:p>
              </w:tc>
            </w:tr>
            <w:tr w14:paraId="488D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782" w:type="dxa"/>
                  <w:vAlign w:val="center"/>
                </w:tcPr>
                <w:p w14:paraId="088A9C04">
                  <w:pPr>
                    <w:pStyle w:val="45"/>
                    <w:bidi w:val="0"/>
                    <w:jc w:val="center"/>
                  </w:pPr>
                  <w:r>
                    <w:t>11</w:t>
                  </w:r>
                </w:p>
              </w:tc>
              <w:tc>
                <w:tcPr>
                  <w:tcW w:w="2376" w:type="dxa"/>
                  <w:vAlign w:val="center"/>
                </w:tcPr>
                <w:p w14:paraId="4D445253">
                  <w:pPr>
                    <w:pStyle w:val="45"/>
                    <w:bidi w:val="0"/>
                    <w:jc w:val="center"/>
                  </w:pPr>
                  <w:r>
                    <w:t>公众教育和信息</w:t>
                  </w:r>
                </w:p>
              </w:tc>
              <w:tc>
                <w:tcPr>
                  <w:tcW w:w="4721" w:type="dxa"/>
                  <w:vAlign w:val="center"/>
                </w:tcPr>
                <w:p w14:paraId="73926121">
                  <w:pPr>
                    <w:pStyle w:val="45"/>
                    <w:bidi w:val="0"/>
                    <w:jc w:val="center"/>
                  </w:pPr>
                  <w:r>
                    <w:t>公众教育信息发布</w:t>
                  </w:r>
                </w:p>
              </w:tc>
            </w:tr>
          </w:tbl>
          <w:p w14:paraId="29607622">
            <w:pPr>
              <w:bidi w:val="0"/>
              <w:rPr>
                <w:rFonts w:hint="eastAsia"/>
                <w:b/>
                <w:bCs/>
                <w:lang w:val="en-US" w:eastAsia="zh-CN"/>
              </w:rPr>
            </w:pPr>
            <w:r>
              <w:rPr>
                <w:rFonts w:hint="eastAsia"/>
                <w:b/>
                <w:bCs/>
                <w:lang w:val="en-US" w:eastAsia="zh-CN"/>
              </w:rPr>
              <w:t>5）人员培训与演练</w:t>
            </w:r>
          </w:p>
          <w:p w14:paraId="6D12E4E0">
            <w:pPr>
              <w:bidi w:val="0"/>
              <w:rPr>
                <w:rFonts w:hint="eastAsia"/>
                <w:lang w:val="en-US" w:eastAsia="zh-CN"/>
              </w:rPr>
            </w:pPr>
            <w:r>
              <w:rPr>
                <w:rFonts w:hint="eastAsia"/>
                <w:lang w:val="en-US" w:eastAsia="zh-CN"/>
              </w:rPr>
              <w:t>定期组织救援培训与演练，对全院职工进行经常性的应急常识教育。</w:t>
            </w:r>
          </w:p>
          <w:p w14:paraId="293B6B41">
            <w:pPr>
              <w:bidi w:val="0"/>
              <w:rPr>
                <w:rFonts w:hint="eastAsia" w:eastAsia="宋体"/>
                <w:lang w:val="en-US" w:eastAsia="zh-CN"/>
              </w:rPr>
            </w:pPr>
            <w:r>
              <w:rPr>
                <w:rFonts w:hint="eastAsia"/>
                <w:lang w:val="en-US" w:eastAsia="zh-CN"/>
              </w:rPr>
              <w:t>综上所述，项目营运过程中存在着一定的环境风险，但只要加强管理，建立健全相应的风险防范管理、应急措施，并在管理及运行中认真落实工程安全措施、消防措施及评价所提出的风险防范、管理措施，则其在营运期的环境风险可接受，并且其环境风险事故隐患可降至最低。从风险角度分析，项目建设可行。</w:t>
            </w:r>
          </w:p>
          <w:p w14:paraId="15E4A340"/>
        </w:tc>
      </w:tr>
    </w:tbl>
    <w:p w14:paraId="2711BAD3">
      <w:pPr>
        <w:pStyle w:val="4"/>
        <w:jc w:val="center"/>
        <w:rPr>
          <w:b w:val="0"/>
          <w:bCs w:val="0"/>
        </w:rPr>
      </w:pPr>
      <w:r>
        <w:rPr>
          <w:spacing w:val="6"/>
        </w:rPr>
        <w:br w:type="page"/>
      </w:r>
      <w:bookmarkStart w:id="9" w:name="_Toc13"/>
      <w:r>
        <w:rPr>
          <w:rFonts w:hint="eastAsia"/>
        </w:rPr>
        <w:t>五</w:t>
      </w:r>
      <w:r>
        <w:t>、</w:t>
      </w:r>
      <w:r>
        <w:rPr>
          <w:rFonts w:hint="eastAsia"/>
        </w:rPr>
        <w:t>环境保护措施监督检查清单</w:t>
      </w:r>
      <w:bookmarkEnd w:id="9"/>
    </w:p>
    <w:tbl>
      <w:tblPr>
        <w:tblStyle w:val="18"/>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101"/>
        <w:gridCol w:w="1343"/>
        <w:gridCol w:w="1654"/>
        <w:gridCol w:w="2276"/>
        <w:gridCol w:w="2523"/>
      </w:tblGrid>
      <w:tr w14:paraId="457E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single" w:color="auto" w:sz="12" w:space="0"/>
            </w:tcBorders>
            <w:vAlign w:val="center"/>
          </w:tcPr>
          <w:p w14:paraId="7CEC1687">
            <w:pPr>
              <w:pStyle w:val="32"/>
              <w:bidi w:val="0"/>
              <w:jc w:val="right"/>
              <w:rPr>
                <w:b/>
                <w:bCs/>
              </w:rPr>
            </w:pPr>
            <w:r>
              <w:rPr>
                <w:rFonts w:hint="eastAsia"/>
                <w:b/>
                <w:bCs/>
              </w:rPr>
              <w:t>内容</w:t>
            </w:r>
          </w:p>
          <w:p w14:paraId="6BFA856D">
            <w:pPr>
              <w:pStyle w:val="32"/>
              <w:bidi w:val="0"/>
              <w:jc w:val="left"/>
              <w:rPr>
                <w:b/>
                <w:bCs/>
              </w:rPr>
            </w:pPr>
            <w:r>
              <w:rPr>
                <w:rFonts w:hint="eastAsia"/>
                <w:b/>
                <w:bCs/>
              </w:rPr>
              <w:t>要素</w:t>
            </w:r>
          </w:p>
        </w:tc>
        <w:tc>
          <w:tcPr>
            <w:tcW w:w="1343" w:type="dxa"/>
            <w:tcBorders>
              <w:tl2br w:val="nil"/>
              <w:tr2bl w:val="nil"/>
            </w:tcBorders>
            <w:vAlign w:val="center"/>
          </w:tcPr>
          <w:p w14:paraId="0B224A1A">
            <w:pPr>
              <w:pStyle w:val="32"/>
              <w:bidi w:val="0"/>
              <w:rPr>
                <w:b/>
                <w:bCs/>
              </w:rPr>
            </w:pPr>
            <w:r>
              <w:rPr>
                <w:rFonts w:hint="eastAsia"/>
                <w:b/>
                <w:bCs/>
              </w:rPr>
              <w:t>排放口</w:t>
            </w:r>
            <w:r>
              <w:rPr>
                <w:rFonts w:hint="eastAsia"/>
                <w:b/>
                <w:bCs/>
                <w:lang w:eastAsia="zh-CN"/>
              </w:rPr>
              <w:t>（</w:t>
            </w:r>
            <w:r>
              <w:rPr>
                <w:rFonts w:hint="eastAsia"/>
                <w:b/>
                <w:bCs/>
              </w:rPr>
              <w:t>编号、名称</w:t>
            </w:r>
            <w:r>
              <w:rPr>
                <w:rFonts w:hint="eastAsia"/>
                <w:b/>
                <w:bCs/>
                <w:lang w:eastAsia="zh-CN"/>
              </w:rPr>
              <w:t>）</w:t>
            </w:r>
            <w:r>
              <w:rPr>
                <w:rFonts w:hint="eastAsia"/>
                <w:b/>
                <w:bCs/>
              </w:rPr>
              <w:t>/污染源</w:t>
            </w:r>
          </w:p>
        </w:tc>
        <w:tc>
          <w:tcPr>
            <w:tcW w:w="1654" w:type="dxa"/>
            <w:tcBorders>
              <w:tl2br w:val="nil"/>
              <w:tr2bl w:val="nil"/>
            </w:tcBorders>
            <w:vAlign w:val="center"/>
          </w:tcPr>
          <w:p w14:paraId="1CF5303F">
            <w:pPr>
              <w:pStyle w:val="32"/>
              <w:bidi w:val="0"/>
              <w:rPr>
                <w:b/>
                <w:bCs/>
              </w:rPr>
            </w:pPr>
            <w:r>
              <w:rPr>
                <w:rFonts w:hint="eastAsia"/>
                <w:b/>
                <w:bCs/>
              </w:rPr>
              <w:t>污染物项目</w:t>
            </w:r>
          </w:p>
        </w:tc>
        <w:tc>
          <w:tcPr>
            <w:tcW w:w="2276" w:type="dxa"/>
            <w:tcBorders>
              <w:tl2br w:val="nil"/>
              <w:tr2bl w:val="nil"/>
            </w:tcBorders>
            <w:vAlign w:val="center"/>
          </w:tcPr>
          <w:p w14:paraId="7436EC81">
            <w:pPr>
              <w:pStyle w:val="32"/>
              <w:bidi w:val="0"/>
              <w:rPr>
                <w:b/>
                <w:bCs/>
              </w:rPr>
            </w:pPr>
            <w:r>
              <w:rPr>
                <w:rFonts w:hint="eastAsia"/>
                <w:b/>
                <w:bCs/>
              </w:rPr>
              <w:t>环境保护措施</w:t>
            </w:r>
          </w:p>
        </w:tc>
        <w:tc>
          <w:tcPr>
            <w:tcW w:w="2523" w:type="dxa"/>
            <w:tcBorders>
              <w:tl2br w:val="nil"/>
              <w:tr2bl w:val="nil"/>
            </w:tcBorders>
            <w:vAlign w:val="center"/>
          </w:tcPr>
          <w:p w14:paraId="5E34141B">
            <w:pPr>
              <w:pStyle w:val="32"/>
              <w:bidi w:val="0"/>
              <w:rPr>
                <w:b/>
                <w:bCs/>
              </w:rPr>
            </w:pPr>
            <w:r>
              <w:rPr>
                <w:rFonts w:hint="eastAsia"/>
                <w:b/>
                <w:bCs/>
              </w:rPr>
              <w:t>执行标准</w:t>
            </w:r>
          </w:p>
        </w:tc>
      </w:tr>
      <w:tr w14:paraId="7E61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restart"/>
            <w:tcBorders>
              <w:tl2br w:val="nil"/>
              <w:tr2bl w:val="nil"/>
            </w:tcBorders>
            <w:vAlign w:val="center"/>
          </w:tcPr>
          <w:p w14:paraId="3B5142A1">
            <w:pPr>
              <w:pStyle w:val="32"/>
              <w:bidi w:val="0"/>
              <w:rPr>
                <w:bCs/>
              </w:rPr>
            </w:pPr>
            <w:r>
              <w:rPr>
                <w:rFonts w:hint="eastAsia"/>
              </w:rPr>
              <w:t>大气环境</w:t>
            </w:r>
          </w:p>
        </w:tc>
        <w:tc>
          <w:tcPr>
            <w:tcW w:w="1343" w:type="dxa"/>
            <w:vMerge w:val="restart"/>
            <w:tcBorders>
              <w:tl2br w:val="nil"/>
              <w:tr2bl w:val="nil"/>
            </w:tcBorders>
            <w:vAlign w:val="center"/>
          </w:tcPr>
          <w:p w14:paraId="50E3F662">
            <w:pPr>
              <w:pStyle w:val="32"/>
              <w:bidi w:val="0"/>
              <w:rPr>
                <w:rFonts w:hint="default" w:eastAsia="宋体"/>
                <w:bCs/>
                <w:lang w:val="en-US" w:eastAsia="zh-CN"/>
              </w:rPr>
            </w:pPr>
            <w:r>
              <w:rPr>
                <w:rFonts w:hint="eastAsia"/>
              </w:rPr>
              <w:t>DA00</w:t>
            </w:r>
            <w:r>
              <w:rPr>
                <w:rFonts w:hint="eastAsia"/>
                <w:lang w:val="en-US" w:eastAsia="zh-CN"/>
              </w:rPr>
              <w:t>1/污水处理站</w:t>
            </w:r>
          </w:p>
        </w:tc>
        <w:tc>
          <w:tcPr>
            <w:tcW w:w="1654" w:type="dxa"/>
            <w:tcBorders>
              <w:tl2br w:val="nil"/>
              <w:tr2bl w:val="nil"/>
            </w:tcBorders>
            <w:shd w:val="clear" w:color="auto" w:fill="auto"/>
            <w:vAlign w:val="center"/>
          </w:tcPr>
          <w:p w14:paraId="404590E5">
            <w:pPr>
              <w:pStyle w:val="32"/>
              <w:bidi w:val="0"/>
              <w:rPr>
                <w:rFonts w:hint="default" w:ascii="Times New Roman" w:hAnsi="Times New Roman" w:eastAsia="宋体" w:cs="Times New Roman"/>
                <w:b w:val="0"/>
                <w:kern w:val="2"/>
                <w:szCs w:val="21"/>
                <w:lang w:val="en-US" w:eastAsia="zh-CN" w:bidi="ar-SA"/>
              </w:rPr>
            </w:pPr>
            <w:r>
              <w:rPr>
                <w:rFonts w:hint="eastAsia" w:cs="Times New Roman"/>
                <w:b w:val="0"/>
                <w:kern w:val="2"/>
                <w:szCs w:val="21"/>
                <w:lang w:val="en-US" w:eastAsia="zh-CN" w:bidi="ar-SA"/>
              </w:rPr>
              <w:t>氨</w:t>
            </w:r>
          </w:p>
        </w:tc>
        <w:tc>
          <w:tcPr>
            <w:tcW w:w="2276" w:type="dxa"/>
            <w:vMerge w:val="restart"/>
            <w:tcBorders>
              <w:tl2br w:val="nil"/>
              <w:tr2bl w:val="nil"/>
            </w:tcBorders>
            <w:vAlign w:val="center"/>
          </w:tcPr>
          <w:p w14:paraId="4B07E557">
            <w:pPr>
              <w:pStyle w:val="32"/>
              <w:bidi w:val="0"/>
              <w:rPr>
                <w:rFonts w:hint="default"/>
                <w:lang w:val="en-US" w:eastAsia="zh-CN"/>
              </w:rPr>
            </w:pPr>
            <w:r>
              <w:rPr>
                <w:rFonts w:hint="eastAsia"/>
                <w:lang w:val="en-US" w:eastAsia="zh-CN"/>
              </w:rPr>
              <w:t>二级活性炭吸附装置+18m排气筒</w:t>
            </w:r>
          </w:p>
        </w:tc>
        <w:tc>
          <w:tcPr>
            <w:tcW w:w="2523" w:type="dxa"/>
            <w:vMerge w:val="restart"/>
            <w:tcBorders>
              <w:tl2br w:val="nil"/>
              <w:tr2bl w:val="nil"/>
            </w:tcBorders>
            <w:vAlign w:val="center"/>
          </w:tcPr>
          <w:p w14:paraId="22EBDAC9">
            <w:pPr>
              <w:pStyle w:val="32"/>
              <w:bidi w:val="0"/>
              <w:rPr>
                <w:rFonts w:hint="default"/>
                <w:lang w:val="en-US" w:eastAsia="zh-CN"/>
              </w:rPr>
            </w:pPr>
            <w:r>
              <w:rPr>
                <w:rFonts w:hint="eastAsia"/>
              </w:rPr>
              <w:t>《恶臭污染物排放标准》（GB14554-93）表2恶臭污染物排放标准值</w:t>
            </w:r>
          </w:p>
        </w:tc>
      </w:tr>
      <w:tr w14:paraId="1DE7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69F43017">
            <w:pPr>
              <w:spacing w:before="33" w:after="33"/>
              <w:rPr>
                <w:rFonts w:hint="eastAsia"/>
                <w:bCs/>
              </w:rPr>
            </w:pPr>
          </w:p>
        </w:tc>
        <w:tc>
          <w:tcPr>
            <w:tcW w:w="1343" w:type="dxa"/>
            <w:vMerge w:val="continue"/>
            <w:tcBorders>
              <w:tl2br w:val="nil"/>
              <w:tr2bl w:val="nil"/>
            </w:tcBorders>
            <w:vAlign w:val="center"/>
          </w:tcPr>
          <w:p w14:paraId="681BD80B">
            <w:pPr>
              <w:spacing w:before="33" w:after="33"/>
              <w:rPr>
                <w:rFonts w:hint="eastAsia"/>
                <w:bCs/>
              </w:rPr>
            </w:pPr>
          </w:p>
        </w:tc>
        <w:tc>
          <w:tcPr>
            <w:tcW w:w="1654" w:type="dxa"/>
            <w:tcBorders>
              <w:tl2br w:val="nil"/>
              <w:tr2bl w:val="nil"/>
            </w:tcBorders>
            <w:shd w:val="clear" w:color="auto" w:fill="auto"/>
            <w:vAlign w:val="center"/>
          </w:tcPr>
          <w:p w14:paraId="4AC49608">
            <w:pPr>
              <w:pStyle w:val="32"/>
              <w:bidi w:val="0"/>
              <w:rPr>
                <w:rFonts w:hint="eastAsia" w:ascii="Times New Roman" w:hAnsi="Times New Roman" w:eastAsia="宋体" w:cs="Times New Roman"/>
                <w:b w:val="0"/>
                <w:kern w:val="2"/>
                <w:szCs w:val="21"/>
                <w:lang w:val="en-US" w:eastAsia="zh-CN" w:bidi="ar-SA"/>
              </w:rPr>
            </w:pPr>
            <w:r>
              <w:rPr>
                <w:rFonts w:hint="eastAsia"/>
                <w:lang w:val="en-US" w:eastAsia="zh-CN"/>
              </w:rPr>
              <w:t>硫化氢</w:t>
            </w:r>
          </w:p>
        </w:tc>
        <w:tc>
          <w:tcPr>
            <w:tcW w:w="2276" w:type="dxa"/>
            <w:vMerge w:val="continue"/>
            <w:tcBorders>
              <w:tl2br w:val="nil"/>
              <w:tr2bl w:val="nil"/>
            </w:tcBorders>
            <w:vAlign w:val="center"/>
          </w:tcPr>
          <w:p w14:paraId="29DEDD64">
            <w:pPr>
              <w:spacing w:before="33" w:after="33"/>
              <w:ind w:left="0" w:leftChars="0"/>
              <w:rPr>
                <w:rFonts w:hint="eastAsia"/>
                <w:bCs/>
                <w:lang w:val="en-US" w:eastAsia="zh-CN"/>
              </w:rPr>
            </w:pPr>
          </w:p>
        </w:tc>
        <w:tc>
          <w:tcPr>
            <w:tcW w:w="2523" w:type="dxa"/>
            <w:vMerge w:val="continue"/>
            <w:tcBorders>
              <w:tl2br w:val="nil"/>
              <w:tr2bl w:val="nil"/>
            </w:tcBorders>
            <w:vAlign w:val="center"/>
          </w:tcPr>
          <w:p w14:paraId="1042AE09">
            <w:pPr>
              <w:pStyle w:val="32"/>
              <w:bidi w:val="0"/>
              <w:rPr>
                <w:rFonts w:hint="eastAsia"/>
                <w:lang w:val="en-US" w:eastAsia="zh-CN"/>
              </w:rPr>
            </w:pPr>
          </w:p>
        </w:tc>
      </w:tr>
      <w:tr w14:paraId="446C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594E93A9">
            <w:pPr>
              <w:spacing w:before="33" w:after="33"/>
              <w:rPr>
                <w:rFonts w:hint="eastAsia"/>
                <w:bCs/>
              </w:rPr>
            </w:pPr>
          </w:p>
        </w:tc>
        <w:tc>
          <w:tcPr>
            <w:tcW w:w="1343" w:type="dxa"/>
            <w:vMerge w:val="continue"/>
            <w:tcBorders>
              <w:tl2br w:val="nil"/>
              <w:tr2bl w:val="nil"/>
            </w:tcBorders>
            <w:vAlign w:val="center"/>
          </w:tcPr>
          <w:p w14:paraId="47A7D1F2">
            <w:pPr>
              <w:spacing w:before="33" w:after="33"/>
              <w:rPr>
                <w:rFonts w:hint="eastAsia"/>
                <w:bCs/>
              </w:rPr>
            </w:pPr>
          </w:p>
        </w:tc>
        <w:tc>
          <w:tcPr>
            <w:tcW w:w="1654" w:type="dxa"/>
            <w:tcBorders>
              <w:tl2br w:val="nil"/>
              <w:tr2bl w:val="nil"/>
            </w:tcBorders>
            <w:shd w:val="clear" w:color="auto" w:fill="auto"/>
            <w:vAlign w:val="center"/>
          </w:tcPr>
          <w:p w14:paraId="7716F324">
            <w:pPr>
              <w:pStyle w:val="32"/>
              <w:bidi w:val="0"/>
              <w:rPr>
                <w:rFonts w:hint="default" w:ascii="Times New Roman" w:hAnsi="Times New Roman" w:eastAsia="宋体" w:cs="Times New Roman"/>
                <w:b w:val="0"/>
                <w:kern w:val="2"/>
                <w:szCs w:val="21"/>
                <w:lang w:val="en-US" w:eastAsia="zh-CN" w:bidi="ar-SA"/>
              </w:rPr>
            </w:pPr>
            <w:r>
              <w:rPr>
                <w:rFonts w:hint="eastAsia"/>
                <w:lang w:val="en-US" w:eastAsia="zh-CN"/>
              </w:rPr>
              <w:t>臭气浓度</w:t>
            </w:r>
          </w:p>
        </w:tc>
        <w:tc>
          <w:tcPr>
            <w:tcW w:w="2276" w:type="dxa"/>
            <w:vMerge w:val="continue"/>
            <w:tcBorders>
              <w:tl2br w:val="nil"/>
              <w:tr2bl w:val="nil"/>
            </w:tcBorders>
            <w:vAlign w:val="center"/>
          </w:tcPr>
          <w:p w14:paraId="58ACCCBD">
            <w:pPr>
              <w:spacing w:before="33" w:after="33"/>
              <w:ind w:left="0" w:leftChars="0"/>
              <w:rPr>
                <w:rFonts w:hint="eastAsia"/>
                <w:bCs/>
                <w:lang w:val="en-US" w:eastAsia="zh-CN"/>
              </w:rPr>
            </w:pPr>
          </w:p>
        </w:tc>
        <w:tc>
          <w:tcPr>
            <w:tcW w:w="2523" w:type="dxa"/>
            <w:vMerge w:val="continue"/>
            <w:tcBorders>
              <w:tl2br w:val="nil"/>
              <w:tr2bl w:val="nil"/>
            </w:tcBorders>
            <w:vAlign w:val="center"/>
          </w:tcPr>
          <w:p w14:paraId="1EA7950C">
            <w:pPr>
              <w:spacing w:before="33" w:after="33"/>
              <w:jc w:val="center"/>
              <w:rPr>
                <w:rFonts w:hint="eastAsia"/>
                <w:lang w:val="en-US" w:eastAsia="zh-CN"/>
              </w:rPr>
            </w:pPr>
          </w:p>
        </w:tc>
      </w:tr>
      <w:tr w14:paraId="4955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16354658">
            <w:pPr>
              <w:spacing w:before="33" w:after="33"/>
              <w:rPr>
                <w:rFonts w:hint="eastAsia"/>
                <w:bCs/>
              </w:rPr>
            </w:pPr>
          </w:p>
        </w:tc>
        <w:tc>
          <w:tcPr>
            <w:tcW w:w="1343" w:type="dxa"/>
            <w:tcBorders>
              <w:tl2br w:val="nil"/>
              <w:tr2bl w:val="nil"/>
            </w:tcBorders>
            <w:vAlign w:val="center"/>
          </w:tcPr>
          <w:p w14:paraId="0B941DE2">
            <w:pPr>
              <w:pStyle w:val="32"/>
              <w:bidi w:val="0"/>
              <w:rPr>
                <w:rFonts w:hint="default"/>
                <w:bCs/>
                <w:lang w:val="en-US"/>
              </w:rPr>
            </w:pPr>
            <w:r>
              <w:rPr>
                <w:rFonts w:hint="eastAsia"/>
              </w:rPr>
              <w:t>DA00</w:t>
            </w:r>
            <w:r>
              <w:rPr>
                <w:rFonts w:hint="eastAsia"/>
                <w:lang w:val="en-US" w:eastAsia="zh-CN"/>
              </w:rPr>
              <w:t>2/食堂油烟</w:t>
            </w:r>
          </w:p>
        </w:tc>
        <w:tc>
          <w:tcPr>
            <w:tcW w:w="1654" w:type="dxa"/>
            <w:tcBorders>
              <w:tl2br w:val="nil"/>
              <w:tr2bl w:val="nil"/>
            </w:tcBorders>
            <w:shd w:val="clear" w:color="auto" w:fill="auto"/>
            <w:vAlign w:val="center"/>
          </w:tcPr>
          <w:p w14:paraId="7E3360FE">
            <w:pPr>
              <w:pStyle w:val="32"/>
              <w:bidi w:val="0"/>
              <w:rPr>
                <w:rFonts w:hint="default" w:ascii="Times New Roman" w:hAnsi="Times New Roman" w:eastAsia="宋体" w:cs="Times New Roman"/>
                <w:b w:val="0"/>
                <w:kern w:val="2"/>
                <w:szCs w:val="21"/>
                <w:lang w:val="en-US" w:eastAsia="zh-CN" w:bidi="ar-SA"/>
              </w:rPr>
            </w:pPr>
            <w:r>
              <w:rPr>
                <w:rFonts w:hint="eastAsia" w:cs="Times New Roman"/>
                <w:b w:val="0"/>
                <w:kern w:val="2"/>
                <w:szCs w:val="21"/>
                <w:lang w:val="en-US" w:eastAsia="zh-CN" w:bidi="ar-SA"/>
              </w:rPr>
              <w:t>饮食油烟</w:t>
            </w:r>
          </w:p>
        </w:tc>
        <w:tc>
          <w:tcPr>
            <w:tcW w:w="2276" w:type="dxa"/>
            <w:tcBorders>
              <w:tl2br w:val="nil"/>
              <w:tr2bl w:val="nil"/>
            </w:tcBorders>
            <w:vAlign w:val="center"/>
          </w:tcPr>
          <w:p w14:paraId="19D88FE9">
            <w:pPr>
              <w:pStyle w:val="32"/>
              <w:bidi w:val="0"/>
              <w:rPr>
                <w:rFonts w:hint="default"/>
                <w:bCs/>
                <w:lang w:val="en-US" w:eastAsia="zh-CN"/>
              </w:rPr>
            </w:pPr>
            <w:r>
              <w:rPr>
                <w:rFonts w:hint="eastAsia"/>
                <w:lang w:val="en-US" w:eastAsia="zh-CN"/>
              </w:rPr>
              <w:t>油烟净化器+高空排放</w:t>
            </w:r>
          </w:p>
        </w:tc>
        <w:tc>
          <w:tcPr>
            <w:tcW w:w="2523" w:type="dxa"/>
            <w:tcBorders>
              <w:tl2br w:val="nil"/>
              <w:tr2bl w:val="nil"/>
            </w:tcBorders>
            <w:vAlign w:val="center"/>
          </w:tcPr>
          <w:p w14:paraId="34605DA8">
            <w:pPr>
              <w:pStyle w:val="32"/>
              <w:bidi w:val="0"/>
              <w:rPr>
                <w:rFonts w:hint="eastAsia"/>
                <w:lang w:val="en-US" w:eastAsia="zh-CN"/>
              </w:rPr>
            </w:pPr>
            <w:r>
              <w:rPr>
                <w:rFonts w:cs="Times New Roman"/>
                <w:color w:val="auto"/>
              </w:rPr>
              <w:t>《</w:t>
            </w:r>
            <w:r>
              <w:rPr>
                <w:rFonts w:hint="eastAsia" w:cs="Times New Roman"/>
                <w:color w:val="auto"/>
              </w:rPr>
              <w:t>饮食业油烟排放标准</w:t>
            </w:r>
            <w:r>
              <w:rPr>
                <w:rFonts w:cs="Times New Roman"/>
                <w:color w:val="auto"/>
              </w:rPr>
              <w:t>》（GB18483-2001）</w:t>
            </w:r>
          </w:p>
        </w:tc>
      </w:tr>
      <w:tr w14:paraId="5A68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restart"/>
            <w:tcBorders>
              <w:tl2br w:val="nil"/>
              <w:tr2bl w:val="nil"/>
            </w:tcBorders>
            <w:vAlign w:val="center"/>
          </w:tcPr>
          <w:p w14:paraId="551ACE3A">
            <w:pPr>
              <w:pStyle w:val="32"/>
              <w:bidi w:val="0"/>
              <w:rPr>
                <w:bCs/>
              </w:rPr>
            </w:pPr>
            <w:r>
              <w:rPr>
                <w:rFonts w:hint="eastAsia"/>
              </w:rPr>
              <w:t>地表水环境</w:t>
            </w:r>
          </w:p>
        </w:tc>
        <w:tc>
          <w:tcPr>
            <w:tcW w:w="1343" w:type="dxa"/>
            <w:vMerge w:val="restart"/>
            <w:tcBorders>
              <w:tl2br w:val="nil"/>
              <w:tr2bl w:val="nil"/>
            </w:tcBorders>
            <w:vAlign w:val="center"/>
          </w:tcPr>
          <w:p w14:paraId="01517315">
            <w:pPr>
              <w:pStyle w:val="32"/>
              <w:bidi w:val="0"/>
              <w:rPr>
                <w:rFonts w:hint="default" w:eastAsia="宋体"/>
                <w:lang w:val="en-US" w:eastAsia="zh-CN"/>
              </w:rPr>
            </w:pPr>
            <w:r>
              <w:rPr>
                <w:rFonts w:hint="eastAsia"/>
                <w:lang w:val="en-US" w:eastAsia="zh-CN"/>
              </w:rPr>
              <w:t>废水总排口</w:t>
            </w:r>
          </w:p>
        </w:tc>
        <w:tc>
          <w:tcPr>
            <w:tcW w:w="1654" w:type="dxa"/>
            <w:tcBorders>
              <w:tl2br w:val="nil"/>
              <w:tr2bl w:val="nil"/>
            </w:tcBorders>
            <w:vAlign w:val="center"/>
          </w:tcPr>
          <w:p w14:paraId="1F4272E8">
            <w:pPr>
              <w:pStyle w:val="32"/>
              <w:bidi w:val="0"/>
              <w:rPr>
                <w:rFonts w:hint="eastAsia" w:eastAsia="宋体"/>
                <w:lang w:eastAsia="zh-CN"/>
              </w:rPr>
            </w:pPr>
            <w:r>
              <w:rPr>
                <w:rFonts w:hint="default"/>
                <w:vertAlign w:val="baseline"/>
                <w:lang w:val="en-US" w:eastAsia="zh-CN"/>
              </w:rPr>
              <w:t>粪大肠菌群数</w:t>
            </w:r>
          </w:p>
        </w:tc>
        <w:tc>
          <w:tcPr>
            <w:tcW w:w="2276" w:type="dxa"/>
            <w:vMerge w:val="restart"/>
            <w:tcBorders>
              <w:tl2br w:val="nil"/>
              <w:tr2bl w:val="nil"/>
            </w:tcBorders>
            <w:vAlign w:val="center"/>
          </w:tcPr>
          <w:p w14:paraId="70C2F78F">
            <w:pPr>
              <w:pStyle w:val="32"/>
              <w:bidi w:val="0"/>
              <w:rPr>
                <w:rFonts w:hint="default" w:eastAsia="宋体"/>
                <w:lang w:val="en-US" w:eastAsia="zh-CN"/>
              </w:rPr>
            </w:pPr>
            <w:r>
              <w:rPr>
                <w:rFonts w:hint="eastAsia"/>
                <w:lang w:val="en-US" w:eastAsia="zh-CN"/>
              </w:rPr>
              <w:t>化粪池+自建污水处理站</w:t>
            </w:r>
          </w:p>
        </w:tc>
        <w:tc>
          <w:tcPr>
            <w:tcW w:w="2523" w:type="dxa"/>
            <w:vMerge w:val="restart"/>
            <w:tcBorders>
              <w:tl2br w:val="nil"/>
              <w:tr2bl w:val="nil"/>
            </w:tcBorders>
            <w:vAlign w:val="center"/>
          </w:tcPr>
          <w:p w14:paraId="17F383B8">
            <w:pPr>
              <w:pStyle w:val="32"/>
              <w:bidi w:val="0"/>
              <w:rPr>
                <w:rFonts w:hint="eastAsia" w:eastAsia="宋体"/>
                <w:lang w:eastAsia="zh-CN"/>
              </w:rPr>
            </w:pPr>
            <w:r>
              <w:rPr>
                <w:rFonts w:hint="eastAsia" w:cs="Times New Roman"/>
                <w:color w:val="auto"/>
                <w:lang w:val="en-US" w:eastAsia="zh-CN"/>
              </w:rPr>
              <w:t>《医疗机构水污染物排放标准》(GB 18466-2005)表2中“预处理标准”和《污水排入城镇下水道水质标准》(GB/T31962-2015)B 级标准</w:t>
            </w:r>
          </w:p>
        </w:tc>
      </w:tr>
      <w:tr w14:paraId="4324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continue"/>
            <w:tcBorders>
              <w:tl2br w:val="nil"/>
              <w:tr2bl w:val="nil"/>
            </w:tcBorders>
            <w:vAlign w:val="center"/>
          </w:tcPr>
          <w:p w14:paraId="6FDAF1D1">
            <w:pPr>
              <w:pStyle w:val="32"/>
              <w:bidi w:val="0"/>
            </w:pPr>
          </w:p>
        </w:tc>
        <w:tc>
          <w:tcPr>
            <w:tcW w:w="1343" w:type="dxa"/>
            <w:vMerge w:val="continue"/>
            <w:tcBorders>
              <w:tl2br w:val="nil"/>
              <w:tr2bl w:val="nil"/>
            </w:tcBorders>
            <w:vAlign w:val="center"/>
          </w:tcPr>
          <w:p w14:paraId="2A067383">
            <w:pPr>
              <w:pStyle w:val="32"/>
              <w:bidi w:val="0"/>
            </w:pPr>
          </w:p>
        </w:tc>
        <w:tc>
          <w:tcPr>
            <w:tcW w:w="1654" w:type="dxa"/>
            <w:tcBorders>
              <w:tl2br w:val="nil"/>
              <w:tr2bl w:val="nil"/>
            </w:tcBorders>
            <w:vAlign w:val="center"/>
          </w:tcPr>
          <w:p w14:paraId="0EF04297">
            <w:pPr>
              <w:pStyle w:val="32"/>
              <w:bidi w:val="0"/>
              <w:rPr>
                <w:rFonts w:hint="default"/>
                <w:vertAlign w:val="baseline"/>
                <w:lang w:val="en-US" w:eastAsia="zh-CN"/>
              </w:rPr>
            </w:pPr>
            <w:r>
              <w:rPr>
                <w:rFonts w:hint="default"/>
                <w:vertAlign w:val="baseline"/>
                <w:lang w:val="en-US" w:eastAsia="zh-CN"/>
              </w:rPr>
              <w:t>肠道致病菌</w:t>
            </w:r>
          </w:p>
        </w:tc>
        <w:tc>
          <w:tcPr>
            <w:tcW w:w="2276" w:type="dxa"/>
            <w:vMerge w:val="continue"/>
            <w:tcBorders>
              <w:tl2br w:val="nil"/>
              <w:tr2bl w:val="nil"/>
            </w:tcBorders>
            <w:vAlign w:val="center"/>
          </w:tcPr>
          <w:p w14:paraId="683BF17A">
            <w:pPr>
              <w:pStyle w:val="32"/>
              <w:bidi w:val="0"/>
              <w:rPr>
                <w:rFonts w:hint="default"/>
                <w:vertAlign w:val="baseline"/>
                <w:lang w:val="en-US" w:eastAsia="zh-CN"/>
              </w:rPr>
            </w:pPr>
          </w:p>
        </w:tc>
        <w:tc>
          <w:tcPr>
            <w:tcW w:w="2523" w:type="dxa"/>
            <w:vMerge w:val="continue"/>
            <w:tcBorders>
              <w:tl2br w:val="nil"/>
              <w:tr2bl w:val="nil"/>
            </w:tcBorders>
            <w:vAlign w:val="center"/>
          </w:tcPr>
          <w:p w14:paraId="3424D9CE">
            <w:pPr>
              <w:pStyle w:val="32"/>
              <w:bidi w:val="0"/>
              <w:rPr>
                <w:rFonts w:hint="default"/>
                <w:vertAlign w:val="baseline"/>
                <w:lang w:val="en-US" w:eastAsia="zh-CN"/>
              </w:rPr>
            </w:pPr>
          </w:p>
        </w:tc>
      </w:tr>
      <w:tr w14:paraId="3898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continue"/>
            <w:tcBorders>
              <w:tl2br w:val="nil"/>
              <w:tr2bl w:val="nil"/>
            </w:tcBorders>
            <w:vAlign w:val="center"/>
          </w:tcPr>
          <w:p w14:paraId="2C7671F3">
            <w:pPr>
              <w:pStyle w:val="32"/>
              <w:bidi w:val="0"/>
              <w:rPr>
                <w:rFonts w:hint="default"/>
                <w:vertAlign w:val="baseline"/>
                <w:lang w:val="en-US" w:eastAsia="zh-CN"/>
              </w:rPr>
            </w:pPr>
          </w:p>
        </w:tc>
        <w:tc>
          <w:tcPr>
            <w:tcW w:w="1343" w:type="dxa"/>
            <w:vMerge w:val="continue"/>
            <w:tcBorders>
              <w:tl2br w:val="nil"/>
              <w:tr2bl w:val="nil"/>
            </w:tcBorders>
            <w:vAlign w:val="center"/>
          </w:tcPr>
          <w:p w14:paraId="0BD122E8">
            <w:pPr>
              <w:pStyle w:val="32"/>
              <w:bidi w:val="0"/>
              <w:rPr>
                <w:rFonts w:hint="default"/>
                <w:vertAlign w:val="baseline"/>
                <w:lang w:val="en-US" w:eastAsia="zh-CN"/>
              </w:rPr>
            </w:pPr>
          </w:p>
        </w:tc>
        <w:tc>
          <w:tcPr>
            <w:tcW w:w="1654" w:type="dxa"/>
            <w:tcBorders>
              <w:tl2br w:val="nil"/>
              <w:tr2bl w:val="nil"/>
            </w:tcBorders>
            <w:vAlign w:val="center"/>
          </w:tcPr>
          <w:p w14:paraId="06AE7AA9">
            <w:pPr>
              <w:pStyle w:val="32"/>
              <w:bidi w:val="0"/>
              <w:rPr>
                <w:rFonts w:hint="default"/>
                <w:vertAlign w:val="baseline"/>
                <w:lang w:val="en-US" w:eastAsia="zh-CN"/>
              </w:rPr>
            </w:pPr>
            <w:r>
              <w:rPr>
                <w:rFonts w:hint="default"/>
                <w:vertAlign w:val="baseline"/>
                <w:lang w:val="en-US" w:eastAsia="zh-CN"/>
              </w:rPr>
              <w:t>肠道病毒</w:t>
            </w:r>
          </w:p>
        </w:tc>
        <w:tc>
          <w:tcPr>
            <w:tcW w:w="2276" w:type="dxa"/>
            <w:vMerge w:val="continue"/>
            <w:tcBorders>
              <w:tl2br w:val="nil"/>
              <w:tr2bl w:val="nil"/>
            </w:tcBorders>
            <w:vAlign w:val="center"/>
          </w:tcPr>
          <w:p w14:paraId="723EC586">
            <w:pPr>
              <w:pStyle w:val="32"/>
              <w:bidi w:val="0"/>
              <w:rPr>
                <w:rFonts w:hint="default"/>
                <w:vertAlign w:val="baseline"/>
                <w:lang w:val="en-US" w:eastAsia="zh-CN"/>
              </w:rPr>
            </w:pPr>
          </w:p>
        </w:tc>
        <w:tc>
          <w:tcPr>
            <w:tcW w:w="2523" w:type="dxa"/>
            <w:vMerge w:val="continue"/>
            <w:tcBorders>
              <w:tl2br w:val="nil"/>
              <w:tr2bl w:val="nil"/>
            </w:tcBorders>
            <w:vAlign w:val="center"/>
          </w:tcPr>
          <w:p w14:paraId="46CBD74F">
            <w:pPr>
              <w:pStyle w:val="32"/>
              <w:bidi w:val="0"/>
              <w:rPr>
                <w:rFonts w:hint="default"/>
                <w:vertAlign w:val="baseline"/>
                <w:lang w:val="en-US" w:eastAsia="zh-CN"/>
              </w:rPr>
            </w:pPr>
          </w:p>
        </w:tc>
      </w:tr>
      <w:tr w14:paraId="5D22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continue"/>
            <w:tcBorders>
              <w:tl2br w:val="nil"/>
              <w:tr2bl w:val="nil"/>
            </w:tcBorders>
            <w:vAlign w:val="center"/>
          </w:tcPr>
          <w:p w14:paraId="1D61DB34">
            <w:pPr>
              <w:pStyle w:val="32"/>
              <w:bidi w:val="0"/>
              <w:rPr>
                <w:rFonts w:hint="default"/>
                <w:vertAlign w:val="baseline"/>
                <w:lang w:val="en-US" w:eastAsia="zh-CN"/>
              </w:rPr>
            </w:pPr>
          </w:p>
        </w:tc>
        <w:tc>
          <w:tcPr>
            <w:tcW w:w="1343" w:type="dxa"/>
            <w:vMerge w:val="continue"/>
            <w:tcBorders>
              <w:tl2br w:val="nil"/>
              <w:tr2bl w:val="nil"/>
            </w:tcBorders>
            <w:vAlign w:val="center"/>
          </w:tcPr>
          <w:p w14:paraId="3072DFBA">
            <w:pPr>
              <w:pStyle w:val="32"/>
              <w:bidi w:val="0"/>
              <w:rPr>
                <w:rFonts w:hint="default"/>
                <w:vertAlign w:val="baseline"/>
                <w:lang w:val="en-US" w:eastAsia="zh-CN"/>
              </w:rPr>
            </w:pPr>
          </w:p>
        </w:tc>
        <w:tc>
          <w:tcPr>
            <w:tcW w:w="1654" w:type="dxa"/>
            <w:tcBorders>
              <w:tl2br w:val="nil"/>
              <w:tr2bl w:val="nil"/>
            </w:tcBorders>
            <w:vAlign w:val="center"/>
          </w:tcPr>
          <w:p w14:paraId="1DDD1BFD">
            <w:pPr>
              <w:pStyle w:val="32"/>
              <w:bidi w:val="0"/>
              <w:rPr>
                <w:rFonts w:hint="default"/>
                <w:vertAlign w:val="baseline"/>
                <w:lang w:val="en-US" w:eastAsia="zh-CN"/>
              </w:rPr>
            </w:pPr>
            <w:r>
              <w:rPr>
                <w:rFonts w:hint="default"/>
                <w:vertAlign w:val="baseline"/>
                <w:lang w:val="en-US" w:eastAsia="zh-CN"/>
              </w:rPr>
              <w:t>化学需氧量</w:t>
            </w:r>
          </w:p>
        </w:tc>
        <w:tc>
          <w:tcPr>
            <w:tcW w:w="2276" w:type="dxa"/>
            <w:vMerge w:val="continue"/>
            <w:tcBorders>
              <w:tl2br w:val="nil"/>
              <w:tr2bl w:val="nil"/>
            </w:tcBorders>
            <w:vAlign w:val="center"/>
          </w:tcPr>
          <w:p w14:paraId="0AFAE06A">
            <w:pPr>
              <w:pStyle w:val="32"/>
              <w:bidi w:val="0"/>
              <w:rPr>
                <w:rFonts w:hint="default"/>
                <w:vertAlign w:val="baseline"/>
                <w:lang w:val="en-US" w:eastAsia="zh-CN"/>
              </w:rPr>
            </w:pPr>
          </w:p>
        </w:tc>
        <w:tc>
          <w:tcPr>
            <w:tcW w:w="2523" w:type="dxa"/>
            <w:vMerge w:val="continue"/>
            <w:tcBorders>
              <w:tl2br w:val="nil"/>
              <w:tr2bl w:val="nil"/>
            </w:tcBorders>
            <w:vAlign w:val="center"/>
          </w:tcPr>
          <w:p w14:paraId="7AB00928">
            <w:pPr>
              <w:pStyle w:val="32"/>
              <w:bidi w:val="0"/>
              <w:rPr>
                <w:rFonts w:hint="default"/>
                <w:vertAlign w:val="baseline"/>
                <w:lang w:val="en-US" w:eastAsia="zh-CN"/>
              </w:rPr>
            </w:pPr>
          </w:p>
        </w:tc>
      </w:tr>
      <w:tr w14:paraId="6974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continue"/>
            <w:tcBorders>
              <w:tl2br w:val="nil"/>
              <w:tr2bl w:val="nil"/>
            </w:tcBorders>
            <w:vAlign w:val="center"/>
          </w:tcPr>
          <w:p w14:paraId="4DFB2963">
            <w:pPr>
              <w:pStyle w:val="32"/>
              <w:bidi w:val="0"/>
              <w:rPr>
                <w:rFonts w:hint="default"/>
                <w:vertAlign w:val="baseline"/>
                <w:lang w:val="en-US" w:eastAsia="zh-CN"/>
              </w:rPr>
            </w:pPr>
          </w:p>
        </w:tc>
        <w:tc>
          <w:tcPr>
            <w:tcW w:w="1343" w:type="dxa"/>
            <w:vMerge w:val="continue"/>
            <w:tcBorders>
              <w:tl2br w:val="nil"/>
              <w:tr2bl w:val="nil"/>
            </w:tcBorders>
            <w:vAlign w:val="center"/>
          </w:tcPr>
          <w:p w14:paraId="08A639B5">
            <w:pPr>
              <w:pStyle w:val="32"/>
              <w:bidi w:val="0"/>
              <w:rPr>
                <w:rFonts w:hint="default"/>
                <w:vertAlign w:val="baseline"/>
                <w:lang w:val="en-US" w:eastAsia="zh-CN"/>
              </w:rPr>
            </w:pPr>
          </w:p>
        </w:tc>
        <w:tc>
          <w:tcPr>
            <w:tcW w:w="1654" w:type="dxa"/>
            <w:tcBorders>
              <w:tl2br w:val="nil"/>
              <w:tr2bl w:val="nil"/>
            </w:tcBorders>
            <w:vAlign w:val="center"/>
          </w:tcPr>
          <w:p w14:paraId="08BA07AF">
            <w:pPr>
              <w:pStyle w:val="32"/>
              <w:bidi w:val="0"/>
              <w:rPr>
                <w:rFonts w:hint="default"/>
                <w:vertAlign w:val="baseline"/>
                <w:lang w:val="en-US" w:eastAsia="zh-CN"/>
              </w:rPr>
            </w:pPr>
            <w:r>
              <w:rPr>
                <w:rFonts w:hint="default"/>
                <w:vertAlign w:val="baseline"/>
                <w:lang w:val="en-US" w:eastAsia="zh-CN"/>
              </w:rPr>
              <w:t>氨氦</w:t>
            </w:r>
          </w:p>
        </w:tc>
        <w:tc>
          <w:tcPr>
            <w:tcW w:w="2276" w:type="dxa"/>
            <w:vMerge w:val="continue"/>
            <w:tcBorders>
              <w:tl2br w:val="nil"/>
              <w:tr2bl w:val="nil"/>
            </w:tcBorders>
            <w:vAlign w:val="center"/>
          </w:tcPr>
          <w:p w14:paraId="23FB52BE">
            <w:pPr>
              <w:pStyle w:val="32"/>
              <w:bidi w:val="0"/>
              <w:rPr>
                <w:rFonts w:hint="default"/>
                <w:vertAlign w:val="baseline"/>
                <w:lang w:val="en-US" w:eastAsia="zh-CN"/>
              </w:rPr>
            </w:pPr>
          </w:p>
        </w:tc>
        <w:tc>
          <w:tcPr>
            <w:tcW w:w="2523" w:type="dxa"/>
            <w:vMerge w:val="continue"/>
            <w:tcBorders>
              <w:tl2br w:val="nil"/>
              <w:tr2bl w:val="nil"/>
            </w:tcBorders>
            <w:vAlign w:val="center"/>
          </w:tcPr>
          <w:p w14:paraId="6ABA7034">
            <w:pPr>
              <w:pStyle w:val="32"/>
              <w:bidi w:val="0"/>
              <w:rPr>
                <w:rFonts w:hint="default"/>
                <w:vertAlign w:val="baseline"/>
                <w:lang w:val="en-US" w:eastAsia="zh-CN"/>
              </w:rPr>
            </w:pPr>
          </w:p>
        </w:tc>
      </w:tr>
      <w:tr w14:paraId="2ABB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continue"/>
            <w:tcBorders>
              <w:tl2br w:val="nil"/>
              <w:tr2bl w:val="nil"/>
            </w:tcBorders>
            <w:vAlign w:val="center"/>
          </w:tcPr>
          <w:p w14:paraId="51468058">
            <w:pPr>
              <w:pStyle w:val="32"/>
              <w:bidi w:val="0"/>
              <w:rPr>
                <w:rFonts w:hint="default"/>
                <w:vertAlign w:val="baseline"/>
                <w:lang w:val="en-US" w:eastAsia="zh-CN"/>
              </w:rPr>
            </w:pPr>
          </w:p>
        </w:tc>
        <w:tc>
          <w:tcPr>
            <w:tcW w:w="1343" w:type="dxa"/>
            <w:vMerge w:val="continue"/>
            <w:tcBorders>
              <w:tl2br w:val="nil"/>
              <w:tr2bl w:val="nil"/>
            </w:tcBorders>
            <w:vAlign w:val="center"/>
          </w:tcPr>
          <w:p w14:paraId="00F74E35">
            <w:pPr>
              <w:pStyle w:val="32"/>
              <w:bidi w:val="0"/>
              <w:rPr>
                <w:rFonts w:hint="default"/>
                <w:vertAlign w:val="baseline"/>
                <w:lang w:val="en-US" w:eastAsia="zh-CN"/>
              </w:rPr>
            </w:pPr>
          </w:p>
        </w:tc>
        <w:tc>
          <w:tcPr>
            <w:tcW w:w="1654" w:type="dxa"/>
            <w:tcBorders>
              <w:tl2br w:val="nil"/>
              <w:tr2bl w:val="nil"/>
            </w:tcBorders>
            <w:vAlign w:val="center"/>
          </w:tcPr>
          <w:p w14:paraId="245FCE69">
            <w:pPr>
              <w:pStyle w:val="32"/>
              <w:bidi w:val="0"/>
              <w:rPr>
                <w:rFonts w:hint="default"/>
                <w:vertAlign w:val="baseline"/>
                <w:lang w:val="en-US" w:eastAsia="zh-CN"/>
              </w:rPr>
            </w:pPr>
            <w:r>
              <w:rPr>
                <w:rFonts w:hint="eastAsia"/>
                <w:vertAlign w:val="baseline"/>
                <w:lang w:val="en-US" w:eastAsia="zh-CN"/>
              </w:rPr>
              <w:t>p</w:t>
            </w:r>
            <w:r>
              <w:rPr>
                <w:rFonts w:hint="default"/>
                <w:vertAlign w:val="baseline"/>
                <w:lang w:val="en-US" w:eastAsia="zh-CN"/>
              </w:rPr>
              <w:t>H 值</w:t>
            </w:r>
          </w:p>
        </w:tc>
        <w:tc>
          <w:tcPr>
            <w:tcW w:w="2276" w:type="dxa"/>
            <w:vMerge w:val="continue"/>
            <w:tcBorders>
              <w:tl2br w:val="nil"/>
              <w:tr2bl w:val="nil"/>
            </w:tcBorders>
            <w:vAlign w:val="center"/>
          </w:tcPr>
          <w:p w14:paraId="5581E73D">
            <w:pPr>
              <w:pStyle w:val="32"/>
              <w:bidi w:val="0"/>
              <w:rPr>
                <w:rFonts w:hint="default"/>
                <w:vertAlign w:val="baseline"/>
                <w:lang w:val="en-US" w:eastAsia="zh-CN"/>
              </w:rPr>
            </w:pPr>
          </w:p>
        </w:tc>
        <w:tc>
          <w:tcPr>
            <w:tcW w:w="2523" w:type="dxa"/>
            <w:vMerge w:val="continue"/>
            <w:tcBorders>
              <w:tl2br w:val="nil"/>
              <w:tr2bl w:val="nil"/>
            </w:tcBorders>
            <w:vAlign w:val="center"/>
          </w:tcPr>
          <w:p w14:paraId="204243EC">
            <w:pPr>
              <w:pStyle w:val="32"/>
              <w:bidi w:val="0"/>
              <w:rPr>
                <w:rFonts w:hint="default"/>
                <w:vertAlign w:val="baseline"/>
                <w:lang w:val="en-US" w:eastAsia="zh-CN"/>
              </w:rPr>
            </w:pPr>
          </w:p>
        </w:tc>
      </w:tr>
      <w:tr w14:paraId="1499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continue"/>
            <w:tcBorders>
              <w:tl2br w:val="nil"/>
              <w:tr2bl w:val="nil"/>
            </w:tcBorders>
            <w:vAlign w:val="center"/>
          </w:tcPr>
          <w:p w14:paraId="333B3910">
            <w:pPr>
              <w:pStyle w:val="32"/>
              <w:bidi w:val="0"/>
              <w:rPr>
                <w:rFonts w:hint="default"/>
                <w:vertAlign w:val="baseline"/>
                <w:lang w:val="en-US" w:eastAsia="zh-CN"/>
              </w:rPr>
            </w:pPr>
          </w:p>
        </w:tc>
        <w:tc>
          <w:tcPr>
            <w:tcW w:w="1343" w:type="dxa"/>
            <w:vMerge w:val="continue"/>
            <w:tcBorders>
              <w:tl2br w:val="nil"/>
              <w:tr2bl w:val="nil"/>
            </w:tcBorders>
            <w:vAlign w:val="center"/>
          </w:tcPr>
          <w:p w14:paraId="46EF2C7D">
            <w:pPr>
              <w:pStyle w:val="32"/>
              <w:bidi w:val="0"/>
              <w:rPr>
                <w:rFonts w:hint="default"/>
                <w:vertAlign w:val="baseline"/>
                <w:lang w:val="en-US" w:eastAsia="zh-CN"/>
              </w:rPr>
            </w:pPr>
          </w:p>
        </w:tc>
        <w:tc>
          <w:tcPr>
            <w:tcW w:w="1654" w:type="dxa"/>
            <w:tcBorders>
              <w:tl2br w:val="nil"/>
              <w:tr2bl w:val="nil"/>
            </w:tcBorders>
            <w:vAlign w:val="center"/>
          </w:tcPr>
          <w:p w14:paraId="0060DF7A">
            <w:pPr>
              <w:pStyle w:val="32"/>
              <w:bidi w:val="0"/>
              <w:rPr>
                <w:rFonts w:hint="default"/>
                <w:vertAlign w:val="baseline"/>
                <w:lang w:val="en-US" w:eastAsia="zh-CN"/>
              </w:rPr>
            </w:pPr>
            <w:r>
              <w:rPr>
                <w:rFonts w:hint="default"/>
                <w:vertAlign w:val="baseline"/>
                <w:lang w:val="en-US" w:eastAsia="zh-CN"/>
              </w:rPr>
              <w:t>悬浮物</w:t>
            </w:r>
          </w:p>
        </w:tc>
        <w:tc>
          <w:tcPr>
            <w:tcW w:w="2276" w:type="dxa"/>
            <w:vMerge w:val="continue"/>
            <w:tcBorders>
              <w:tl2br w:val="nil"/>
              <w:tr2bl w:val="nil"/>
            </w:tcBorders>
            <w:vAlign w:val="center"/>
          </w:tcPr>
          <w:p w14:paraId="15DF591B">
            <w:pPr>
              <w:pStyle w:val="32"/>
              <w:bidi w:val="0"/>
              <w:rPr>
                <w:rFonts w:hint="default"/>
                <w:vertAlign w:val="baseline"/>
                <w:lang w:val="en-US" w:eastAsia="zh-CN"/>
              </w:rPr>
            </w:pPr>
          </w:p>
        </w:tc>
        <w:tc>
          <w:tcPr>
            <w:tcW w:w="2523" w:type="dxa"/>
            <w:vMerge w:val="continue"/>
            <w:tcBorders>
              <w:tl2br w:val="nil"/>
              <w:tr2bl w:val="nil"/>
            </w:tcBorders>
            <w:vAlign w:val="center"/>
          </w:tcPr>
          <w:p w14:paraId="4A11EC28">
            <w:pPr>
              <w:pStyle w:val="32"/>
              <w:bidi w:val="0"/>
              <w:rPr>
                <w:rFonts w:hint="default"/>
                <w:vertAlign w:val="baseline"/>
                <w:lang w:val="en-US" w:eastAsia="zh-CN"/>
              </w:rPr>
            </w:pPr>
          </w:p>
        </w:tc>
      </w:tr>
      <w:tr w14:paraId="65C1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continue"/>
            <w:tcBorders>
              <w:tl2br w:val="nil"/>
              <w:tr2bl w:val="nil"/>
            </w:tcBorders>
            <w:vAlign w:val="center"/>
          </w:tcPr>
          <w:p w14:paraId="6D524EBF">
            <w:pPr>
              <w:pStyle w:val="32"/>
              <w:bidi w:val="0"/>
              <w:rPr>
                <w:rFonts w:hint="default"/>
                <w:vertAlign w:val="baseline"/>
                <w:lang w:val="en-US" w:eastAsia="zh-CN"/>
              </w:rPr>
            </w:pPr>
          </w:p>
        </w:tc>
        <w:tc>
          <w:tcPr>
            <w:tcW w:w="1343" w:type="dxa"/>
            <w:vMerge w:val="continue"/>
            <w:tcBorders>
              <w:tl2br w:val="nil"/>
              <w:tr2bl w:val="nil"/>
            </w:tcBorders>
            <w:vAlign w:val="center"/>
          </w:tcPr>
          <w:p w14:paraId="60C81DCB">
            <w:pPr>
              <w:pStyle w:val="32"/>
              <w:bidi w:val="0"/>
              <w:rPr>
                <w:rFonts w:hint="default"/>
                <w:vertAlign w:val="baseline"/>
                <w:lang w:val="en-US" w:eastAsia="zh-CN"/>
              </w:rPr>
            </w:pPr>
          </w:p>
        </w:tc>
        <w:tc>
          <w:tcPr>
            <w:tcW w:w="1654" w:type="dxa"/>
            <w:tcBorders>
              <w:tl2br w:val="nil"/>
              <w:tr2bl w:val="nil"/>
            </w:tcBorders>
            <w:vAlign w:val="center"/>
          </w:tcPr>
          <w:p w14:paraId="4CACED92">
            <w:pPr>
              <w:pStyle w:val="32"/>
              <w:bidi w:val="0"/>
              <w:rPr>
                <w:rFonts w:hint="default"/>
                <w:vertAlign w:val="baseline"/>
                <w:lang w:val="en-US" w:eastAsia="zh-CN"/>
              </w:rPr>
            </w:pPr>
            <w:r>
              <w:rPr>
                <w:rFonts w:hint="default"/>
                <w:vertAlign w:val="baseline"/>
                <w:lang w:val="en-US" w:eastAsia="zh-CN"/>
              </w:rPr>
              <w:t>五日生化需氧量</w:t>
            </w:r>
          </w:p>
        </w:tc>
        <w:tc>
          <w:tcPr>
            <w:tcW w:w="2276" w:type="dxa"/>
            <w:vMerge w:val="continue"/>
            <w:tcBorders>
              <w:tl2br w:val="nil"/>
              <w:tr2bl w:val="nil"/>
            </w:tcBorders>
            <w:vAlign w:val="center"/>
          </w:tcPr>
          <w:p w14:paraId="2EEA0FD3">
            <w:pPr>
              <w:pStyle w:val="32"/>
              <w:bidi w:val="0"/>
              <w:rPr>
                <w:rFonts w:hint="default"/>
                <w:vertAlign w:val="baseline"/>
                <w:lang w:val="en-US" w:eastAsia="zh-CN"/>
              </w:rPr>
            </w:pPr>
          </w:p>
        </w:tc>
        <w:tc>
          <w:tcPr>
            <w:tcW w:w="2523" w:type="dxa"/>
            <w:vMerge w:val="continue"/>
            <w:tcBorders>
              <w:tl2br w:val="nil"/>
              <w:tr2bl w:val="nil"/>
            </w:tcBorders>
            <w:vAlign w:val="center"/>
          </w:tcPr>
          <w:p w14:paraId="5F5F7A03">
            <w:pPr>
              <w:pStyle w:val="32"/>
              <w:bidi w:val="0"/>
              <w:rPr>
                <w:rFonts w:hint="default"/>
                <w:vertAlign w:val="baseline"/>
                <w:lang w:val="en-US" w:eastAsia="zh-CN"/>
              </w:rPr>
            </w:pPr>
          </w:p>
        </w:tc>
      </w:tr>
      <w:tr w14:paraId="48A2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continue"/>
            <w:tcBorders>
              <w:tl2br w:val="nil"/>
              <w:tr2bl w:val="nil"/>
            </w:tcBorders>
            <w:vAlign w:val="center"/>
          </w:tcPr>
          <w:p w14:paraId="7CEB6448">
            <w:pPr>
              <w:pStyle w:val="32"/>
              <w:bidi w:val="0"/>
              <w:rPr>
                <w:rFonts w:hint="default"/>
                <w:vertAlign w:val="baseline"/>
                <w:lang w:val="en-US" w:eastAsia="zh-CN"/>
              </w:rPr>
            </w:pPr>
          </w:p>
        </w:tc>
        <w:tc>
          <w:tcPr>
            <w:tcW w:w="1343" w:type="dxa"/>
            <w:vMerge w:val="continue"/>
            <w:tcBorders>
              <w:tl2br w:val="nil"/>
              <w:tr2bl w:val="nil"/>
            </w:tcBorders>
            <w:vAlign w:val="center"/>
          </w:tcPr>
          <w:p w14:paraId="58E2C2C0">
            <w:pPr>
              <w:pStyle w:val="32"/>
              <w:bidi w:val="0"/>
              <w:rPr>
                <w:rFonts w:hint="default"/>
                <w:vertAlign w:val="baseline"/>
                <w:lang w:val="en-US" w:eastAsia="zh-CN"/>
              </w:rPr>
            </w:pPr>
          </w:p>
        </w:tc>
        <w:tc>
          <w:tcPr>
            <w:tcW w:w="1654" w:type="dxa"/>
            <w:tcBorders>
              <w:tl2br w:val="nil"/>
              <w:tr2bl w:val="nil"/>
            </w:tcBorders>
            <w:vAlign w:val="center"/>
          </w:tcPr>
          <w:p w14:paraId="444341CC">
            <w:pPr>
              <w:pStyle w:val="32"/>
              <w:bidi w:val="0"/>
              <w:rPr>
                <w:rFonts w:hint="default"/>
                <w:vertAlign w:val="baseline"/>
                <w:lang w:val="en-US" w:eastAsia="zh-CN"/>
              </w:rPr>
            </w:pPr>
            <w:r>
              <w:rPr>
                <w:rFonts w:hint="default"/>
                <w:vertAlign w:val="baseline"/>
                <w:lang w:val="en-US" w:eastAsia="zh-CN"/>
              </w:rPr>
              <w:t>动植物油</w:t>
            </w:r>
          </w:p>
        </w:tc>
        <w:tc>
          <w:tcPr>
            <w:tcW w:w="2276" w:type="dxa"/>
            <w:vMerge w:val="continue"/>
            <w:tcBorders>
              <w:tl2br w:val="nil"/>
              <w:tr2bl w:val="nil"/>
            </w:tcBorders>
            <w:vAlign w:val="center"/>
          </w:tcPr>
          <w:p w14:paraId="51E809D4">
            <w:pPr>
              <w:pStyle w:val="32"/>
              <w:bidi w:val="0"/>
              <w:rPr>
                <w:rFonts w:hint="default"/>
                <w:vertAlign w:val="baseline"/>
                <w:lang w:val="en-US" w:eastAsia="zh-CN"/>
              </w:rPr>
            </w:pPr>
          </w:p>
        </w:tc>
        <w:tc>
          <w:tcPr>
            <w:tcW w:w="2523" w:type="dxa"/>
            <w:vMerge w:val="continue"/>
            <w:tcBorders>
              <w:tl2br w:val="nil"/>
              <w:tr2bl w:val="nil"/>
            </w:tcBorders>
            <w:vAlign w:val="center"/>
          </w:tcPr>
          <w:p w14:paraId="64D4C882">
            <w:pPr>
              <w:pStyle w:val="32"/>
              <w:bidi w:val="0"/>
              <w:rPr>
                <w:rFonts w:hint="default"/>
                <w:vertAlign w:val="baseline"/>
                <w:lang w:val="en-US" w:eastAsia="zh-CN"/>
              </w:rPr>
            </w:pPr>
          </w:p>
        </w:tc>
      </w:tr>
      <w:tr w14:paraId="33B0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101" w:type="dxa"/>
            <w:vMerge w:val="continue"/>
            <w:tcBorders>
              <w:tl2br w:val="nil"/>
              <w:tr2bl w:val="nil"/>
            </w:tcBorders>
            <w:vAlign w:val="center"/>
          </w:tcPr>
          <w:p w14:paraId="4A786E15">
            <w:pPr>
              <w:pStyle w:val="32"/>
              <w:bidi w:val="0"/>
              <w:rPr>
                <w:rFonts w:hint="default"/>
                <w:vertAlign w:val="baseline"/>
                <w:lang w:val="en-US" w:eastAsia="zh-CN"/>
              </w:rPr>
            </w:pPr>
          </w:p>
        </w:tc>
        <w:tc>
          <w:tcPr>
            <w:tcW w:w="1343" w:type="dxa"/>
            <w:vMerge w:val="continue"/>
            <w:tcBorders>
              <w:tl2br w:val="nil"/>
              <w:tr2bl w:val="nil"/>
            </w:tcBorders>
            <w:vAlign w:val="center"/>
          </w:tcPr>
          <w:p w14:paraId="76DD959A">
            <w:pPr>
              <w:pStyle w:val="32"/>
              <w:bidi w:val="0"/>
              <w:rPr>
                <w:rFonts w:hint="default"/>
                <w:vertAlign w:val="baseline"/>
                <w:lang w:val="en-US" w:eastAsia="zh-CN"/>
              </w:rPr>
            </w:pPr>
          </w:p>
        </w:tc>
        <w:tc>
          <w:tcPr>
            <w:tcW w:w="1654" w:type="dxa"/>
            <w:tcBorders>
              <w:tl2br w:val="nil"/>
              <w:tr2bl w:val="nil"/>
            </w:tcBorders>
            <w:vAlign w:val="center"/>
          </w:tcPr>
          <w:p w14:paraId="32BA391C">
            <w:pPr>
              <w:pStyle w:val="32"/>
              <w:bidi w:val="0"/>
              <w:rPr>
                <w:rFonts w:hint="default"/>
                <w:vertAlign w:val="baseline"/>
                <w:lang w:val="en-US" w:eastAsia="zh-CN"/>
              </w:rPr>
            </w:pPr>
            <w:r>
              <w:rPr>
                <w:rFonts w:hint="default"/>
                <w:vertAlign w:val="baseline"/>
                <w:lang w:val="en-US" w:eastAsia="zh-CN"/>
              </w:rPr>
              <w:t>总余氯</w:t>
            </w:r>
          </w:p>
        </w:tc>
        <w:tc>
          <w:tcPr>
            <w:tcW w:w="2276" w:type="dxa"/>
            <w:vMerge w:val="continue"/>
            <w:tcBorders>
              <w:tl2br w:val="nil"/>
              <w:tr2bl w:val="nil"/>
            </w:tcBorders>
            <w:vAlign w:val="center"/>
          </w:tcPr>
          <w:p w14:paraId="191908CF">
            <w:pPr>
              <w:pStyle w:val="32"/>
              <w:bidi w:val="0"/>
              <w:rPr>
                <w:rFonts w:hint="default"/>
                <w:vertAlign w:val="baseline"/>
                <w:lang w:val="en-US" w:eastAsia="zh-CN"/>
              </w:rPr>
            </w:pPr>
          </w:p>
        </w:tc>
        <w:tc>
          <w:tcPr>
            <w:tcW w:w="2523" w:type="dxa"/>
            <w:vMerge w:val="continue"/>
            <w:tcBorders>
              <w:tl2br w:val="nil"/>
              <w:tr2bl w:val="nil"/>
            </w:tcBorders>
            <w:vAlign w:val="center"/>
          </w:tcPr>
          <w:p w14:paraId="488A31F3">
            <w:pPr>
              <w:pStyle w:val="32"/>
              <w:bidi w:val="0"/>
              <w:rPr>
                <w:rFonts w:hint="default"/>
                <w:vertAlign w:val="baseline"/>
                <w:lang w:val="en-US" w:eastAsia="zh-CN"/>
              </w:rPr>
            </w:pPr>
          </w:p>
        </w:tc>
      </w:tr>
      <w:tr w14:paraId="2FA1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restart"/>
            <w:tcBorders>
              <w:tl2br w:val="nil"/>
              <w:tr2bl w:val="nil"/>
            </w:tcBorders>
            <w:vAlign w:val="center"/>
          </w:tcPr>
          <w:p w14:paraId="3857EDF0">
            <w:pPr>
              <w:pStyle w:val="32"/>
              <w:bidi w:val="0"/>
              <w:rPr>
                <w:bCs/>
              </w:rPr>
            </w:pPr>
            <w:r>
              <w:rPr>
                <w:rFonts w:hint="eastAsia"/>
              </w:rPr>
              <w:t>固体废物</w:t>
            </w:r>
          </w:p>
        </w:tc>
        <w:tc>
          <w:tcPr>
            <w:tcW w:w="1343" w:type="dxa"/>
            <w:tcBorders>
              <w:tl2br w:val="nil"/>
              <w:tr2bl w:val="nil"/>
            </w:tcBorders>
            <w:shd w:val="clear" w:color="auto" w:fill="auto"/>
            <w:vAlign w:val="center"/>
          </w:tcPr>
          <w:p w14:paraId="5781387A">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生活</w:t>
            </w:r>
          </w:p>
        </w:tc>
        <w:tc>
          <w:tcPr>
            <w:tcW w:w="1654" w:type="dxa"/>
            <w:tcBorders>
              <w:tl2br w:val="nil"/>
              <w:tr2bl w:val="nil"/>
            </w:tcBorders>
            <w:shd w:val="clear" w:color="auto" w:fill="auto"/>
            <w:vAlign w:val="center"/>
          </w:tcPr>
          <w:p w14:paraId="769F8168">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生活垃圾</w:t>
            </w:r>
          </w:p>
        </w:tc>
        <w:tc>
          <w:tcPr>
            <w:tcW w:w="2276" w:type="dxa"/>
            <w:tcBorders>
              <w:tl2br w:val="nil"/>
              <w:tr2bl w:val="nil"/>
            </w:tcBorders>
            <w:shd w:val="clear" w:color="auto" w:fill="auto"/>
            <w:vAlign w:val="center"/>
          </w:tcPr>
          <w:p w14:paraId="08922BC6">
            <w:pPr>
              <w:pStyle w:val="32"/>
              <w:bidi w:val="0"/>
              <w:rPr>
                <w:rFonts w:hint="default"/>
                <w:lang w:val="en-US" w:eastAsia="zh-CN"/>
              </w:rPr>
            </w:pPr>
            <w:r>
              <w:rPr>
                <w:rFonts w:hint="eastAsia"/>
                <w:lang w:val="en-US" w:eastAsia="zh-CN"/>
              </w:rPr>
              <w:t>交由环卫部门处置</w:t>
            </w:r>
          </w:p>
        </w:tc>
        <w:tc>
          <w:tcPr>
            <w:tcW w:w="2523" w:type="dxa"/>
            <w:vMerge w:val="restart"/>
            <w:tcBorders>
              <w:tl2br w:val="nil"/>
              <w:tr2bl w:val="nil"/>
            </w:tcBorders>
            <w:vAlign w:val="center"/>
          </w:tcPr>
          <w:p w14:paraId="697D0D2D">
            <w:pPr>
              <w:pStyle w:val="32"/>
              <w:bidi w:val="0"/>
              <w:rPr>
                <w:bCs/>
              </w:rPr>
            </w:pPr>
            <w:r>
              <w:t>不对环境造成影响</w:t>
            </w:r>
          </w:p>
        </w:tc>
      </w:tr>
      <w:tr w14:paraId="30AC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6C8EA96C">
            <w:pPr>
              <w:spacing w:before="33" w:after="33"/>
              <w:rPr>
                <w:bCs/>
              </w:rPr>
            </w:pPr>
          </w:p>
        </w:tc>
        <w:tc>
          <w:tcPr>
            <w:tcW w:w="1343" w:type="dxa"/>
            <w:tcBorders>
              <w:tl2br w:val="nil"/>
              <w:tr2bl w:val="nil"/>
            </w:tcBorders>
            <w:shd w:val="clear" w:color="auto" w:fill="auto"/>
            <w:vAlign w:val="center"/>
          </w:tcPr>
          <w:p w14:paraId="725B8EC2">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药品拆包</w:t>
            </w:r>
          </w:p>
        </w:tc>
        <w:tc>
          <w:tcPr>
            <w:tcW w:w="1654" w:type="dxa"/>
            <w:tcBorders>
              <w:tl2br w:val="nil"/>
              <w:tr2bl w:val="nil"/>
            </w:tcBorders>
            <w:shd w:val="clear" w:color="auto" w:fill="auto"/>
            <w:vAlign w:val="center"/>
          </w:tcPr>
          <w:p w14:paraId="34577428">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废包装材料</w:t>
            </w:r>
          </w:p>
        </w:tc>
        <w:tc>
          <w:tcPr>
            <w:tcW w:w="2276" w:type="dxa"/>
            <w:tcBorders>
              <w:tl2br w:val="nil"/>
              <w:tr2bl w:val="nil"/>
            </w:tcBorders>
            <w:shd w:val="clear" w:color="auto" w:fill="auto"/>
            <w:vAlign w:val="center"/>
          </w:tcPr>
          <w:p w14:paraId="05ED9E41">
            <w:pPr>
              <w:pStyle w:val="32"/>
              <w:bidi w:val="0"/>
              <w:rPr>
                <w:rFonts w:hint="default"/>
                <w:lang w:val="en-US" w:eastAsia="zh-CN"/>
              </w:rPr>
            </w:pPr>
            <w:r>
              <w:rPr>
                <w:rFonts w:hint="eastAsia"/>
                <w:lang w:val="en-US" w:eastAsia="zh-CN"/>
              </w:rPr>
              <w:t>外售</w:t>
            </w:r>
          </w:p>
        </w:tc>
        <w:tc>
          <w:tcPr>
            <w:tcW w:w="2523" w:type="dxa"/>
            <w:vMerge w:val="continue"/>
            <w:tcBorders>
              <w:tl2br w:val="nil"/>
              <w:tr2bl w:val="nil"/>
            </w:tcBorders>
            <w:vAlign w:val="center"/>
          </w:tcPr>
          <w:p w14:paraId="2D905FF5">
            <w:pPr>
              <w:spacing w:before="33" w:after="33"/>
              <w:rPr>
                <w:bCs/>
              </w:rPr>
            </w:pPr>
          </w:p>
        </w:tc>
      </w:tr>
      <w:tr w14:paraId="1370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5AEB68ED">
            <w:pPr>
              <w:spacing w:before="33" w:after="33"/>
              <w:rPr>
                <w:bCs/>
              </w:rPr>
            </w:pPr>
          </w:p>
        </w:tc>
        <w:tc>
          <w:tcPr>
            <w:tcW w:w="1343" w:type="dxa"/>
            <w:tcBorders>
              <w:tl2br w:val="nil"/>
              <w:tr2bl w:val="nil"/>
            </w:tcBorders>
            <w:shd w:val="clear" w:color="auto" w:fill="auto"/>
            <w:vAlign w:val="center"/>
          </w:tcPr>
          <w:p w14:paraId="1BE29E6F">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食堂</w:t>
            </w:r>
          </w:p>
        </w:tc>
        <w:tc>
          <w:tcPr>
            <w:tcW w:w="1654" w:type="dxa"/>
            <w:tcBorders>
              <w:tl2br w:val="nil"/>
              <w:tr2bl w:val="nil"/>
            </w:tcBorders>
            <w:shd w:val="clear" w:color="auto" w:fill="auto"/>
            <w:vAlign w:val="center"/>
          </w:tcPr>
          <w:p w14:paraId="7CD5FE60">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厨余垃圾</w:t>
            </w:r>
          </w:p>
        </w:tc>
        <w:tc>
          <w:tcPr>
            <w:tcW w:w="2276" w:type="dxa"/>
            <w:tcBorders>
              <w:tl2br w:val="nil"/>
              <w:tr2bl w:val="nil"/>
            </w:tcBorders>
            <w:shd w:val="clear" w:color="auto" w:fill="auto"/>
            <w:vAlign w:val="center"/>
          </w:tcPr>
          <w:p w14:paraId="65EAA02D">
            <w:pPr>
              <w:pStyle w:val="32"/>
              <w:bidi w:val="0"/>
              <w:rPr>
                <w:rFonts w:hint="default"/>
                <w:lang w:val="en-US" w:eastAsia="zh-CN"/>
              </w:rPr>
            </w:pPr>
            <w:r>
              <w:rPr>
                <w:rFonts w:hint="eastAsia"/>
                <w:lang w:val="en-US" w:eastAsia="zh-CN"/>
              </w:rPr>
              <w:t>由厨余垃圾收运单位收运、处理</w:t>
            </w:r>
          </w:p>
        </w:tc>
        <w:tc>
          <w:tcPr>
            <w:tcW w:w="2523" w:type="dxa"/>
            <w:vMerge w:val="continue"/>
            <w:tcBorders>
              <w:tl2br w:val="nil"/>
              <w:tr2bl w:val="nil"/>
            </w:tcBorders>
            <w:vAlign w:val="center"/>
          </w:tcPr>
          <w:p w14:paraId="7706B8CD">
            <w:pPr>
              <w:spacing w:before="33" w:after="33"/>
              <w:rPr>
                <w:bCs/>
              </w:rPr>
            </w:pPr>
          </w:p>
        </w:tc>
      </w:tr>
      <w:tr w14:paraId="703E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7B3BA620">
            <w:pPr>
              <w:spacing w:before="33" w:after="33"/>
              <w:rPr>
                <w:bCs/>
              </w:rPr>
            </w:pPr>
          </w:p>
        </w:tc>
        <w:tc>
          <w:tcPr>
            <w:tcW w:w="1343" w:type="dxa"/>
            <w:tcBorders>
              <w:tl2br w:val="nil"/>
              <w:tr2bl w:val="nil"/>
            </w:tcBorders>
            <w:shd w:val="clear" w:color="auto" w:fill="auto"/>
            <w:vAlign w:val="center"/>
          </w:tcPr>
          <w:p w14:paraId="299F9BFF">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废气治理</w:t>
            </w:r>
          </w:p>
        </w:tc>
        <w:tc>
          <w:tcPr>
            <w:tcW w:w="1654" w:type="dxa"/>
            <w:tcBorders>
              <w:tl2br w:val="nil"/>
              <w:tr2bl w:val="nil"/>
            </w:tcBorders>
            <w:shd w:val="clear" w:color="auto" w:fill="auto"/>
            <w:vAlign w:val="center"/>
          </w:tcPr>
          <w:p w14:paraId="20C41450">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废活性炭</w:t>
            </w:r>
          </w:p>
        </w:tc>
        <w:tc>
          <w:tcPr>
            <w:tcW w:w="2276" w:type="dxa"/>
            <w:vMerge w:val="restart"/>
            <w:tcBorders>
              <w:tl2br w:val="nil"/>
              <w:tr2bl w:val="nil"/>
            </w:tcBorders>
            <w:shd w:val="clear" w:color="auto" w:fill="auto"/>
            <w:vAlign w:val="center"/>
          </w:tcPr>
          <w:p w14:paraId="6C41400D">
            <w:pPr>
              <w:pStyle w:val="32"/>
              <w:bidi w:val="0"/>
            </w:pPr>
            <w:r>
              <w:rPr>
                <w:rFonts w:hint="eastAsia"/>
                <w:lang w:val="en-US" w:eastAsia="zh-CN"/>
              </w:rPr>
              <w:t>收集暂存危废暂存间/医废暂存间后，定期交由有资质单位处理</w:t>
            </w:r>
          </w:p>
        </w:tc>
        <w:tc>
          <w:tcPr>
            <w:tcW w:w="2523" w:type="dxa"/>
            <w:vMerge w:val="continue"/>
            <w:tcBorders>
              <w:tl2br w:val="nil"/>
              <w:tr2bl w:val="nil"/>
            </w:tcBorders>
            <w:vAlign w:val="center"/>
          </w:tcPr>
          <w:p w14:paraId="56F04606">
            <w:pPr>
              <w:spacing w:before="33" w:after="33"/>
              <w:rPr>
                <w:bCs/>
              </w:rPr>
            </w:pPr>
          </w:p>
        </w:tc>
      </w:tr>
      <w:tr w14:paraId="3ADF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1C436959">
            <w:pPr>
              <w:spacing w:before="33" w:after="33"/>
              <w:rPr>
                <w:bCs/>
              </w:rPr>
            </w:pPr>
          </w:p>
        </w:tc>
        <w:tc>
          <w:tcPr>
            <w:tcW w:w="1343" w:type="dxa"/>
            <w:tcBorders>
              <w:tl2br w:val="nil"/>
              <w:tr2bl w:val="nil"/>
            </w:tcBorders>
            <w:shd w:val="clear" w:color="auto" w:fill="auto"/>
            <w:vAlign w:val="center"/>
          </w:tcPr>
          <w:p w14:paraId="2C673AD2">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医疗</w:t>
            </w:r>
          </w:p>
        </w:tc>
        <w:tc>
          <w:tcPr>
            <w:tcW w:w="1654" w:type="dxa"/>
            <w:tcBorders>
              <w:tl2br w:val="nil"/>
              <w:tr2bl w:val="nil"/>
            </w:tcBorders>
            <w:shd w:val="clear" w:color="auto" w:fill="auto"/>
            <w:vAlign w:val="center"/>
          </w:tcPr>
          <w:p w14:paraId="21C8A1BF">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医疗废物</w:t>
            </w:r>
          </w:p>
        </w:tc>
        <w:tc>
          <w:tcPr>
            <w:tcW w:w="2276" w:type="dxa"/>
            <w:vMerge w:val="continue"/>
            <w:tcBorders>
              <w:tl2br w:val="nil"/>
              <w:tr2bl w:val="nil"/>
            </w:tcBorders>
            <w:shd w:val="clear" w:color="auto" w:fill="auto"/>
            <w:vAlign w:val="center"/>
          </w:tcPr>
          <w:p w14:paraId="582413D2">
            <w:pPr>
              <w:pStyle w:val="32"/>
              <w:bidi w:val="0"/>
            </w:pPr>
          </w:p>
        </w:tc>
        <w:tc>
          <w:tcPr>
            <w:tcW w:w="2523" w:type="dxa"/>
            <w:vMerge w:val="continue"/>
            <w:tcBorders>
              <w:tl2br w:val="nil"/>
              <w:tr2bl w:val="nil"/>
            </w:tcBorders>
            <w:vAlign w:val="center"/>
          </w:tcPr>
          <w:p w14:paraId="3A7B8CA8">
            <w:pPr>
              <w:spacing w:before="33" w:after="33"/>
              <w:rPr>
                <w:bCs/>
              </w:rPr>
            </w:pPr>
          </w:p>
        </w:tc>
      </w:tr>
      <w:tr w14:paraId="33BF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00C79DEF">
            <w:pPr>
              <w:spacing w:before="33" w:after="33"/>
              <w:rPr>
                <w:bCs/>
              </w:rPr>
            </w:pPr>
          </w:p>
        </w:tc>
        <w:tc>
          <w:tcPr>
            <w:tcW w:w="1343" w:type="dxa"/>
            <w:tcBorders>
              <w:tl2br w:val="nil"/>
              <w:tr2bl w:val="nil"/>
            </w:tcBorders>
            <w:shd w:val="clear" w:color="auto" w:fill="auto"/>
            <w:vAlign w:val="center"/>
          </w:tcPr>
          <w:p w14:paraId="375C6011">
            <w:pPr>
              <w:pStyle w:val="32"/>
              <w:bidi w:val="0"/>
              <w:ind w:firstLine="0" w:firstLineChars="0"/>
              <w:rPr>
                <w:rFonts w:hint="default"/>
                <w:lang w:val="en-US" w:eastAsia="zh-CN"/>
              </w:rPr>
            </w:pPr>
            <w:r>
              <w:rPr>
                <w:rFonts w:hint="eastAsia"/>
                <w:lang w:val="en-US" w:eastAsia="zh-CN"/>
              </w:rPr>
              <w:t>化验</w:t>
            </w:r>
          </w:p>
        </w:tc>
        <w:tc>
          <w:tcPr>
            <w:tcW w:w="1654" w:type="dxa"/>
            <w:tcBorders>
              <w:tl2br w:val="nil"/>
              <w:tr2bl w:val="nil"/>
            </w:tcBorders>
            <w:shd w:val="clear" w:color="auto" w:fill="auto"/>
            <w:vAlign w:val="center"/>
          </w:tcPr>
          <w:p w14:paraId="1D28734D">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化验废液废物</w:t>
            </w:r>
          </w:p>
        </w:tc>
        <w:tc>
          <w:tcPr>
            <w:tcW w:w="2276" w:type="dxa"/>
            <w:vMerge w:val="continue"/>
            <w:tcBorders>
              <w:tl2br w:val="nil"/>
              <w:tr2bl w:val="nil"/>
            </w:tcBorders>
            <w:vAlign w:val="center"/>
          </w:tcPr>
          <w:p w14:paraId="56E60EDD">
            <w:pPr>
              <w:spacing w:before="33" w:after="33"/>
              <w:rPr>
                <w:rFonts w:hint="eastAsia"/>
                <w:bCs/>
              </w:rPr>
            </w:pPr>
          </w:p>
        </w:tc>
        <w:tc>
          <w:tcPr>
            <w:tcW w:w="2523" w:type="dxa"/>
            <w:vMerge w:val="continue"/>
            <w:tcBorders>
              <w:tl2br w:val="nil"/>
              <w:tr2bl w:val="nil"/>
            </w:tcBorders>
            <w:vAlign w:val="center"/>
          </w:tcPr>
          <w:p w14:paraId="22229072">
            <w:pPr>
              <w:spacing w:before="33" w:after="33"/>
              <w:rPr>
                <w:bCs/>
              </w:rPr>
            </w:pPr>
          </w:p>
        </w:tc>
      </w:tr>
      <w:tr w14:paraId="5ED7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7AC84CDD">
            <w:pPr>
              <w:spacing w:before="33" w:after="33"/>
              <w:rPr>
                <w:bCs/>
              </w:rPr>
            </w:pPr>
          </w:p>
        </w:tc>
        <w:tc>
          <w:tcPr>
            <w:tcW w:w="1343" w:type="dxa"/>
            <w:tcBorders>
              <w:tl2br w:val="nil"/>
              <w:tr2bl w:val="nil"/>
            </w:tcBorders>
            <w:vAlign w:val="center"/>
          </w:tcPr>
          <w:p w14:paraId="62325203">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污水处理</w:t>
            </w:r>
          </w:p>
        </w:tc>
        <w:tc>
          <w:tcPr>
            <w:tcW w:w="1654" w:type="dxa"/>
            <w:tcBorders>
              <w:tl2br w:val="nil"/>
              <w:tr2bl w:val="nil"/>
            </w:tcBorders>
            <w:shd w:val="clear" w:color="auto" w:fill="auto"/>
            <w:vAlign w:val="center"/>
          </w:tcPr>
          <w:p w14:paraId="6CDC645E">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污泥和栅渣</w:t>
            </w:r>
          </w:p>
        </w:tc>
        <w:tc>
          <w:tcPr>
            <w:tcW w:w="2276" w:type="dxa"/>
            <w:vMerge w:val="continue"/>
            <w:tcBorders>
              <w:tl2br w:val="nil"/>
              <w:tr2bl w:val="nil"/>
            </w:tcBorders>
            <w:vAlign w:val="center"/>
          </w:tcPr>
          <w:p w14:paraId="6E3217F7">
            <w:pPr>
              <w:spacing w:before="33" w:after="33"/>
              <w:rPr>
                <w:rFonts w:hint="eastAsia"/>
                <w:bCs/>
              </w:rPr>
            </w:pPr>
          </w:p>
        </w:tc>
        <w:tc>
          <w:tcPr>
            <w:tcW w:w="2523" w:type="dxa"/>
            <w:vMerge w:val="continue"/>
            <w:tcBorders>
              <w:tl2br w:val="nil"/>
              <w:tr2bl w:val="nil"/>
            </w:tcBorders>
            <w:vAlign w:val="center"/>
          </w:tcPr>
          <w:p w14:paraId="5BFAD064">
            <w:pPr>
              <w:spacing w:before="33" w:after="33"/>
              <w:rPr>
                <w:bCs/>
              </w:rPr>
            </w:pPr>
          </w:p>
        </w:tc>
      </w:tr>
      <w:tr w14:paraId="4AA9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5C5B5894">
            <w:pPr>
              <w:pStyle w:val="32"/>
              <w:bidi w:val="0"/>
              <w:rPr>
                <w:bCs/>
              </w:rPr>
            </w:pPr>
            <w:r>
              <w:rPr>
                <w:rFonts w:hint="eastAsia"/>
              </w:rPr>
              <w:t>声环境</w:t>
            </w:r>
          </w:p>
        </w:tc>
        <w:tc>
          <w:tcPr>
            <w:tcW w:w="1343" w:type="dxa"/>
            <w:tcBorders>
              <w:tl2br w:val="nil"/>
              <w:tr2bl w:val="nil"/>
            </w:tcBorders>
            <w:vAlign w:val="center"/>
          </w:tcPr>
          <w:p w14:paraId="1C69F52A">
            <w:pPr>
              <w:pStyle w:val="32"/>
              <w:bidi w:val="0"/>
              <w:rPr>
                <w:bCs/>
              </w:rPr>
            </w:pPr>
            <w:r>
              <w:rPr>
                <w:rFonts w:hint="eastAsia"/>
              </w:rPr>
              <w:t>/</w:t>
            </w:r>
          </w:p>
        </w:tc>
        <w:tc>
          <w:tcPr>
            <w:tcW w:w="1654" w:type="dxa"/>
            <w:tcBorders>
              <w:tl2br w:val="nil"/>
              <w:tr2bl w:val="nil"/>
            </w:tcBorders>
            <w:vAlign w:val="center"/>
          </w:tcPr>
          <w:p w14:paraId="60133938">
            <w:pPr>
              <w:pStyle w:val="32"/>
              <w:bidi w:val="0"/>
              <w:rPr>
                <w:bCs/>
              </w:rPr>
            </w:pPr>
            <w:r>
              <w:rPr>
                <w:rFonts w:hint="eastAsia"/>
              </w:rPr>
              <w:t>Leq</w:t>
            </w:r>
          </w:p>
        </w:tc>
        <w:tc>
          <w:tcPr>
            <w:tcW w:w="2276" w:type="dxa"/>
            <w:tcBorders>
              <w:tl2br w:val="nil"/>
              <w:tr2bl w:val="nil"/>
            </w:tcBorders>
            <w:vAlign w:val="center"/>
          </w:tcPr>
          <w:p w14:paraId="4561A072">
            <w:pPr>
              <w:pStyle w:val="32"/>
              <w:bidi w:val="0"/>
              <w:rPr>
                <w:bCs/>
              </w:rPr>
            </w:pPr>
            <w:r>
              <w:rPr>
                <w:rFonts w:hint="eastAsia"/>
              </w:rPr>
              <w:t>设备合理选型（低噪设备）、合理空间布局、基础减振、加强日常维护等</w:t>
            </w:r>
          </w:p>
        </w:tc>
        <w:tc>
          <w:tcPr>
            <w:tcW w:w="2523" w:type="dxa"/>
            <w:tcBorders>
              <w:tl2br w:val="nil"/>
              <w:tr2bl w:val="nil"/>
            </w:tcBorders>
            <w:vAlign w:val="center"/>
          </w:tcPr>
          <w:p w14:paraId="46F233F1">
            <w:pPr>
              <w:pStyle w:val="32"/>
              <w:bidi w:val="0"/>
              <w:rPr>
                <w:bCs/>
              </w:rPr>
            </w:pPr>
            <w:r>
              <w:rPr>
                <w:rFonts w:hint="eastAsia"/>
              </w:rPr>
              <w:t>《工业企业厂界环境噪声排放标准》GB12348-2008中</w:t>
            </w:r>
            <w:r>
              <w:rPr>
                <w:rFonts w:hint="eastAsia"/>
                <w:lang w:val="en-US" w:eastAsia="zh-CN"/>
              </w:rPr>
              <w:t>2</w:t>
            </w:r>
            <w:r>
              <w:rPr>
                <w:rFonts w:hint="eastAsia"/>
              </w:rPr>
              <w:t>类标准</w:t>
            </w:r>
          </w:p>
        </w:tc>
      </w:tr>
      <w:tr w14:paraId="2BB7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151CF556">
            <w:pPr>
              <w:pStyle w:val="32"/>
              <w:bidi w:val="0"/>
              <w:rPr>
                <w:bCs/>
              </w:rPr>
            </w:pPr>
            <w:r>
              <w:rPr>
                <w:rFonts w:hint="eastAsia"/>
              </w:rPr>
              <w:t>电磁辐射</w:t>
            </w:r>
          </w:p>
        </w:tc>
        <w:tc>
          <w:tcPr>
            <w:tcW w:w="1343" w:type="dxa"/>
            <w:tcBorders>
              <w:tl2br w:val="nil"/>
              <w:tr2bl w:val="nil"/>
            </w:tcBorders>
            <w:vAlign w:val="center"/>
          </w:tcPr>
          <w:p w14:paraId="3E7EE38B">
            <w:pPr>
              <w:pStyle w:val="32"/>
              <w:bidi w:val="0"/>
              <w:rPr>
                <w:bCs/>
              </w:rPr>
            </w:pPr>
            <w:r>
              <w:rPr>
                <w:rFonts w:hint="eastAsia"/>
              </w:rPr>
              <w:t>/</w:t>
            </w:r>
          </w:p>
        </w:tc>
        <w:tc>
          <w:tcPr>
            <w:tcW w:w="1654" w:type="dxa"/>
            <w:tcBorders>
              <w:tl2br w:val="nil"/>
              <w:tr2bl w:val="nil"/>
            </w:tcBorders>
            <w:vAlign w:val="center"/>
          </w:tcPr>
          <w:p w14:paraId="67CF64F6">
            <w:pPr>
              <w:pStyle w:val="32"/>
              <w:bidi w:val="0"/>
              <w:rPr>
                <w:bCs/>
              </w:rPr>
            </w:pPr>
            <w:r>
              <w:rPr>
                <w:rFonts w:hint="eastAsia"/>
              </w:rPr>
              <w:t>/</w:t>
            </w:r>
          </w:p>
        </w:tc>
        <w:tc>
          <w:tcPr>
            <w:tcW w:w="2276" w:type="dxa"/>
            <w:tcBorders>
              <w:tl2br w:val="nil"/>
              <w:tr2bl w:val="nil"/>
            </w:tcBorders>
            <w:vAlign w:val="center"/>
          </w:tcPr>
          <w:p w14:paraId="502230EE">
            <w:pPr>
              <w:pStyle w:val="32"/>
              <w:bidi w:val="0"/>
              <w:rPr>
                <w:bCs/>
              </w:rPr>
            </w:pPr>
            <w:r>
              <w:rPr>
                <w:rFonts w:hint="eastAsia"/>
              </w:rPr>
              <w:t>/</w:t>
            </w:r>
          </w:p>
        </w:tc>
        <w:tc>
          <w:tcPr>
            <w:tcW w:w="2523" w:type="dxa"/>
            <w:tcBorders>
              <w:tl2br w:val="nil"/>
              <w:tr2bl w:val="nil"/>
            </w:tcBorders>
            <w:vAlign w:val="center"/>
          </w:tcPr>
          <w:p w14:paraId="72F4CF95">
            <w:pPr>
              <w:pStyle w:val="32"/>
              <w:bidi w:val="0"/>
              <w:rPr>
                <w:bCs/>
              </w:rPr>
            </w:pPr>
            <w:r>
              <w:rPr>
                <w:rFonts w:hint="eastAsia"/>
              </w:rPr>
              <w:t>/</w:t>
            </w:r>
          </w:p>
        </w:tc>
      </w:tr>
      <w:tr w14:paraId="3F84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58475C46">
            <w:pPr>
              <w:pStyle w:val="32"/>
              <w:bidi w:val="0"/>
              <w:rPr>
                <w:bCs/>
              </w:rPr>
            </w:pPr>
            <w:r>
              <w:rPr>
                <w:rFonts w:hint="eastAsia"/>
              </w:rPr>
              <w:t>土壤及地下水污染防治措施</w:t>
            </w:r>
          </w:p>
        </w:tc>
        <w:tc>
          <w:tcPr>
            <w:tcW w:w="7796" w:type="dxa"/>
            <w:gridSpan w:val="4"/>
            <w:tcBorders>
              <w:tl2br w:val="nil"/>
              <w:tr2bl w:val="nil"/>
            </w:tcBorders>
            <w:vAlign w:val="center"/>
          </w:tcPr>
          <w:p w14:paraId="636AF562">
            <w:pPr>
              <w:pStyle w:val="32"/>
              <w:bidi w:val="0"/>
              <w:rPr>
                <w:rFonts w:hint="default" w:eastAsia="宋体"/>
                <w:lang w:val="en-US" w:eastAsia="zh-CN"/>
              </w:rPr>
            </w:pPr>
            <w:r>
              <w:rPr>
                <w:rFonts w:hint="eastAsia"/>
              </w:rPr>
              <w:t>重点防渗：危废间</w:t>
            </w:r>
            <w:r>
              <w:rPr>
                <w:rFonts w:hint="eastAsia"/>
                <w:lang w:eastAsia="zh-CN"/>
              </w:rPr>
              <w:t>、</w:t>
            </w:r>
            <w:r>
              <w:rPr>
                <w:rFonts w:hint="eastAsia"/>
                <w:lang w:val="en-US" w:eastAsia="zh-CN"/>
              </w:rPr>
              <w:t>医废间、污水处理站、事故池</w:t>
            </w:r>
            <w:r>
              <w:rPr>
                <w:rFonts w:hint="eastAsia"/>
                <w:lang w:eastAsia="zh-CN"/>
              </w:rPr>
              <w:t>；</w:t>
            </w:r>
            <w:r>
              <w:rPr>
                <w:rFonts w:hint="eastAsia"/>
                <w:lang w:val="en-US" w:eastAsia="zh-CN"/>
              </w:rPr>
              <w:t>一般地面硬化：门诊、病床等其他地方</w:t>
            </w:r>
          </w:p>
        </w:tc>
      </w:tr>
      <w:tr w14:paraId="63C9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1B613F24">
            <w:pPr>
              <w:pStyle w:val="32"/>
              <w:bidi w:val="0"/>
              <w:rPr>
                <w:bCs/>
              </w:rPr>
            </w:pPr>
            <w:r>
              <w:rPr>
                <w:rFonts w:hint="eastAsia"/>
              </w:rPr>
              <w:t>生态保护措施</w:t>
            </w:r>
          </w:p>
        </w:tc>
        <w:tc>
          <w:tcPr>
            <w:tcW w:w="7796" w:type="dxa"/>
            <w:gridSpan w:val="4"/>
            <w:tcBorders>
              <w:tl2br w:val="nil"/>
              <w:tr2bl w:val="nil"/>
            </w:tcBorders>
            <w:vAlign w:val="center"/>
          </w:tcPr>
          <w:p w14:paraId="40D88058">
            <w:pPr>
              <w:pStyle w:val="32"/>
              <w:bidi w:val="0"/>
              <w:rPr>
                <w:bCs/>
              </w:rPr>
            </w:pPr>
            <w:r>
              <w:rPr>
                <w:rFonts w:hint="eastAsia"/>
              </w:rPr>
              <w:t>不涉及</w:t>
            </w:r>
          </w:p>
        </w:tc>
      </w:tr>
      <w:tr w14:paraId="37F7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24D147CF">
            <w:pPr>
              <w:pStyle w:val="32"/>
              <w:bidi w:val="0"/>
            </w:pPr>
            <w:r>
              <w:rPr>
                <w:rFonts w:hint="eastAsia"/>
              </w:rPr>
              <w:t>环境风险防范措施</w:t>
            </w:r>
          </w:p>
        </w:tc>
        <w:tc>
          <w:tcPr>
            <w:tcW w:w="7796" w:type="dxa"/>
            <w:gridSpan w:val="4"/>
            <w:tcBorders>
              <w:tl2br w:val="nil"/>
              <w:tr2bl w:val="nil"/>
            </w:tcBorders>
            <w:vAlign w:val="center"/>
          </w:tcPr>
          <w:p w14:paraId="169A5E30">
            <w:pPr>
              <w:pStyle w:val="32"/>
              <w:bidi w:val="0"/>
            </w:pPr>
            <w:r>
              <w:rPr>
                <w:rFonts w:hint="eastAsia"/>
              </w:rPr>
              <w:t>加强安全教育培训和宣传；</w:t>
            </w:r>
            <w:r>
              <w:rPr>
                <w:rFonts w:hint="eastAsia"/>
                <w:lang w:val="en-US" w:eastAsia="zh-CN"/>
              </w:rPr>
              <w:t>医废间、</w:t>
            </w:r>
            <w:r>
              <w:rPr>
                <w:rFonts w:hint="eastAsia"/>
              </w:rPr>
              <w:t>危废间规范化建设</w:t>
            </w:r>
            <w:r>
              <w:rPr>
                <w:rFonts w:hint="eastAsia"/>
                <w:lang w:val="en-US" w:eastAsia="zh-CN"/>
              </w:rPr>
              <w:t>；分区防渗；设置事故池；制定应急预案；</w:t>
            </w:r>
          </w:p>
        </w:tc>
      </w:tr>
      <w:tr w14:paraId="784F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65FDE2E2">
            <w:pPr>
              <w:pStyle w:val="32"/>
              <w:bidi w:val="0"/>
              <w:rPr>
                <w:bCs/>
              </w:rPr>
            </w:pPr>
            <w:r>
              <w:rPr>
                <w:rFonts w:hint="eastAsia"/>
              </w:rPr>
              <w:t>其他环境管理要求</w:t>
            </w:r>
          </w:p>
        </w:tc>
        <w:tc>
          <w:tcPr>
            <w:tcW w:w="7796" w:type="dxa"/>
            <w:gridSpan w:val="4"/>
            <w:tcBorders>
              <w:tl2br w:val="nil"/>
              <w:tr2bl w:val="nil"/>
            </w:tcBorders>
            <w:vAlign w:val="center"/>
          </w:tcPr>
          <w:p w14:paraId="03D8BC8F">
            <w:pPr>
              <w:numPr>
                <w:ilvl w:val="0"/>
                <w:numId w:val="11"/>
              </w:numPr>
              <w:spacing w:line="240" w:lineRule="auto"/>
              <w:ind w:firstLine="0" w:firstLineChars="0"/>
              <w:rPr>
                <w:rFonts w:ascii="宋体" w:hAnsi="宋体" w:cs="宋体"/>
                <w:sz w:val="21"/>
                <w:szCs w:val="21"/>
              </w:rPr>
            </w:pPr>
            <w:r>
              <w:rPr>
                <w:rFonts w:ascii="宋体" w:hAnsi="宋体" w:cs="宋体"/>
                <w:sz w:val="21"/>
                <w:szCs w:val="21"/>
              </w:rPr>
              <w:t>企业应严格落实环保</w:t>
            </w:r>
            <w:r>
              <w:rPr>
                <w:rFonts w:hint="eastAsia" w:ascii="宋体" w:hAnsi="宋体" w:cs="宋体"/>
                <w:sz w:val="21"/>
                <w:szCs w:val="21"/>
                <w:lang w:eastAsia="zh-CN"/>
              </w:rPr>
              <w:t>“</w:t>
            </w:r>
            <w:r>
              <w:rPr>
                <w:rFonts w:ascii="宋体" w:hAnsi="宋体" w:cs="宋体"/>
                <w:sz w:val="21"/>
                <w:szCs w:val="21"/>
              </w:rPr>
              <w:t>三同时</w:t>
            </w:r>
            <w:r>
              <w:rPr>
                <w:rFonts w:hint="eastAsia" w:ascii="宋体" w:hAnsi="宋体" w:cs="宋体"/>
                <w:sz w:val="21"/>
                <w:szCs w:val="21"/>
                <w:lang w:eastAsia="zh-CN"/>
              </w:rPr>
              <w:t>”</w:t>
            </w:r>
            <w:r>
              <w:rPr>
                <w:rFonts w:ascii="宋体" w:hAnsi="宋体" w:cs="宋体"/>
                <w:sz w:val="21"/>
                <w:szCs w:val="21"/>
              </w:rPr>
              <w:t>制度；</w:t>
            </w:r>
          </w:p>
          <w:p w14:paraId="474E8067">
            <w:pPr>
              <w:numPr>
                <w:ilvl w:val="0"/>
                <w:numId w:val="11"/>
              </w:numPr>
              <w:spacing w:line="240" w:lineRule="auto"/>
              <w:ind w:firstLine="0" w:firstLineChars="0"/>
              <w:rPr>
                <w:rFonts w:ascii="宋体" w:hAnsi="宋体" w:cs="宋体"/>
                <w:sz w:val="21"/>
                <w:szCs w:val="21"/>
              </w:rPr>
            </w:pPr>
            <w:r>
              <w:rPr>
                <w:rFonts w:ascii="宋体" w:hAnsi="宋体" w:cs="宋体"/>
                <w:sz w:val="21"/>
                <w:szCs w:val="21"/>
              </w:rPr>
              <w:t>企业项目建设性质、规模、地点、生产工艺、环保措施等有重大变动时，建设单位应及时另行报批，必要时重新进行环境影响评价；</w:t>
            </w:r>
          </w:p>
          <w:p w14:paraId="1F3801E5">
            <w:pPr>
              <w:numPr>
                <w:ilvl w:val="0"/>
                <w:numId w:val="11"/>
              </w:numPr>
              <w:spacing w:line="240" w:lineRule="auto"/>
              <w:ind w:firstLine="0" w:firstLineChars="0"/>
              <w:rPr>
                <w:rFonts w:ascii="宋体" w:hAnsi="宋体" w:cs="宋体"/>
                <w:sz w:val="21"/>
                <w:szCs w:val="21"/>
              </w:rPr>
            </w:pPr>
            <w:r>
              <w:rPr>
                <w:rFonts w:ascii="宋体" w:hAnsi="宋体" w:cs="宋体"/>
                <w:sz w:val="21"/>
                <w:szCs w:val="21"/>
              </w:rPr>
              <w:t>企业应在本项目投入生产前根据《排污许可管理办法</w:t>
            </w:r>
            <w:r>
              <w:rPr>
                <w:rFonts w:hint="eastAsia" w:ascii="宋体" w:hAnsi="宋体" w:cs="宋体"/>
                <w:sz w:val="21"/>
                <w:szCs w:val="21"/>
                <w:lang w:eastAsia="zh-CN"/>
              </w:rPr>
              <w:t>（</w:t>
            </w:r>
            <w:r>
              <w:rPr>
                <w:rFonts w:ascii="宋体" w:hAnsi="宋体" w:cs="宋体"/>
                <w:sz w:val="21"/>
                <w:szCs w:val="21"/>
              </w:rPr>
              <w:t>试行</w:t>
            </w:r>
            <w:r>
              <w:rPr>
                <w:rFonts w:hint="eastAsia" w:ascii="宋体" w:hAnsi="宋体" w:cs="宋体"/>
                <w:sz w:val="21"/>
                <w:szCs w:val="21"/>
                <w:lang w:eastAsia="zh-CN"/>
              </w:rPr>
              <w:t>）</w:t>
            </w:r>
            <w:r>
              <w:rPr>
                <w:rFonts w:ascii="宋体" w:hAnsi="宋体" w:cs="宋体"/>
                <w:sz w:val="21"/>
                <w:szCs w:val="21"/>
              </w:rPr>
              <w:t>》</w:t>
            </w:r>
            <w:r>
              <w:rPr>
                <w:rFonts w:hint="eastAsia" w:ascii="宋体" w:hAnsi="宋体" w:cs="宋体"/>
                <w:sz w:val="21"/>
                <w:szCs w:val="21"/>
                <w:lang w:eastAsia="zh-CN"/>
              </w:rPr>
              <w:t>（</w:t>
            </w:r>
            <w:r>
              <w:rPr>
                <w:rFonts w:ascii="宋体" w:hAnsi="宋体" w:cs="宋体"/>
                <w:sz w:val="21"/>
                <w:szCs w:val="21"/>
              </w:rPr>
              <w:t>环境保护部令第48号</w:t>
            </w:r>
            <w:r>
              <w:rPr>
                <w:rFonts w:hint="eastAsia" w:ascii="宋体" w:hAnsi="宋体" w:cs="宋体"/>
                <w:sz w:val="21"/>
                <w:szCs w:val="21"/>
                <w:lang w:eastAsia="zh-CN"/>
              </w:rPr>
              <w:t>）</w:t>
            </w:r>
            <w:r>
              <w:rPr>
                <w:rFonts w:ascii="宋体" w:hAnsi="宋体" w:cs="宋体"/>
                <w:sz w:val="21"/>
                <w:szCs w:val="21"/>
              </w:rPr>
              <w:t>和《排污许可管理条例》等要求办理或更新排污许可证。</w:t>
            </w:r>
          </w:p>
        </w:tc>
      </w:tr>
    </w:tbl>
    <w:p w14:paraId="5F6405A0">
      <w:pPr>
        <w:ind w:firstLine="480"/>
      </w:pPr>
      <w:r>
        <w:br w:type="page"/>
      </w:r>
    </w:p>
    <w:p w14:paraId="14386BBD">
      <w:pPr>
        <w:pStyle w:val="4"/>
        <w:ind w:firstLine="643"/>
        <w:rPr>
          <w:b w:val="0"/>
          <w:bCs w:val="0"/>
        </w:rPr>
      </w:pPr>
      <w:bookmarkStart w:id="10" w:name="_Toc15900"/>
      <w:r>
        <w:rPr>
          <w:rFonts w:hint="eastAsia"/>
        </w:rPr>
        <w:t>六</w:t>
      </w:r>
      <w:r>
        <w:t>、</w:t>
      </w:r>
      <w:r>
        <w:rPr>
          <w:rFonts w:hint="eastAsia"/>
        </w:rPr>
        <w:t>结论</w:t>
      </w:r>
      <w:r>
        <w:t>与建议</w:t>
      </w:r>
      <w:bookmarkEnd w:id="10"/>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7"/>
      </w:tblGrid>
      <w:tr w14:paraId="5686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7" w:hRule="atLeast"/>
        </w:trPr>
        <w:tc>
          <w:tcPr>
            <w:tcW w:w="9047" w:type="dxa"/>
          </w:tcPr>
          <w:p w14:paraId="460C1D4D">
            <w:pPr>
              <w:ind w:firstLine="480"/>
            </w:pPr>
            <w:r>
              <w:rPr>
                <w:rFonts w:hint="eastAsia"/>
                <w:lang w:eastAsia="zh-CN"/>
              </w:rPr>
              <w:t>淮南市精神病医院（淮南市第四人民医院）淮南市精神病医院山南院区及污水处理站项目</w:t>
            </w:r>
            <w:r>
              <w:rPr>
                <w:rFonts w:hint="eastAsia"/>
              </w:rPr>
              <w:t>符合国家产业政策、当地规划以及相关法律法规要求。建设单位需认真落实本报告提出的各项污染防治措施，切实做到</w:t>
            </w:r>
            <w:r>
              <w:rPr>
                <w:rFonts w:hint="eastAsia"/>
                <w:lang w:eastAsia="zh-CN"/>
              </w:rPr>
              <w:t>“</w:t>
            </w:r>
            <w:r>
              <w:rPr>
                <w:rFonts w:hint="eastAsia"/>
              </w:rPr>
              <w:t>三同时</w:t>
            </w:r>
            <w:r>
              <w:rPr>
                <w:rFonts w:hint="eastAsia"/>
                <w:lang w:eastAsia="zh-CN"/>
              </w:rPr>
              <w:t>”</w:t>
            </w:r>
            <w:r>
              <w:rPr>
                <w:rFonts w:hint="eastAsia"/>
              </w:rPr>
              <w:t>，加强环境管理，做好环境污染防治工作，项目营运过程中各污染物均能达标排放，可满足当地环境质量要求，对区域环境造成影响较小。</w:t>
            </w:r>
          </w:p>
          <w:p w14:paraId="68670B8C">
            <w:pPr>
              <w:ind w:firstLine="480"/>
            </w:pPr>
            <w:r>
              <w:rPr>
                <w:rFonts w:hint="eastAsia"/>
              </w:rPr>
              <w:t>因此，从环境影响角度看，本项目是可行的。</w:t>
            </w:r>
          </w:p>
          <w:p w14:paraId="3C5BEBB9">
            <w:pPr>
              <w:ind w:firstLine="480"/>
            </w:pPr>
          </w:p>
          <w:p w14:paraId="06258EAA">
            <w:pPr>
              <w:ind w:firstLine="480"/>
            </w:pPr>
          </w:p>
          <w:p w14:paraId="6AD41FF4">
            <w:pPr>
              <w:ind w:firstLine="480"/>
            </w:pPr>
          </w:p>
          <w:p w14:paraId="2980EC3F">
            <w:pPr>
              <w:ind w:firstLine="480"/>
            </w:pPr>
          </w:p>
          <w:p w14:paraId="517B5FB0">
            <w:pPr>
              <w:ind w:firstLine="480"/>
            </w:pPr>
          </w:p>
          <w:p w14:paraId="598521F3">
            <w:pPr>
              <w:ind w:firstLine="480"/>
            </w:pPr>
          </w:p>
          <w:p w14:paraId="374B2634">
            <w:pPr>
              <w:ind w:firstLine="480"/>
            </w:pPr>
          </w:p>
          <w:p w14:paraId="3CE4ECB5">
            <w:pPr>
              <w:ind w:firstLine="480"/>
            </w:pPr>
          </w:p>
          <w:p w14:paraId="5F77CAB5">
            <w:pPr>
              <w:ind w:firstLine="480"/>
            </w:pPr>
          </w:p>
          <w:p w14:paraId="0AEA74B1">
            <w:pPr>
              <w:ind w:firstLine="480"/>
            </w:pPr>
          </w:p>
          <w:p w14:paraId="1EE8B876">
            <w:pPr>
              <w:ind w:firstLine="480"/>
            </w:pPr>
          </w:p>
          <w:p w14:paraId="0EA19357">
            <w:pPr>
              <w:ind w:firstLine="480"/>
            </w:pPr>
          </w:p>
          <w:p w14:paraId="63F3B679">
            <w:pPr>
              <w:ind w:firstLine="480"/>
            </w:pPr>
          </w:p>
          <w:p w14:paraId="34EB5CA7">
            <w:pPr>
              <w:ind w:firstLine="480"/>
            </w:pPr>
          </w:p>
          <w:p w14:paraId="0A4DD78A">
            <w:pPr>
              <w:ind w:firstLine="480"/>
            </w:pPr>
          </w:p>
          <w:p w14:paraId="79161FDF">
            <w:pPr>
              <w:ind w:firstLine="480"/>
            </w:pPr>
          </w:p>
          <w:p w14:paraId="2D72DFBC">
            <w:pPr>
              <w:ind w:firstLine="480"/>
            </w:pPr>
          </w:p>
          <w:p w14:paraId="072456F4">
            <w:pPr>
              <w:ind w:firstLine="480"/>
            </w:pPr>
          </w:p>
          <w:p w14:paraId="15ED21A1">
            <w:pPr>
              <w:ind w:firstLine="480"/>
            </w:pPr>
          </w:p>
          <w:p w14:paraId="2F443FB5">
            <w:pPr>
              <w:ind w:firstLine="0" w:firstLineChars="0"/>
            </w:pPr>
          </w:p>
        </w:tc>
      </w:tr>
    </w:tbl>
    <w:p w14:paraId="5369F616">
      <w:pPr>
        <w:ind w:firstLine="760"/>
        <w:rPr>
          <w:rFonts w:ascii="微软雅黑" w:eastAsia="微软雅黑"/>
          <w:sz w:val="38"/>
        </w:rPr>
        <w:sectPr>
          <w:pgSz w:w="11906" w:h="16838"/>
          <w:pgMar w:top="1417" w:right="1417" w:bottom="1417" w:left="1417" w:header="737" w:footer="850" w:gutter="0"/>
          <w:pgNumType w:fmt="decimal"/>
          <w:cols w:space="0" w:num="1"/>
          <w:docGrid w:type="lines" w:linePitch="336" w:charSpace="0"/>
        </w:sectPr>
      </w:pPr>
    </w:p>
    <w:p w14:paraId="721122D7">
      <w:pPr>
        <w:ind w:firstLine="760"/>
        <w:jc w:val="center"/>
        <w:outlineLvl w:val="1"/>
      </w:pPr>
      <w:bookmarkStart w:id="11" w:name="_Toc26747"/>
      <w:r>
        <w:rPr>
          <w:rFonts w:hint="eastAsia" w:ascii="微软雅黑" w:eastAsia="微软雅黑"/>
          <w:sz w:val="38"/>
        </w:rPr>
        <w:t>建设项目污染物排放量汇总表</w:t>
      </w:r>
      <w:bookmarkEnd w:id="11"/>
    </w:p>
    <w:tbl>
      <w:tblPr>
        <w:tblStyle w:val="18"/>
        <w:tblW w:w="1405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37"/>
        <w:gridCol w:w="1620"/>
        <w:gridCol w:w="1849"/>
        <w:gridCol w:w="1276"/>
        <w:gridCol w:w="1701"/>
        <w:gridCol w:w="1559"/>
        <w:gridCol w:w="1761"/>
        <w:gridCol w:w="1846"/>
        <w:gridCol w:w="1208"/>
      </w:tblGrid>
      <w:tr w14:paraId="47BA0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1237" w:type="dxa"/>
            <w:tcBorders>
              <w:top w:val="single" w:color="000000" w:sz="8" w:space="0"/>
              <w:left w:val="single" w:color="000000" w:sz="8" w:space="0"/>
              <w:bottom w:val="single" w:color="000000" w:sz="8" w:space="0"/>
              <w:right w:val="single" w:color="000000" w:sz="8" w:space="0"/>
              <w:tl2br w:val="single" w:color="000000" w:sz="8" w:space="0"/>
            </w:tcBorders>
            <w:vAlign w:val="center"/>
          </w:tcPr>
          <w:p w14:paraId="067460D7">
            <w:pPr>
              <w:pStyle w:val="32"/>
              <w:bidi w:val="0"/>
              <w:rPr>
                <w:b/>
                <w:bCs/>
              </w:rPr>
            </w:pPr>
            <w:r>
              <w:rPr>
                <w:b/>
                <w:bCs/>
              </w:rPr>
              <w:t>项目</w:t>
            </w:r>
          </w:p>
          <w:p w14:paraId="7807C95B">
            <w:pPr>
              <w:pStyle w:val="32"/>
              <w:bidi w:val="0"/>
              <w:rPr>
                <w:b/>
                <w:bCs/>
              </w:rPr>
            </w:pPr>
            <w:r>
              <w:rPr>
                <w:b/>
                <w:bCs/>
              </w:rPr>
              <w:t>分类</w:t>
            </w:r>
          </w:p>
        </w:tc>
        <w:tc>
          <w:tcPr>
            <w:tcW w:w="1620" w:type="dxa"/>
            <w:tcBorders>
              <w:top w:val="single" w:color="000000" w:sz="8" w:space="0"/>
              <w:left w:val="single" w:color="000000" w:sz="8" w:space="0"/>
              <w:bottom w:val="single" w:color="000000" w:sz="4" w:space="0"/>
              <w:right w:val="single" w:color="000000" w:sz="4" w:space="0"/>
            </w:tcBorders>
            <w:vAlign w:val="center"/>
          </w:tcPr>
          <w:p w14:paraId="55A393BC">
            <w:pPr>
              <w:pStyle w:val="32"/>
              <w:bidi w:val="0"/>
              <w:rPr>
                <w:b/>
                <w:bCs/>
              </w:rPr>
            </w:pPr>
            <w:r>
              <w:rPr>
                <w:b/>
                <w:bCs/>
              </w:rPr>
              <w:t>污染物名称</w:t>
            </w:r>
          </w:p>
        </w:tc>
        <w:tc>
          <w:tcPr>
            <w:tcW w:w="1849" w:type="dxa"/>
            <w:tcBorders>
              <w:top w:val="single" w:color="000000" w:sz="8" w:space="0"/>
              <w:left w:val="single" w:color="000000" w:sz="4" w:space="0"/>
              <w:bottom w:val="single" w:color="000000" w:sz="4" w:space="0"/>
              <w:right w:val="single" w:color="000000" w:sz="4" w:space="0"/>
            </w:tcBorders>
            <w:vAlign w:val="center"/>
          </w:tcPr>
          <w:p w14:paraId="656D6304">
            <w:pPr>
              <w:pStyle w:val="32"/>
              <w:bidi w:val="0"/>
              <w:rPr>
                <w:b/>
                <w:bCs/>
              </w:rPr>
            </w:pPr>
            <w:r>
              <w:rPr>
                <w:b/>
                <w:bCs/>
              </w:rPr>
              <w:t>现有工程</w:t>
            </w:r>
          </w:p>
          <w:p w14:paraId="5D84A54E">
            <w:pPr>
              <w:pStyle w:val="32"/>
              <w:bidi w:val="0"/>
              <w:rPr>
                <w:b/>
                <w:bCs/>
              </w:rPr>
            </w:pPr>
            <w:r>
              <w:rPr>
                <w:b/>
                <w:bCs/>
              </w:rPr>
              <w:t>排放量（固体废物产生量）</w:t>
            </w:r>
            <w:r>
              <w:rPr>
                <w:b/>
                <w:bCs/>
              </w:rPr>
              <w:fldChar w:fldCharType="begin"/>
            </w:r>
            <w:r>
              <w:rPr>
                <w:b/>
                <w:bCs/>
              </w:rPr>
              <w:instrText xml:space="preserve"> = 1 \* GB3 \* MERGEFORMAT </w:instrText>
            </w:r>
            <w:r>
              <w:rPr>
                <w:b/>
                <w:bCs/>
              </w:rPr>
              <w:fldChar w:fldCharType="separate"/>
            </w:r>
            <w:r>
              <w:rPr>
                <w:b/>
                <w:bCs/>
              </w:rPr>
              <w:t>①</w:t>
            </w:r>
            <w:r>
              <w:rPr>
                <w:b/>
                <w:bCs/>
              </w:rPr>
              <w:fldChar w:fldCharType="end"/>
            </w:r>
          </w:p>
        </w:tc>
        <w:tc>
          <w:tcPr>
            <w:tcW w:w="1276" w:type="dxa"/>
            <w:tcBorders>
              <w:top w:val="single" w:color="000000" w:sz="8" w:space="0"/>
              <w:left w:val="single" w:color="000000" w:sz="4" w:space="0"/>
              <w:bottom w:val="single" w:color="000000" w:sz="4" w:space="0"/>
              <w:right w:val="single" w:color="000000" w:sz="4" w:space="0"/>
            </w:tcBorders>
            <w:vAlign w:val="center"/>
          </w:tcPr>
          <w:p w14:paraId="22B3717F">
            <w:pPr>
              <w:pStyle w:val="32"/>
              <w:bidi w:val="0"/>
              <w:rPr>
                <w:b/>
                <w:bCs/>
              </w:rPr>
            </w:pPr>
            <w:r>
              <w:rPr>
                <w:b/>
                <w:bCs/>
              </w:rPr>
              <w:t>现有工程</w:t>
            </w:r>
          </w:p>
          <w:p w14:paraId="6337DC8F">
            <w:pPr>
              <w:pStyle w:val="32"/>
              <w:bidi w:val="0"/>
              <w:rPr>
                <w:b/>
                <w:bCs/>
              </w:rPr>
            </w:pPr>
            <w:r>
              <w:rPr>
                <w:b/>
                <w:bCs/>
              </w:rPr>
              <w:t>许可排放量</w:t>
            </w:r>
          </w:p>
          <w:p w14:paraId="476CA03F">
            <w:pPr>
              <w:pStyle w:val="32"/>
              <w:bidi w:val="0"/>
              <w:rPr>
                <w:b/>
                <w:bCs/>
              </w:rPr>
            </w:pPr>
            <w:r>
              <w:rPr>
                <w:b/>
                <w:bCs/>
              </w:rPr>
              <w:fldChar w:fldCharType="begin"/>
            </w:r>
            <w:r>
              <w:rPr>
                <w:b/>
                <w:bCs/>
              </w:rPr>
              <w:instrText xml:space="preserve"> = 2 \* GB3 \* MERGEFORMAT </w:instrText>
            </w:r>
            <w:r>
              <w:rPr>
                <w:b/>
                <w:bCs/>
              </w:rPr>
              <w:fldChar w:fldCharType="separate"/>
            </w:r>
            <w:r>
              <w:rPr>
                <w:b/>
                <w:bCs/>
              </w:rPr>
              <w:t>②</w:t>
            </w:r>
            <w:r>
              <w:rPr>
                <w:b/>
                <w:bCs/>
              </w:rPr>
              <w:fldChar w:fldCharType="end"/>
            </w:r>
          </w:p>
        </w:tc>
        <w:tc>
          <w:tcPr>
            <w:tcW w:w="1701" w:type="dxa"/>
            <w:tcBorders>
              <w:top w:val="single" w:color="000000" w:sz="8" w:space="0"/>
              <w:left w:val="single" w:color="000000" w:sz="4" w:space="0"/>
              <w:bottom w:val="single" w:color="000000" w:sz="4" w:space="0"/>
              <w:right w:val="single" w:color="000000" w:sz="4" w:space="0"/>
            </w:tcBorders>
            <w:vAlign w:val="center"/>
          </w:tcPr>
          <w:p w14:paraId="011DEEEA">
            <w:pPr>
              <w:pStyle w:val="32"/>
              <w:bidi w:val="0"/>
              <w:rPr>
                <w:b/>
                <w:bCs/>
              </w:rPr>
            </w:pPr>
            <w:r>
              <w:rPr>
                <w:b/>
                <w:bCs/>
              </w:rPr>
              <w:t>在建工程</w:t>
            </w:r>
          </w:p>
          <w:p w14:paraId="73075F99">
            <w:pPr>
              <w:pStyle w:val="32"/>
              <w:bidi w:val="0"/>
              <w:rPr>
                <w:b/>
                <w:bCs/>
              </w:rPr>
            </w:pPr>
            <w:r>
              <w:rPr>
                <w:b/>
                <w:bCs/>
              </w:rPr>
              <w:t>排放量（固体废物产生量）</w:t>
            </w:r>
            <w:r>
              <w:rPr>
                <w:b/>
                <w:bCs/>
              </w:rPr>
              <w:fldChar w:fldCharType="begin"/>
            </w:r>
            <w:r>
              <w:rPr>
                <w:b/>
                <w:bCs/>
              </w:rPr>
              <w:instrText xml:space="preserve"> = 3 \* GB3 \* MERGEFORMAT </w:instrText>
            </w:r>
            <w:r>
              <w:rPr>
                <w:b/>
                <w:bCs/>
              </w:rPr>
              <w:fldChar w:fldCharType="separate"/>
            </w:r>
            <w:r>
              <w:rPr>
                <w:b/>
                <w:bCs/>
              </w:rPr>
              <w:t>③</w:t>
            </w:r>
            <w:r>
              <w:rPr>
                <w:b/>
                <w:bCs/>
              </w:rPr>
              <w:fldChar w:fldCharType="end"/>
            </w:r>
          </w:p>
        </w:tc>
        <w:tc>
          <w:tcPr>
            <w:tcW w:w="1559" w:type="dxa"/>
            <w:tcBorders>
              <w:top w:val="single" w:color="000000" w:sz="8" w:space="0"/>
              <w:left w:val="single" w:color="000000" w:sz="4" w:space="0"/>
              <w:bottom w:val="single" w:color="000000" w:sz="4" w:space="0"/>
              <w:right w:val="single" w:color="000000" w:sz="4" w:space="0"/>
            </w:tcBorders>
            <w:vAlign w:val="center"/>
          </w:tcPr>
          <w:p w14:paraId="2F3A01C8">
            <w:pPr>
              <w:pStyle w:val="32"/>
              <w:bidi w:val="0"/>
              <w:rPr>
                <w:b/>
                <w:bCs/>
              </w:rPr>
            </w:pPr>
            <w:r>
              <w:rPr>
                <w:b/>
                <w:bCs/>
              </w:rPr>
              <w:t>本项目</w:t>
            </w:r>
          </w:p>
          <w:p w14:paraId="1CEA0B1F">
            <w:pPr>
              <w:pStyle w:val="32"/>
              <w:bidi w:val="0"/>
              <w:rPr>
                <w:b/>
                <w:bCs/>
              </w:rPr>
            </w:pPr>
            <w:r>
              <w:rPr>
                <w:b/>
                <w:bCs/>
              </w:rPr>
              <w:t>排放量（固体废物产生量）</w:t>
            </w:r>
            <w:r>
              <w:rPr>
                <w:b/>
                <w:bCs/>
              </w:rPr>
              <w:fldChar w:fldCharType="begin"/>
            </w:r>
            <w:r>
              <w:rPr>
                <w:b/>
                <w:bCs/>
              </w:rPr>
              <w:instrText xml:space="preserve"> = 4 \* GB3 \* MERGEFORMAT </w:instrText>
            </w:r>
            <w:r>
              <w:rPr>
                <w:b/>
                <w:bCs/>
              </w:rPr>
              <w:fldChar w:fldCharType="separate"/>
            </w:r>
            <w:r>
              <w:rPr>
                <w:b/>
                <w:bCs/>
              </w:rPr>
              <w:t>④</w:t>
            </w:r>
            <w:r>
              <w:rPr>
                <w:b/>
                <w:bCs/>
              </w:rPr>
              <w:fldChar w:fldCharType="end"/>
            </w:r>
          </w:p>
        </w:tc>
        <w:tc>
          <w:tcPr>
            <w:tcW w:w="1761" w:type="dxa"/>
            <w:tcBorders>
              <w:top w:val="single" w:color="000000" w:sz="8" w:space="0"/>
              <w:left w:val="single" w:color="000000" w:sz="4" w:space="0"/>
              <w:bottom w:val="single" w:color="000000" w:sz="4" w:space="0"/>
              <w:right w:val="single" w:color="000000" w:sz="4" w:space="0"/>
            </w:tcBorders>
            <w:vAlign w:val="center"/>
          </w:tcPr>
          <w:p w14:paraId="356ADD51">
            <w:pPr>
              <w:pStyle w:val="32"/>
              <w:bidi w:val="0"/>
              <w:rPr>
                <w:b/>
                <w:bCs/>
              </w:rPr>
            </w:pPr>
            <w:r>
              <w:rPr>
                <w:b/>
                <w:bCs/>
              </w:rPr>
              <w:t>以新带老削减量</w:t>
            </w:r>
          </w:p>
          <w:p w14:paraId="69CE6B5F">
            <w:pPr>
              <w:pStyle w:val="32"/>
              <w:bidi w:val="0"/>
              <w:rPr>
                <w:b/>
                <w:bCs/>
              </w:rPr>
            </w:pPr>
            <w:r>
              <w:rPr>
                <w:b/>
                <w:bCs/>
              </w:rPr>
              <w:t>（新建项目不填）</w:t>
            </w:r>
            <w:r>
              <w:rPr>
                <w:b/>
                <w:bCs/>
              </w:rPr>
              <w:fldChar w:fldCharType="begin"/>
            </w:r>
            <w:r>
              <w:rPr>
                <w:b/>
                <w:bCs/>
              </w:rPr>
              <w:instrText xml:space="preserve"> = 5 \* GB3 \* MERGEFORMAT </w:instrText>
            </w:r>
            <w:r>
              <w:rPr>
                <w:b/>
                <w:bCs/>
              </w:rPr>
              <w:fldChar w:fldCharType="separate"/>
            </w:r>
            <w:r>
              <w:rPr>
                <w:b/>
                <w:bCs/>
              </w:rPr>
              <w:t>⑤</w:t>
            </w:r>
            <w:r>
              <w:rPr>
                <w:b/>
                <w:bCs/>
              </w:rPr>
              <w:fldChar w:fldCharType="end"/>
            </w:r>
          </w:p>
        </w:tc>
        <w:tc>
          <w:tcPr>
            <w:tcW w:w="1846" w:type="dxa"/>
            <w:tcBorders>
              <w:top w:val="single" w:color="000000" w:sz="8" w:space="0"/>
              <w:left w:val="single" w:color="000000" w:sz="4" w:space="0"/>
              <w:bottom w:val="single" w:color="000000" w:sz="4" w:space="0"/>
              <w:right w:val="single" w:color="000000" w:sz="4" w:space="0"/>
            </w:tcBorders>
            <w:vAlign w:val="center"/>
          </w:tcPr>
          <w:p w14:paraId="0D8D1AC5">
            <w:pPr>
              <w:pStyle w:val="32"/>
              <w:bidi w:val="0"/>
              <w:rPr>
                <w:b/>
                <w:bCs/>
              </w:rPr>
            </w:pPr>
            <w:r>
              <w:rPr>
                <w:b/>
                <w:bCs/>
              </w:rPr>
              <w:t>本项目建成后</w:t>
            </w:r>
          </w:p>
          <w:p w14:paraId="22AE3BAC">
            <w:pPr>
              <w:pStyle w:val="32"/>
              <w:bidi w:val="0"/>
              <w:rPr>
                <w:b/>
                <w:bCs/>
              </w:rPr>
            </w:pPr>
            <w:r>
              <w:rPr>
                <w:b/>
                <w:bCs/>
              </w:rPr>
              <w:t>全厂排放量（固体废物产生量）</w:t>
            </w:r>
            <w:r>
              <w:rPr>
                <w:b/>
                <w:bCs/>
              </w:rPr>
              <w:fldChar w:fldCharType="begin"/>
            </w:r>
            <w:r>
              <w:rPr>
                <w:b/>
                <w:bCs/>
              </w:rPr>
              <w:instrText xml:space="preserve"> = 6 \* GB3 \* MERGEFORMAT </w:instrText>
            </w:r>
            <w:r>
              <w:rPr>
                <w:b/>
                <w:bCs/>
              </w:rPr>
              <w:fldChar w:fldCharType="separate"/>
            </w:r>
            <w:r>
              <w:rPr>
                <w:b/>
                <w:bCs/>
              </w:rPr>
              <w:t>⑥</w:t>
            </w:r>
            <w:r>
              <w:rPr>
                <w:b/>
                <w:bCs/>
              </w:rPr>
              <w:fldChar w:fldCharType="end"/>
            </w:r>
          </w:p>
        </w:tc>
        <w:tc>
          <w:tcPr>
            <w:tcW w:w="1208" w:type="dxa"/>
            <w:tcBorders>
              <w:top w:val="single" w:color="000000" w:sz="8" w:space="0"/>
              <w:left w:val="single" w:color="000000" w:sz="4" w:space="0"/>
              <w:bottom w:val="single" w:color="000000" w:sz="4" w:space="0"/>
              <w:right w:val="single" w:color="000000" w:sz="8" w:space="0"/>
            </w:tcBorders>
            <w:vAlign w:val="center"/>
          </w:tcPr>
          <w:p w14:paraId="57A53268">
            <w:pPr>
              <w:pStyle w:val="32"/>
              <w:bidi w:val="0"/>
              <w:rPr>
                <w:b/>
                <w:bCs/>
              </w:rPr>
            </w:pPr>
            <w:r>
              <w:rPr>
                <w:b/>
                <w:bCs/>
              </w:rPr>
              <w:t>变化量</w:t>
            </w:r>
          </w:p>
          <w:p w14:paraId="05EA86FC">
            <w:pPr>
              <w:pStyle w:val="32"/>
              <w:bidi w:val="0"/>
              <w:rPr>
                <w:b/>
                <w:bCs/>
              </w:rPr>
            </w:pPr>
            <w:r>
              <w:rPr>
                <w:b/>
                <w:bCs/>
              </w:rPr>
              <w:fldChar w:fldCharType="begin"/>
            </w:r>
            <w:r>
              <w:rPr>
                <w:b/>
                <w:bCs/>
              </w:rPr>
              <w:instrText xml:space="preserve"> = 7 \* GB3 \* MERGEFORMAT </w:instrText>
            </w:r>
            <w:r>
              <w:rPr>
                <w:b/>
                <w:bCs/>
              </w:rPr>
              <w:fldChar w:fldCharType="separate"/>
            </w:r>
            <w:r>
              <w:rPr>
                <w:b/>
                <w:bCs/>
              </w:rPr>
              <w:t>⑦</w:t>
            </w:r>
            <w:r>
              <w:rPr>
                <w:b/>
                <w:bCs/>
              </w:rPr>
              <w:fldChar w:fldCharType="end"/>
            </w:r>
          </w:p>
        </w:tc>
      </w:tr>
      <w:tr w14:paraId="024F7E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1237" w:type="dxa"/>
            <w:vMerge w:val="restart"/>
            <w:tcBorders>
              <w:left w:val="single" w:color="000000" w:sz="8" w:space="0"/>
              <w:right w:val="single" w:color="000000" w:sz="4" w:space="0"/>
            </w:tcBorders>
            <w:vAlign w:val="center"/>
          </w:tcPr>
          <w:p w14:paraId="3CA68387">
            <w:pPr>
              <w:pStyle w:val="32"/>
              <w:bidi w:val="0"/>
            </w:pPr>
            <w:r>
              <w:rPr>
                <w:rFonts w:hint="eastAsia"/>
              </w:rPr>
              <w:t>废气</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49457">
            <w:pPr>
              <w:pStyle w:val="32"/>
              <w:bidi w:val="0"/>
              <w:rPr>
                <w:rFonts w:hint="eastAsia" w:eastAsia="宋体"/>
                <w:lang w:val="zh-CN" w:eastAsia="zh-CN"/>
              </w:rPr>
            </w:pPr>
            <w:r>
              <w:rPr>
                <w:rFonts w:hint="eastAsia"/>
                <w:lang w:val="en-US" w:eastAsia="zh-CN"/>
              </w:rPr>
              <w:t>氨</w:t>
            </w:r>
          </w:p>
        </w:tc>
        <w:tc>
          <w:tcPr>
            <w:tcW w:w="1849" w:type="dxa"/>
            <w:tcBorders>
              <w:top w:val="single" w:color="000000" w:sz="4" w:space="0"/>
              <w:left w:val="single" w:color="000000" w:sz="4" w:space="0"/>
              <w:bottom w:val="single" w:color="000000" w:sz="4" w:space="0"/>
              <w:right w:val="single" w:color="000000" w:sz="4" w:space="0"/>
            </w:tcBorders>
            <w:vAlign w:val="center"/>
          </w:tcPr>
          <w:p w14:paraId="27B96404">
            <w:pPr>
              <w:pStyle w:val="32"/>
              <w:bidi w:val="0"/>
              <w:rPr>
                <w:rFonts w:hint="default"/>
                <w:lang w:val="en-US" w:eastAsia="zh-CN"/>
              </w:rPr>
            </w:pPr>
            <w:r>
              <w:rPr>
                <w:rFonts w:hint="eastAsia"/>
                <w:lang w:val="en-US" w:eastAsia="zh-CN"/>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2DE46780">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27016479">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1603">
            <w:pPr>
              <w:pStyle w:val="32"/>
              <w:bidi w:val="0"/>
              <w:rPr>
                <w:rFonts w:hint="default"/>
                <w:lang w:val="en-US" w:eastAsia="zh-CN"/>
              </w:rPr>
            </w:pPr>
            <w:r>
              <w:rPr>
                <w:rFonts w:hint="eastAsia"/>
                <w:lang w:val="en-US" w:eastAsia="zh-CN"/>
              </w:rPr>
              <w:t>0.0032</w:t>
            </w:r>
          </w:p>
        </w:tc>
        <w:tc>
          <w:tcPr>
            <w:tcW w:w="1761" w:type="dxa"/>
            <w:tcBorders>
              <w:top w:val="single" w:color="000000" w:sz="4" w:space="0"/>
              <w:left w:val="single" w:color="000000" w:sz="4" w:space="0"/>
              <w:bottom w:val="single" w:color="000000" w:sz="4" w:space="0"/>
              <w:right w:val="single" w:color="000000" w:sz="4" w:space="0"/>
            </w:tcBorders>
            <w:vAlign w:val="center"/>
          </w:tcPr>
          <w:p w14:paraId="33DCEC79">
            <w:pPr>
              <w:pStyle w:val="32"/>
              <w:bidi w:val="0"/>
              <w:rPr>
                <w:rFonts w:hint="default"/>
                <w:lang w:val="en-US" w:eastAsia="zh-CN"/>
              </w:rPr>
            </w:pPr>
            <w:r>
              <w:rPr>
                <w:rFonts w:hint="eastAsia"/>
                <w:lang w:val="en-US" w:eastAsia="zh-CN"/>
              </w:rPr>
              <w:t>/</w:t>
            </w:r>
          </w:p>
        </w:tc>
        <w:tc>
          <w:tcPr>
            <w:tcW w:w="1846" w:type="dxa"/>
            <w:tcBorders>
              <w:top w:val="single" w:color="000000" w:sz="4" w:space="0"/>
              <w:left w:val="single" w:color="000000" w:sz="4" w:space="0"/>
              <w:bottom w:val="single" w:color="000000" w:sz="4" w:space="0"/>
              <w:right w:val="single" w:color="000000" w:sz="4" w:space="0"/>
            </w:tcBorders>
            <w:vAlign w:val="center"/>
          </w:tcPr>
          <w:p w14:paraId="74AE5DF4">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0.0032</w:t>
            </w:r>
          </w:p>
        </w:tc>
        <w:tc>
          <w:tcPr>
            <w:tcW w:w="1208" w:type="dxa"/>
            <w:tcBorders>
              <w:top w:val="single" w:color="000000" w:sz="4" w:space="0"/>
              <w:left w:val="single" w:color="000000" w:sz="4" w:space="0"/>
              <w:bottom w:val="single" w:color="000000" w:sz="4" w:space="0"/>
              <w:right w:val="single" w:color="000000" w:sz="8" w:space="0"/>
            </w:tcBorders>
            <w:vAlign w:val="center"/>
          </w:tcPr>
          <w:p w14:paraId="73D6EBCC">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+0.0032</w:t>
            </w:r>
          </w:p>
        </w:tc>
      </w:tr>
      <w:tr w14:paraId="4D1D01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2E8EEA52">
            <w:pPr>
              <w:pStyle w:val="32"/>
              <w:bidi w:val="0"/>
              <w:rPr>
                <w:rFonts w:hint="eastAsi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FD05">
            <w:pPr>
              <w:pStyle w:val="32"/>
              <w:bidi w:val="0"/>
              <w:rPr>
                <w:rFonts w:hint="eastAsia" w:eastAsia="宋体"/>
                <w:lang w:val="en-US" w:eastAsia="zh-CN"/>
              </w:rPr>
            </w:pPr>
            <w:r>
              <w:rPr>
                <w:rFonts w:hint="eastAsia"/>
                <w:lang w:val="en-US" w:eastAsia="zh-CN"/>
              </w:rPr>
              <w:t>硫化氢</w:t>
            </w:r>
          </w:p>
        </w:tc>
        <w:tc>
          <w:tcPr>
            <w:tcW w:w="1849" w:type="dxa"/>
            <w:tcBorders>
              <w:top w:val="single" w:color="000000" w:sz="4" w:space="0"/>
              <w:left w:val="single" w:color="000000" w:sz="4" w:space="0"/>
              <w:bottom w:val="single" w:color="000000" w:sz="4" w:space="0"/>
              <w:right w:val="single" w:color="000000" w:sz="4" w:space="0"/>
            </w:tcBorders>
            <w:vAlign w:val="center"/>
          </w:tcPr>
          <w:p w14:paraId="0AFE4198">
            <w:pPr>
              <w:pStyle w:val="32"/>
              <w:bidi w:val="0"/>
              <w:rPr>
                <w:rFonts w:hint="default"/>
                <w:lang w:val="en-US" w:eastAsia="zh-CN"/>
              </w:rPr>
            </w:pPr>
            <w:r>
              <w:rPr>
                <w:rFonts w:hint="eastAsia"/>
                <w:lang w:val="en-US" w:eastAsia="zh-CN"/>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245B66D4">
            <w:pPr>
              <w:pStyle w:val="32"/>
              <w:bidi w:val="0"/>
              <w:rPr>
                <w:rFonts w:hint="eastAsi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746EA6AF">
            <w:pPr>
              <w:pStyle w:val="32"/>
              <w:bidi w:val="0"/>
              <w:rPr>
                <w:rFonts w:hint="eastAsia"/>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E603">
            <w:pPr>
              <w:pStyle w:val="32"/>
              <w:bidi w:val="0"/>
              <w:rPr>
                <w:rFonts w:hint="default"/>
                <w:lang w:val="en-US" w:eastAsia="zh-CN"/>
              </w:rPr>
            </w:pPr>
            <w:r>
              <w:rPr>
                <w:rFonts w:hint="eastAsia"/>
                <w:lang w:val="en-US" w:eastAsia="zh-CN"/>
              </w:rPr>
              <w:t>0.000116</w:t>
            </w:r>
          </w:p>
        </w:tc>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4875">
            <w:pPr>
              <w:pStyle w:val="32"/>
              <w:bidi w:val="0"/>
              <w:rPr>
                <w:rFonts w:hint="eastAsia"/>
                <w:lang w:val="en-US" w:eastAsia="zh-CN"/>
              </w:rPr>
            </w:pPr>
            <w:r>
              <w:rPr>
                <w:rFonts w:hint="eastAsia"/>
                <w:lang w:val="en-US" w:eastAsia="zh-CN"/>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4744">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0.000116</w:t>
            </w:r>
          </w:p>
        </w:tc>
        <w:tc>
          <w:tcPr>
            <w:tcW w:w="1208" w:type="dxa"/>
            <w:tcBorders>
              <w:top w:val="single" w:color="000000" w:sz="4" w:space="0"/>
              <w:left w:val="single" w:color="000000" w:sz="4" w:space="0"/>
              <w:bottom w:val="single" w:color="000000" w:sz="4" w:space="0"/>
              <w:right w:val="single" w:color="000000" w:sz="8" w:space="0"/>
            </w:tcBorders>
            <w:vAlign w:val="center"/>
          </w:tcPr>
          <w:p w14:paraId="7EE51892">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+0.000116</w:t>
            </w:r>
          </w:p>
        </w:tc>
      </w:tr>
      <w:tr w14:paraId="360F23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3F4C67A1">
            <w:pPr>
              <w:pStyle w:val="32"/>
              <w:bidi w:val="0"/>
              <w:rPr>
                <w:rFonts w:hint="eastAsi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3824">
            <w:pPr>
              <w:pStyle w:val="32"/>
              <w:bidi w:val="0"/>
              <w:rPr>
                <w:rFonts w:hint="default"/>
                <w:lang w:val="en-US" w:eastAsia="zh-CN"/>
              </w:rPr>
            </w:pPr>
            <w:r>
              <w:rPr>
                <w:rFonts w:hint="eastAsia"/>
                <w:lang w:val="en-US" w:eastAsia="zh-CN"/>
              </w:rPr>
              <w:t>油烟</w:t>
            </w:r>
          </w:p>
        </w:tc>
        <w:tc>
          <w:tcPr>
            <w:tcW w:w="1849" w:type="dxa"/>
            <w:tcBorders>
              <w:top w:val="single" w:color="000000" w:sz="4" w:space="0"/>
              <w:left w:val="single" w:color="000000" w:sz="4" w:space="0"/>
              <w:bottom w:val="single" w:color="000000" w:sz="4" w:space="0"/>
              <w:right w:val="single" w:color="000000" w:sz="4" w:space="0"/>
            </w:tcBorders>
            <w:vAlign w:val="center"/>
          </w:tcPr>
          <w:p w14:paraId="74675B26">
            <w:pPr>
              <w:pStyle w:val="32"/>
              <w:bidi w:val="0"/>
              <w:rPr>
                <w:rFonts w:hint="default"/>
                <w:lang w:val="en-US" w:eastAsia="zh-CN"/>
              </w:rPr>
            </w:pPr>
            <w:r>
              <w:rPr>
                <w:rFonts w:hint="eastAsia"/>
                <w:lang w:val="en-US" w:eastAsia="zh-CN"/>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04C3DC11">
            <w:pPr>
              <w:pStyle w:val="32"/>
              <w:bidi w:val="0"/>
              <w:rPr>
                <w:rFonts w:hint="eastAsi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FC52287">
            <w:pPr>
              <w:pStyle w:val="32"/>
              <w:bidi w:val="0"/>
              <w:rPr>
                <w:rFonts w:hint="eastAsia"/>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565B">
            <w:pPr>
              <w:pStyle w:val="32"/>
              <w:bidi w:val="0"/>
              <w:rPr>
                <w:rFonts w:hint="default"/>
                <w:lang w:val="en-US" w:eastAsia="zh-CN"/>
              </w:rPr>
            </w:pPr>
            <w:r>
              <w:rPr>
                <w:rFonts w:hint="eastAsia"/>
                <w:lang w:val="en-US" w:eastAsia="zh-CN"/>
              </w:rPr>
              <w:t>0.0090</w:t>
            </w:r>
          </w:p>
        </w:tc>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AA44">
            <w:pPr>
              <w:pStyle w:val="32"/>
              <w:bidi w:val="0"/>
              <w:rPr>
                <w:rFonts w:hint="default"/>
                <w:lang w:val="en-US" w:eastAsia="zh-CN"/>
              </w:rPr>
            </w:pPr>
            <w:r>
              <w:rPr>
                <w:rFonts w:hint="eastAsia"/>
                <w:lang w:val="en-US" w:eastAsia="zh-CN"/>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BE8F">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0.0090</w:t>
            </w:r>
          </w:p>
        </w:tc>
        <w:tc>
          <w:tcPr>
            <w:tcW w:w="1208" w:type="dxa"/>
            <w:tcBorders>
              <w:top w:val="single" w:color="000000" w:sz="4" w:space="0"/>
              <w:left w:val="single" w:color="000000" w:sz="4" w:space="0"/>
              <w:bottom w:val="single" w:color="000000" w:sz="4" w:space="0"/>
              <w:right w:val="single" w:color="000000" w:sz="8" w:space="0"/>
            </w:tcBorders>
            <w:vAlign w:val="center"/>
          </w:tcPr>
          <w:p w14:paraId="7E7D9E6F">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+0.0090</w:t>
            </w:r>
          </w:p>
        </w:tc>
      </w:tr>
      <w:tr w14:paraId="23FBF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4006FCD9">
            <w:pPr>
              <w:pStyle w:val="32"/>
              <w:bidi w:val="0"/>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03D0">
            <w:pPr>
              <w:pStyle w:val="32"/>
              <w:bidi w:val="0"/>
              <w:rPr>
                <w:rFonts w:hint="default"/>
                <w:lang w:val="en-US" w:eastAsia="zh-CN"/>
              </w:rPr>
            </w:pPr>
            <w:r>
              <w:rPr>
                <w:rFonts w:hint="eastAsia"/>
                <w:lang w:val="en-US" w:eastAsia="zh-CN"/>
              </w:rPr>
              <w:t>臭气浓度</w:t>
            </w:r>
          </w:p>
        </w:tc>
        <w:tc>
          <w:tcPr>
            <w:tcW w:w="1849" w:type="dxa"/>
            <w:tcBorders>
              <w:top w:val="single" w:color="000000" w:sz="4" w:space="0"/>
              <w:left w:val="single" w:color="000000" w:sz="4" w:space="0"/>
              <w:bottom w:val="single" w:color="000000" w:sz="4" w:space="0"/>
              <w:right w:val="single" w:color="000000" w:sz="4" w:space="0"/>
            </w:tcBorders>
            <w:vAlign w:val="center"/>
          </w:tcPr>
          <w:p w14:paraId="5FCB5C1B">
            <w:pPr>
              <w:pStyle w:val="32"/>
              <w:bidi w:val="0"/>
              <w:rPr>
                <w:rFonts w:hint="default"/>
                <w:lang w:val="en-US" w:eastAsia="zh-CN"/>
              </w:rPr>
            </w:pPr>
            <w:r>
              <w:rPr>
                <w:rFonts w:hint="eastAsia"/>
                <w:lang w:val="en-US" w:eastAsia="zh-CN"/>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7C1EDDF5">
            <w:pPr>
              <w:pStyle w:val="32"/>
              <w:bidi w:val="0"/>
              <w:rPr>
                <w:rFonts w:hint="eastAsia"/>
                <w:lang w:val="en-US" w:eastAsia="zh-CN"/>
              </w:rPr>
            </w:pPr>
            <w:r>
              <w:rPr>
                <w:rFonts w:hint="eastAsia"/>
                <w:lang w:val="en-US" w:eastAsia="zh-CN"/>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01890024">
            <w:pPr>
              <w:pStyle w:val="32"/>
              <w:bidi w:val="0"/>
              <w:rPr>
                <w:rFonts w:hint="eastAsia"/>
                <w:lang w:val="en-US" w:eastAsia="zh-CN"/>
              </w:rPr>
            </w:pPr>
            <w:r>
              <w:rPr>
                <w:rFonts w:hint="eastAsia"/>
                <w:lang w:val="en-US" w:eastAsia="zh-CN"/>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DBD6">
            <w:pPr>
              <w:pStyle w:val="32"/>
              <w:bidi w:val="0"/>
              <w:rPr>
                <w:rFonts w:hint="eastAsia"/>
                <w:lang w:val="en-US" w:eastAsia="zh-CN"/>
              </w:rPr>
            </w:pPr>
            <w:r>
              <w:rPr>
                <w:rFonts w:hint="eastAsia"/>
                <w:lang w:val="en-US" w:eastAsia="zh-CN"/>
              </w:rPr>
              <w:t>无量纲，无法统计排放量</w:t>
            </w:r>
          </w:p>
        </w:tc>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F686">
            <w:pPr>
              <w:pStyle w:val="32"/>
              <w:bidi w:val="0"/>
              <w:rPr>
                <w:rFonts w:hint="eastAsia"/>
                <w:lang w:val="en-US" w:eastAsia="zh-CN"/>
              </w:rPr>
            </w:pPr>
            <w:r>
              <w:rPr>
                <w:rFonts w:hint="eastAsia"/>
                <w:lang w:val="en-US" w:eastAsia="zh-CN"/>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7816">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无量纲，无法统计排放量</w:t>
            </w:r>
          </w:p>
        </w:tc>
        <w:tc>
          <w:tcPr>
            <w:tcW w:w="1208" w:type="dxa"/>
            <w:tcBorders>
              <w:top w:val="single" w:color="000000" w:sz="4" w:space="0"/>
              <w:left w:val="single" w:color="000000" w:sz="4" w:space="0"/>
              <w:bottom w:val="single" w:color="000000" w:sz="4" w:space="0"/>
              <w:right w:val="single" w:color="000000" w:sz="8" w:space="0"/>
            </w:tcBorders>
            <w:vAlign w:val="center"/>
          </w:tcPr>
          <w:p w14:paraId="2542F1FA">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w:t>
            </w:r>
          </w:p>
        </w:tc>
      </w:tr>
      <w:tr w14:paraId="16214D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restart"/>
            <w:tcBorders>
              <w:top w:val="single" w:color="000000" w:sz="8" w:space="0"/>
              <w:left w:val="single" w:color="000000" w:sz="8" w:space="0"/>
              <w:right w:val="single" w:color="000000" w:sz="4" w:space="0"/>
            </w:tcBorders>
            <w:vAlign w:val="center"/>
          </w:tcPr>
          <w:p w14:paraId="05817826">
            <w:pPr>
              <w:pStyle w:val="32"/>
              <w:bidi w:val="0"/>
            </w:pPr>
            <w:r>
              <w:rPr>
                <w:rFonts w:hint="eastAsia"/>
              </w:rPr>
              <w:t>废水</w:t>
            </w:r>
          </w:p>
        </w:tc>
        <w:tc>
          <w:tcPr>
            <w:tcW w:w="1620" w:type="dxa"/>
            <w:tcBorders>
              <w:top w:val="single" w:color="000000" w:sz="4" w:space="0"/>
              <w:left w:val="single" w:color="000000" w:sz="4" w:space="0"/>
              <w:bottom w:val="single" w:color="000000" w:sz="4" w:space="0"/>
              <w:right w:val="single" w:color="000000" w:sz="4" w:space="0"/>
            </w:tcBorders>
            <w:vAlign w:val="center"/>
          </w:tcPr>
          <w:p w14:paraId="2795AEB5">
            <w:pPr>
              <w:pStyle w:val="32"/>
              <w:bidi w:val="0"/>
            </w:pPr>
            <w:r>
              <w:rPr>
                <w:rFonts w:hint="eastAsia"/>
              </w:rPr>
              <w:t>水量</w:t>
            </w:r>
          </w:p>
        </w:tc>
        <w:tc>
          <w:tcPr>
            <w:tcW w:w="1849" w:type="dxa"/>
            <w:tcBorders>
              <w:top w:val="single" w:color="000000" w:sz="4" w:space="0"/>
              <w:left w:val="single" w:color="000000" w:sz="4" w:space="0"/>
              <w:bottom w:val="single" w:color="000000" w:sz="4" w:space="0"/>
              <w:right w:val="single" w:color="000000" w:sz="4" w:space="0"/>
            </w:tcBorders>
            <w:vAlign w:val="center"/>
          </w:tcPr>
          <w:p w14:paraId="2A62C50F">
            <w:pPr>
              <w:pStyle w:val="32"/>
              <w:bidi w:val="0"/>
              <w:ind w:firstLine="0" w:firstLineChars="0"/>
              <w:rPr>
                <w:rFonts w:hint="default" w:eastAsia="宋体"/>
                <w:lang w:val="en-US" w:eastAsia="zh-CN"/>
              </w:rPr>
            </w:pPr>
            <w:r>
              <w:rPr>
                <w:rFonts w:hint="eastAsia"/>
                <w:lang w:val="en-US" w:eastAsia="zh-CN"/>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24205465">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19194250">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4A857F0C">
            <w:pPr>
              <w:pStyle w:val="32"/>
              <w:bidi w:val="0"/>
            </w:pPr>
            <w:r>
              <w:rPr>
                <w:rFonts w:hint="eastAsia"/>
                <w:lang w:val="en-US" w:eastAsia="zh-CN"/>
              </w:rPr>
              <w:t>32095.76</w:t>
            </w:r>
          </w:p>
        </w:tc>
        <w:tc>
          <w:tcPr>
            <w:tcW w:w="1761" w:type="dxa"/>
            <w:tcBorders>
              <w:top w:val="single" w:color="000000" w:sz="4" w:space="0"/>
              <w:left w:val="single" w:color="000000" w:sz="4" w:space="0"/>
              <w:bottom w:val="single" w:color="000000" w:sz="4" w:space="0"/>
              <w:right w:val="single" w:color="000000" w:sz="4" w:space="0"/>
            </w:tcBorders>
            <w:vAlign w:val="center"/>
          </w:tcPr>
          <w:p w14:paraId="04EF00AD">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9306B8">
            <w:pPr>
              <w:pStyle w:val="32"/>
              <w:bidi w:val="0"/>
              <w:rPr>
                <w:rFonts w:hint="default"/>
                <w:lang w:val="en-US" w:eastAsia="zh-CN"/>
              </w:rPr>
            </w:pPr>
            <w:r>
              <w:rPr>
                <w:rFonts w:hint="eastAsia"/>
                <w:lang w:val="en-US" w:eastAsia="zh-CN"/>
              </w:rPr>
              <w:t>32095.76</w:t>
            </w:r>
          </w:p>
        </w:tc>
        <w:tc>
          <w:tcPr>
            <w:tcW w:w="1208" w:type="dxa"/>
            <w:tcBorders>
              <w:top w:val="single" w:color="000000" w:sz="4" w:space="0"/>
              <w:left w:val="single" w:color="000000" w:sz="4" w:space="0"/>
              <w:bottom w:val="single" w:color="000000" w:sz="4" w:space="0"/>
              <w:right w:val="single" w:color="000000" w:sz="8" w:space="0"/>
            </w:tcBorders>
            <w:vAlign w:val="bottom"/>
          </w:tcPr>
          <w:p w14:paraId="5A25B086">
            <w:pPr>
              <w:pStyle w:val="32"/>
              <w:bidi w:val="0"/>
              <w:rPr>
                <w:rFonts w:hint="eastAsia"/>
                <w:lang w:val="en-US" w:eastAsia="zh-CN"/>
              </w:rPr>
            </w:pPr>
            <w:r>
              <w:rPr>
                <w:rFonts w:hint="eastAsia"/>
              </w:rPr>
              <w:t>+</w:t>
            </w:r>
            <w:r>
              <w:rPr>
                <w:rFonts w:hint="eastAsia"/>
                <w:lang w:val="en-US" w:eastAsia="zh-CN"/>
              </w:rPr>
              <w:t>32095.76</w:t>
            </w:r>
          </w:p>
        </w:tc>
      </w:tr>
      <w:tr w14:paraId="1BD590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40CD2D4E">
            <w:pPr>
              <w:pStyle w:val="32"/>
              <w:bidi w:val="0"/>
            </w:pPr>
          </w:p>
        </w:tc>
        <w:tc>
          <w:tcPr>
            <w:tcW w:w="1620" w:type="dxa"/>
            <w:tcBorders>
              <w:top w:val="single" w:color="000000" w:sz="4" w:space="0"/>
              <w:left w:val="single" w:color="000000" w:sz="4" w:space="0"/>
              <w:bottom w:val="single" w:color="000000" w:sz="4" w:space="0"/>
              <w:right w:val="single" w:color="000000" w:sz="4" w:space="0"/>
            </w:tcBorders>
            <w:vAlign w:val="center"/>
          </w:tcPr>
          <w:p w14:paraId="4A12E86A">
            <w:pPr>
              <w:pStyle w:val="32"/>
              <w:bidi w:val="0"/>
            </w:pPr>
            <w:r>
              <w:rPr>
                <w:rFonts w:hint="eastAsia"/>
              </w:rPr>
              <w:t>COD</w:t>
            </w:r>
          </w:p>
        </w:tc>
        <w:tc>
          <w:tcPr>
            <w:tcW w:w="1849" w:type="dxa"/>
            <w:tcBorders>
              <w:top w:val="single" w:color="000000" w:sz="4" w:space="0"/>
              <w:left w:val="single" w:color="000000" w:sz="4" w:space="0"/>
              <w:bottom w:val="single" w:color="000000" w:sz="4" w:space="0"/>
              <w:right w:val="single" w:color="000000" w:sz="4" w:space="0"/>
            </w:tcBorders>
            <w:vAlign w:val="center"/>
          </w:tcPr>
          <w:p w14:paraId="310067E4">
            <w:pPr>
              <w:pStyle w:val="32"/>
              <w:bidi w:val="0"/>
              <w:ind w:firstLine="0" w:firstLineChars="0"/>
              <w:rPr>
                <w:rFonts w:hint="default"/>
                <w:lang w:val="en-US" w:eastAsia="zh-CN"/>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30691B81">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05C91B02">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2F870E06">
            <w:pPr>
              <w:pStyle w:val="32"/>
              <w:bidi w:val="0"/>
              <w:rPr>
                <w:rFonts w:hint="default" w:eastAsia="宋体"/>
                <w:lang w:val="en-US" w:eastAsia="zh-CN"/>
              </w:rPr>
            </w:pPr>
            <w:r>
              <w:rPr>
                <w:rFonts w:hint="eastAsia"/>
                <w:lang w:val="en-US" w:eastAsia="zh-CN"/>
              </w:rPr>
              <w:t>1.6898</w:t>
            </w:r>
          </w:p>
        </w:tc>
        <w:tc>
          <w:tcPr>
            <w:tcW w:w="1761" w:type="dxa"/>
            <w:tcBorders>
              <w:top w:val="single" w:color="000000" w:sz="4" w:space="0"/>
              <w:left w:val="single" w:color="000000" w:sz="4" w:space="0"/>
              <w:bottom w:val="single" w:color="000000" w:sz="4" w:space="0"/>
              <w:right w:val="single" w:color="000000" w:sz="4" w:space="0"/>
            </w:tcBorders>
            <w:vAlign w:val="center"/>
          </w:tcPr>
          <w:p w14:paraId="59E18919">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821D">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1.6898</w:t>
            </w:r>
          </w:p>
        </w:tc>
        <w:tc>
          <w:tcPr>
            <w:tcW w:w="1208" w:type="dxa"/>
            <w:tcBorders>
              <w:top w:val="single" w:color="000000" w:sz="4" w:space="0"/>
              <w:left w:val="single" w:color="000000" w:sz="4" w:space="0"/>
              <w:bottom w:val="single" w:color="000000" w:sz="4" w:space="0"/>
              <w:right w:val="single" w:color="000000" w:sz="8" w:space="0"/>
            </w:tcBorders>
            <w:vAlign w:val="center"/>
          </w:tcPr>
          <w:p w14:paraId="2C4716EA">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+1.6898</w:t>
            </w:r>
          </w:p>
        </w:tc>
      </w:tr>
      <w:tr w14:paraId="28DB0F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68412F61">
            <w:pPr>
              <w:pStyle w:val="32"/>
              <w:bidi w:val="0"/>
            </w:pPr>
          </w:p>
        </w:tc>
        <w:tc>
          <w:tcPr>
            <w:tcW w:w="1620" w:type="dxa"/>
            <w:tcBorders>
              <w:top w:val="single" w:color="000000" w:sz="4" w:space="0"/>
              <w:left w:val="single" w:color="000000" w:sz="4" w:space="0"/>
              <w:bottom w:val="single" w:color="000000" w:sz="4" w:space="0"/>
              <w:right w:val="single" w:color="000000" w:sz="4" w:space="0"/>
            </w:tcBorders>
            <w:vAlign w:val="center"/>
          </w:tcPr>
          <w:p w14:paraId="376AF58D">
            <w:pPr>
              <w:pStyle w:val="32"/>
              <w:bidi w:val="0"/>
            </w:pPr>
            <w:r>
              <w:rPr>
                <w:rFonts w:hint="eastAsia"/>
              </w:rPr>
              <w:t>BOD</w:t>
            </w:r>
            <w:r>
              <w:rPr>
                <w:rFonts w:hint="eastAsia"/>
                <w:vertAlign w:val="subscript"/>
              </w:rPr>
              <w:t>5</w:t>
            </w:r>
          </w:p>
        </w:tc>
        <w:tc>
          <w:tcPr>
            <w:tcW w:w="1849" w:type="dxa"/>
            <w:tcBorders>
              <w:top w:val="single" w:color="000000" w:sz="4" w:space="0"/>
              <w:left w:val="single" w:color="000000" w:sz="4" w:space="0"/>
              <w:bottom w:val="single" w:color="000000" w:sz="4" w:space="0"/>
              <w:right w:val="single" w:color="000000" w:sz="4" w:space="0"/>
            </w:tcBorders>
            <w:vAlign w:val="center"/>
          </w:tcPr>
          <w:p w14:paraId="21D47213">
            <w:pPr>
              <w:pStyle w:val="32"/>
              <w:bidi w:val="0"/>
              <w:ind w:firstLine="0" w:firstLineChars="0"/>
              <w:rPr>
                <w:rFonts w:hint="default"/>
                <w:lang w:val="en-US" w:eastAsia="zh-CN"/>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2FCD311C">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7CE01B42">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6494284A">
            <w:pPr>
              <w:pStyle w:val="32"/>
              <w:bidi w:val="0"/>
              <w:rPr>
                <w:rFonts w:hint="default"/>
                <w:lang w:val="en-US" w:eastAsia="zh-CN"/>
              </w:rPr>
            </w:pPr>
            <w:r>
              <w:rPr>
                <w:rFonts w:hint="eastAsia"/>
                <w:lang w:val="en-US" w:eastAsia="zh-CN"/>
              </w:rPr>
              <w:t>0.5633</w:t>
            </w:r>
          </w:p>
        </w:tc>
        <w:tc>
          <w:tcPr>
            <w:tcW w:w="1761" w:type="dxa"/>
            <w:tcBorders>
              <w:top w:val="single" w:color="000000" w:sz="4" w:space="0"/>
              <w:left w:val="single" w:color="000000" w:sz="4" w:space="0"/>
              <w:bottom w:val="single" w:color="000000" w:sz="4" w:space="0"/>
              <w:right w:val="single" w:color="000000" w:sz="4" w:space="0"/>
            </w:tcBorders>
            <w:vAlign w:val="center"/>
          </w:tcPr>
          <w:p w14:paraId="3DCFD3E9">
            <w:pPr>
              <w:pStyle w:val="32"/>
              <w:bidi w:val="0"/>
            </w:pPr>
            <w:r>
              <w:rPr>
                <w:rFonts w:hint="eastAsia"/>
                <w:lang w:val="en-US" w:eastAsia="zh-CN"/>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2FCD">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0.5633</w:t>
            </w:r>
          </w:p>
        </w:tc>
        <w:tc>
          <w:tcPr>
            <w:tcW w:w="1208" w:type="dxa"/>
            <w:tcBorders>
              <w:top w:val="single" w:color="000000" w:sz="4" w:space="0"/>
              <w:left w:val="single" w:color="000000" w:sz="4" w:space="0"/>
              <w:bottom w:val="single" w:color="000000" w:sz="4" w:space="0"/>
              <w:right w:val="single" w:color="000000" w:sz="8" w:space="0"/>
            </w:tcBorders>
            <w:vAlign w:val="center"/>
          </w:tcPr>
          <w:p w14:paraId="48C17FE9">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+0.5633</w:t>
            </w:r>
          </w:p>
        </w:tc>
      </w:tr>
      <w:tr w14:paraId="15C0BA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0F44A1EE">
            <w:pPr>
              <w:pStyle w:val="32"/>
              <w:bidi w:val="0"/>
            </w:pPr>
          </w:p>
        </w:tc>
        <w:tc>
          <w:tcPr>
            <w:tcW w:w="1620" w:type="dxa"/>
            <w:tcBorders>
              <w:top w:val="single" w:color="000000" w:sz="4" w:space="0"/>
              <w:left w:val="single" w:color="000000" w:sz="4" w:space="0"/>
              <w:bottom w:val="single" w:color="000000" w:sz="4" w:space="0"/>
              <w:right w:val="single" w:color="000000" w:sz="4" w:space="0"/>
            </w:tcBorders>
            <w:vAlign w:val="center"/>
          </w:tcPr>
          <w:p w14:paraId="505DFF03">
            <w:pPr>
              <w:pStyle w:val="32"/>
              <w:bidi w:val="0"/>
            </w:pPr>
            <w:r>
              <w:rPr>
                <w:rFonts w:hint="eastAsia"/>
              </w:rPr>
              <w:t>氨氮</w:t>
            </w:r>
          </w:p>
        </w:tc>
        <w:tc>
          <w:tcPr>
            <w:tcW w:w="1849" w:type="dxa"/>
            <w:tcBorders>
              <w:top w:val="single" w:color="000000" w:sz="4" w:space="0"/>
              <w:left w:val="single" w:color="000000" w:sz="4" w:space="0"/>
              <w:bottom w:val="single" w:color="000000" w:sz="4" w:space="0"/>
              <w:right w:val="single" w:color="000000" w:sz="4" w:space="0"/>
            </w:tcBorders>
            <w:vAlign w:val="center"/>
          </w:tcPr>
          <w:p w14:paraId="0E6CFF04">
            <w:pPr>
              <w:pStyle w:val="32"/>
              <w:bidi w:val="0"/>
              <w:ind w:firstLine="0" w:firstLineChars="0"/>
              <w:rPr>
                <w:rFonts w:hint="default"/>
                <w:lang w:val="en-US" w:eastAsia="zh-CN"/>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69B9A673">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4448030A">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6CD88BF8">
            <w:pPr>
              <w:pStyle w:val="32"/>
              <w:bidi w:val="0"/>
              <w:rPr>
                <w:rFonts w:hint="default"/>
                <w:lang w:val="en-US" w:eastAsia="zh-CN"/>
              </w:rPr>
            </w:pPr>
            <w:r>
              <w:rPr>
                <w:rFonts w:hint="eastAsia"/>
                <w:lang w:val="en-US" w:eastAsia="zh-CN"/>
              </w:rPr>
              <w:t>0.5694</w:t>
            </w:r>
          </w:p>
        </w:tc>
        <w:tc>
          <w:tcPr>
            <w:tcW w:w="1761" w:type="dxa"/>
            <w:tcBorders>
              <w:top w:val="single" w:color="000000" w:sz="4" w:space="0"/>
              <w:left w:val="single" w:color="000000" w:sz="4" w:space="0"/>
              <w:bottom w:val="single" w:color="000000" w:sz="4" w:space="0"/>
              <w:right w:val="single" w:color="000000" w:sz="4" w:space="0"/>
            </w:tcBorders>
            <w:vAlign w:val="center"/>
          </w:tcPr>
          <w:p w14:paraId="05FEADB4">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0152">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0.5694</w:t>
            </w:r>
          </w:p>
        </w:tc>
        <w:tc>
          <w:tcPr>
            <w:tcW w:w="1208" w:type="dxa"/>
            <w:tcBorders>
              <w:top w:val="single" w:color="000000" w:sz="4" w:space="0"/>
              <w:left w:val="single" w:color="000000" w:sz="4" w:space="0"/>
              <w:bottom w:val="single" w:color="000000" w:sz="4" w:space="0"/>
              <w:right w:val="single" w:color="000000" w:sz="8" w:space="0"/>
            </w:tcBorders>
            <w:vAlign w:val="center"/>
          </w:tcPr>
          <w:p w14:paraId="104BFE86">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+0.5694</w:t>
            </w:r>
          </w:p>
        </w:tc>
      </w:tr>
      <w:tr w14:paraId="7B2BC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bottom w:val="single" w:color="000000" w:sz="8" w:space="0"/>
              <w:right w:val="single" w:color="000000" w:sz="4" w:space="0"/>
            </w:tcBorders>
            <w:vAlign w:val="center"/>
          </w:tcPr>
          <w:p w14:paraId="1DB927E1">
            <w:pPr>
              <w:pStyle w:val="32"/>
              <w:bidi w:val="0"/>
            </w:pPr>
          </w:p>
        </w:tc>
        <w:tc>
          <w:tcPr>
            <w:tcW w:w="1620" w:type="dxa"/>
            <w:tcBorders>
              <w:top w:val="single" w:color="000000" w:sz="4" w:space="0"/>
              <w:left w:val="single" w:color="000000" w:sz="4" w:space="0"/>
              <w:bottom w:val="single" w:color="000000" w:sz="4" w:space="0"/>
              <w:right w:val="single" w:color="000000" w:sz="4" w:space="0"/>
            </w:tcBorders>
            <w:vAlign w:val="center"/>
          </w:tcPr>
          <w:p w14:paraId="7DFAD633">
            <w:pPr>
              <w:pStyle w:val="32"/>
              <w:bidi w:val="0"/>
            </w:pPr>
            <w:r>
              <w:rPr>
                <w:rFonts w:hint="eastAsia"/>
              </w:rPr>
              <w:t>SS</w:t>
            </w:r>
          </w:p>
        </w:tc>
        <w:tc>
          <w:tcPr>
            <w:tcW w:w="1849" w:type="dxa"/>
            <w:tcBorders>
              <w:top w:val="single" w:color="000000" w:sz="4" w:space="0"/>
              <w:left w:val="single" w:color="000000" w:sz="4" w:space="0"/>
              <w:bottom w:val="single" w:color="000000" w:sz="4" w:space="0"/>
              <w:right w:val="single" w:color="000000" w:sz="4" w:space="0"/>
            </w:tcBorders>
            <w:vAlign w:val="center"/>
          </w:tcPr>
          <w:p w14:paraId="508CDE16">
            <w:pPr>
              <w:pStyle w:val="32"/>
              <w:bidi w:val="0"/>
              <w:ind w:firstLine="0" w:firstLineChars="0"/>
              <w:rPr>
                <w:rFonts w:hint="default"/>
                <w:lang w:val="en-US" w:eastAsia="zh-CN"/>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2EAC0857">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6DD8ED31">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73349652">
            <w:pPr>
              <w:pStyle w:val="32"/>
              <w:bidi w:val="0"/>
              <w:rPr>
                <w:rFonts w:hint="default"/>
                <w:lang w:val="en-US" w:eastAsia="zh-CN"/>
              </w:rPr>
            </w:pPr>
            <w:r>
              <w:rPr>
                <w:rFonts w:hint="eastAsia"/>
                <w:lang w:val="en-US" w:eastAsia="zh-CN"/>
              </w:rPr>
              <w:t>0.4529</w:t>
            </w:r>
          </w:p>
        </w:tc>
        <w:tc>
          <w:tcPr>
            <w:tcW w:w="1761" w:type="dxa"/>
            <w:tcBorders>
              <w:top w:val="single" w:color="000000" w:sz="4" w:space="0"/>
              <w:left w:val="single" w:color="000000" w:sz="4" w:space="0"/>
              <w:bottom w:val="single" w:color="000000" w:sz="4" w:space="0"/>
              <w:right w:val="single" w:color="000000" w:sz="4" w:space="0"/>
            </w:tcBorders>
            <w:vAlign w:val="center"/>
          </w:tcPr>
          <w:p w14:paraId="7925825F">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C255">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0.4529</w:t>
            </w:r>
          </w:p>
        </w:tc>
        <w:tc>
          <w:tcPr>
            <w:tcW w:w="1208" w:type="dxa"/>
            <w:tcBorders>
              <w:top w:val="single" w:color="000000" w:sz="4" w:space="0"/>
              <w:left w:val="single" w:color="000000" w:sz="4" w:space="0"/>
              <w:bottom w:val="single" w:color="000000" w:sz="4" w:space="0"/>
              <w:right w:val="single" w:color="000000" w:sz="8" w:space="0"/>
            </w:tcBorders>
            <w:vAlign w:val="center"/>
          </w:tcPr>
          <w:p w14:paraId="6082645C">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+0.4529</w:t>
            </w:r>
          </w:p>
        </w:tc>
      </w:tr>
      <w:tr w14:paraId="7844EE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restart"/>
            <w:tcBorders>
              <w:top w:val="single" w:color="000000" w:sz="8" w:space="0"/>
              <w:left w:val="single" w:color="000000" w:sz="8" w:space="0"/>
              <w:right w:val="single" w:color="000000" w:sz="4" w:space="0"/>
            </w:tcBorders>
            <w:vAlign w:val="center"/>
          </w:tcPr>
          <w:p w14:paraId="657400C4">
            <w:pPr>
              <w:pStyle w:val="32"/>
              <w:bidi w:val="0"/>
            </w:pPr>
            <w:r>
              <w:rPr>
                <w:rFonts w:hint="eastAsia"/>
              </w:rPr>
              <w:t>一般工业固体废物</w:t>
            </w:r>
          </w:p>
        </w:tc>
        <w:tc>
          <w:tcPr>
            <w:tcW w:w="1620" w:type="dxa"/>
            <w:tcBorders>
              <w:top w:val="single" w:color="000000" w:sz="4" w:space="0"/>
              <w:left w:val="single" w:color="000000" w:sz="4" w:space="0"/>
              <w:bottom w:val="single" w:color="000000" w:sz="4" w:space="0"/>
              <w:right w:val="single" w:color="000000" w:sz="4" w:space="0"/>
            </w:tcBorders>
            <w:vAlign w:val="center"/>
          </w:tcPr>
          <w:p w14:paraId="6CB43CFE">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生活垃圾</w:t>
            </w:r>
          </w:p>
        </w:tc>
        <w:tc>
          <w:tcPr>
            <w:tcW w:w="1849" w:type="dxa"/>
            <w:tcBorders>
              <w:top w:val="single" w:color="000000" w:sz="4" w:space="0"/>
              <w:left w:val="single" w:color="000000" w:sz="4" w:space="0"/>
              <w:bottom w:val="single" w:color="000000" w:sz="4" w:space="0"/>
              <w:right w:val="single" w:color="000000" w:sz="4" w:space="0"/>
            </w:tcBorders>
            <w:vAlign w:val="center"/>
          </w:tcPr>
          <w:p w14:paraId="195E7F7B">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2C2494C0">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46C64C50">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7C7DCBB3">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62.9625</w:t>
            </w:r>
          </w:p>
        </w:tc>
        <w:tc>
          <w:tcPr>
            <w:tcW w:w="1761" w:type="dxa"/>
            <w:tcBorders>
              <w:top w:val="single" w:color="000000" w:sz="4" w:space="0"/>
              <w:left w:val="single" w:color="000000" w:sz="4" w:space="0"/>
              <w:bottom w:val="single" w:color="000000" w:sz="4" w:space="0"/>
              <w:right w:val="single" w:color="000000" w:sz="4" w:space="0"/>
            </w:tcBorders>
            <w:vAlign w:val="center"/>
          </w:tcPr>
          <w:p w14:paraId="76646867">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vAlign w:val="center"/>
          </w:tcPr>
          <w:p w14:paraId="18DDE005">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62.9625</w:t>
            </w:r>
          </w:p>
        </w:tc>
        <w:tc>
          <w:tcPr>
            <w:tcW w:w="1208" w:type="dxa"/>
            <w:tcBorders>
              <w:top w:val="single" w:color="000000" w:sz="4" w:space="0"/>
              <w:left w:val="single" w:color="000000" w:sz="4" w:space="0"/>
              <w:bottom w:val="single" w:color="000000" w:sz="4" w:space="0"/>
              <w:right w:val="single" w:color="000000" w:sz="8" w:space="0"/>
            </w:tcBorders>
            <w:vAlign w:val="center"/>
          </w:tcPr>
          <w:p w14:paraId="2957C927">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+62.9625</w:t>
            </w:r>
          </w:p>
        </w:tc>
      </w:tr>
      <w:tr w14:paraId="79CDC1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2AB30ECD">
            <w:pPr>
              <w:pStyle w:val="32"/>
              <w:bidi w:val="0"/>
            </w:pPr>
          </w:p>
        </w:tc>
        <w:tc>
          <w:tcPr>
            <w:tcW w:w="1620" w:type="dxa"/>
            <w:tcBorders>
              <w:top w:val="single" w:color="000000" w:sz="4" w:space="0"/>
              <w:left w:val="single" w:color="000000" w:sz="4" w:space="0"/>
              <w:bottom w:val="single" w:color="000000" w:sz="4" w:space="0"/>
              <w:right w:val="single" w:color="000000" w:sz="4" w:space="0"/>
            </w:tcBorders>
            <w:vAlign w:val="center"/>
          </w:tcPr>
          <w:p w14:paraId="6F98158D">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废包装材料</w:t>
            </w:r>
          </w:p>
        </w:tc>
        <w:tc>
          <w:tcPr>
            <w:tcW w:w="1849" w:type="dxa"/>
            <w:tcBorders>
              <w:top w:val="single" w:color="000000" w:sz="4" w:space="0"/>
              <w:left w:val="single" w:color="000000" w:sz="4" w:space="0"/>
              <w:bottom w:val="single" w:color="000000" w:sz="4" w:space="0"/>
              <w:right w:val="single" w:color="000000" w:sz="4" w:space="0"/>
            </w:tcBorders>
            <w:vAlign w:val="center"/>
          </w:tcPr>
          <w:p w14:paraId="2A7117A3">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3BDF7D2E">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30DDC3EF">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23C6E920">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0.3</w:t>
            </w:r>
          </w:p>
        </w:tc>
        <w:tc>
          <w:tcPr>
            <w:tcW w:w="1761" w:type="dxa"/>
            <w:tcBorders>
              <w:top w:val="single" w:color="000000" w:sz="4" w:space="0"/>
              <w:left w:val="single" w:color="000000" w:sz="4" w:space="0"/>
              <w:bottom w:val="single" w:color="000000" w:sz="4" w:space="0"/>
              <w:right w:val="single" w:color="000000" w:sz="4" w:space="0"/>
            </w:tcBorders>
            <w:vAlign w:val="center"/>
          </w:tcPr>
          <w:p w14:paraId="44CE5B35">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vAlign w:val="center"/>
          </w:tcPr>
          <w:p w14:paraId="47903E03">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0.3</w:t>
            </w:r>
          </w:p>
        </w:tc>
        <w:tc>
          <w:tcPr>
            <w:tcW w:w="1208" w:type="dxa"/>
            <w:tcBorders>
              <w:top w:val="single" w:color="000000" w:sz="4" w:space="0"/>
              <w:left w:val="single" w:color="000000" w:sz="4" w:space="0"/>
              <w:bottom w:val="single" w:color="000000" w:sz="4" w:space="0"/>
              <w:right w:val="single" w:color="000000" w:sz="8" w:space="0"/>
            </w:tcBorders>
            <w:vAlign w:val="center"/>
          </w:tcPr>
          <w:p w14:paraId="6B754553">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+0.3</w:t>
            </w:r>
          </w:p>
        </w:tc>
      </w:tr>
      <w:tr w14:paraId="015CE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4B779908">
            <w:pPr>
              <w:pStyle w:val="32"/>
              <w:bidi w:val="0"/>
            </w:pPr>
          </w:p>
        </w:tc>
        <w:tc>
          <w:tcPr>
            <w:tcW w:w="1620" w:type="dxa"/>
            <w:tcBorders>
              <w:top w:val="single" w:color="000000" w:sz="4" w:space="0"/>
              <w:left w:val="single" w:color="000000" w:sz="4" w:space="0"/>
              <w:bottom w:val="single" w:color="000000" w:sz="4" w:space="0"/>
              <w:right w:val="single" w:color="000000" w:sz="4" w:space="0"/>
            </w:tcBorders>
            <w:vAlign w:val="center"/>
          </w:tcPr>
          <w:p w14:paraId="770246CD">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厨余垃圾</w:t>
            </w:r>
          </w:p>
        </w:tc>
        <w:tc>
          <w:tcPr>
            <w:tcW w:w="1849" w:type="dxa"/>
            <w:tcBorders>
              <w:top w:val="single" w:color="000000" w:sz="4" w:space="0"/>
              <w:left w:val="single" w:color="000000" w:sz="4" w:space="0"/>
              <w:bottom w:val="single" w:color="000000" w:sz="4" w:space="0"/>
              <w:right w:val="single" w:color="000000" w:sz="4" w:space="0"/>
            </w:tcBorders>
            <w:vAlign w:val="center"/>
          </w:tcPr>
          <w:p w14:paraId="090CAA81">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3076B3BA">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2F1D28AB">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2E5C8282">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12.045</w:t>
            </w:r>
          </w:p>
        </w:tc>
        <w:tc>
          <w:tcPr>
            <w:tcW w:w="1761" w:type="dxa"/>
            <w:tcBorders>
              <w:top w:val="single" w:color="000000" w:sz="4" w:space="0"/>
              <w:left w:val="single" w:color="000000" w:sz="4" w:space="0"/>
              <w:bottom w:val="single" w:color="000000" w:sz="4" w:space="0"/>
              <w:right w:val="single" w:color="000000" w:sz="4" w:space="0"/>
            </w:tcBorders>
            <w:vAlign w:val="center"/>
          </w:tcPr>
          <w:p w14:paraId="2B590369">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vAlign w:val="center"/>
          </w:tcPr>
          <w:p w14:paraId="78165FBC">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12.045</w:t>
            </w:r>
          </w:p>
        </w:tc>
        <w:tc>
          <w:tcPr>
            <w:tcW w:w="1208" w:type="dxa"/>
            <w:tcBorders>
              <w:top w:val="single" w:color="000000" w:sz="4" w:space="0"/>
              <w:left w:val="single" w:color="000000" w:sz="4" w:space="0"/>
              <w:bottom w:val="single" w:color="000000" w:sz="4" w:space="0"/>
              <w:right w:val="single" w:color="000000" w:sz="8" w:space="0"/>
            </w:tcBorders>
            <w:vAlign w:val="center"/>
          </w:tcPr>
          <w:p w14:paraId="5F88655C">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+12.045</w:t>
            </w:r>
          </w:p>
        </w:tc>
      </w:tr>
      <w:tr w14:paraId="408AF4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restart"/>
            <w:tcBorders>
              <w:left w:val="single" w:color="000000" w:sz="8" w:space="0"/>
              <w:right w:val="single" w:color="000000" w:sz="4" w:space="0"/>
            </w:tcBorders>
            <w:vAlign w:val="center"/>
          </w:tcPr>
          <w:p w14:paraId="02A57320">
            <w:pPr>
              <w:pStyle w:val="32"/>
              <w:bidi w:val="0"/>
            </w:pPr>
            <w:r>
              <w:rPr>
                <w:rFonts w:hint="eastAsia"/>
              </w:rPr>
              <w:t>危险废物</w:t>
            </w:r>
          </w:p>
        </w:tc>
        <w:tc>
          <w:tcPr>
            <w:tcW w:w="1620" w:type="dxa"/>
            <w:tcBorders>
              <w:top w:val="single" w:color="000000" w:sz="4" w:space="0"/>
              <w:left w:val="single" w:color="000000" w:sz="4" w:space="0"/>
              <w:bottom w:val="single" w:color="000000" w:sz="4" w:space="0"/>
              <w:right w:val="single" w:color="000000" w:sz="4" w:space="0"/>
            </w:tcBorders>
            <w:vAlign w:val="center"/>
          </w:tcPr>
          <w:p w14:paraId="69A0A793">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废活性炭</w:t>
            </w:r>
          </w:p>
        </w:tc>
        <w:tc>
          <w:tcPr>
            <w:tcW w:w="1849" w:type="dxa"/>
            <w:tcBorders>
              <w:top w:val="single" w:color="000000" w:sz="4" w:space="0"/>
              <w:left w:val="single" w:color="000000" w:sz="4" w:space="0"/>
              <w:bottom w:val="single" w:color="000000" w:sz="4" w:space="0"/>
              <w:right w:val="single" w:color="000000" w:sz="4" w:space="0"/>
            </w:tcBorders>
            <w:vAlign w:val="center"/>
          </w:tcPr>
          <w:p w14:paraId="35F4EDB1">
            <w:pPr>
              <w:pStyle w:val="32"/>
              <w:bidi w:val="0"/>
              <w:ind w:firstLine="0" w:firstLineChars="0"/>
              <w:rPr>
                <w:rFonts w:hint="default" w:ascii="Times New Roman" w:hAnsi="Times New Roman" w:eastAsia="宋体" w:cs="Times New Roman"/>
                <w:kern w:val="2"/>
                <w:sz w:val="21"/>
                <w:szCs w:val="24"/>
                <w:lang w:val="en-US" w:eastAsia="zh-CN" w:bidi="ar-SA"/>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55DA67B0">
            <w:pPr>
              <w:pStyle w:val="32"/>
              <w:bidi w:val="0"/>
              <w:rPr>
                <w:rFonts w:hint="eastAsi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CA53F92">
            <w:pPr>
              <w:pStyle w:val="32"/>
              <w:bidi w:val="0"/>
              <w:rPr>
                <w:rFonts w:hint="eastAsia"/>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4B21147C">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0.0450</w:t>
            </w:r>
          </w:p>
        </w:tc>
        <w:tc>
          <w:tcPr>
            <w:tcW w:w="1761" w:type="dxa"/>
            <w:tcBorders>
              <w:top w:val="single" w:color="000000" w:sz="4" w:space="0"/>
              <w:left w:val="single" w:color="000000" w:sz="4" w:space="0"/>
              <w:bottom w:val="single" w:color="000000" w:sz="4" w:space="0"/>
              <w:right w:val="single" w:color="000000" w:sz="4" w:space="0"/>
            </w:tcBorders>
            <w:vAlign w:val="center"/>
          </w:tcPr>
          <w:p w14:paraId="34FED518">
            <w:pPr>
              <w:pStyle w:val="32"/>
              <w:bidi w:val="0"/>
              <w:rPr>
                <w:rFonts w:hint="eastAsia"/>
              </w:rPr>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vAlign w:val="center"/>
          </w:tcPr>
          <w:p w14:paraId="6033FA66">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0.0450</w:t>
            </w:r>
          </w:p>
        </w:tc>
        <w:tc>
          <w:tcPr>
            <w:tcW w:w="1208" w:type="dxa"/>
            <w:tcBorders>
              <w:top w:val="single" w:color="000000" w:sz="4" w:space="0"/>
              <w:left w:val="single" w:color="000000" w:sz="4" w:space="0"/>
              <w:bottom w:val="single" w:color="000000" w:sz="4" w:space="0"/>
              <w:right w:val="single" w:color="000000" w:sz="8" w:space="0"/>
            </w:tcBorders>
            <w:vAlign w:val="center"/>
          </w:tcPr>
          <w:p w14:paraId="4111F651">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+0.0450</w:t>
            </w:r>
          </w:p>
        </w:tc>
      </w:tr>
      <w:tr w14:paraId="158EC2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45834550">
            <w:pPr>
              <w:pStyle w:val="32"/>
              <w:bidi w:val="0"/>
            </w:pPr>
          </w:p>
        </w:tc>
        <w:tc>
          <w:tcPr>
            <w:tcW w:w="1620" w:type="dxa"/>
            <w:tcBorders>
              <w:top w:val="single" w:color="000000" w:sz="4" w:space="0"/>
              <w:left w:val="single" w:color="000000" w:sz="4" w:space="0"/>
              <w:bottom w:val="single" w:color="000000" w:sz="4" w:space="0"/>
              <w:right w:val="single" w:color="000000" w:sz="4" w:space="0"/>
            </w:tcBorders>
            <w:vAlign w:val="center"/>
          </w:tcPr>
          <w:p w14:paraId="50306452">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医疗废物</w:t>
            </w:r>
          </w:p>
        </w:tc>
        <w:tc>
          <w:tcPr>
            <w:tcW w:w="1849" w:type="dxa"/>
            <w:tcBorders>
              <w:top w:val="single" w:color="000000" w:sz="4" w:space="0"/>
              <w:left w:val="single" w:color="000000" w:sz="4" w:space="0"/>
              <w:bottom w:val="single" w:color="000000" w:sz="4" w:space="0"/>
              <w:right w:val="single" w:color="000000" w:sz="4" w:space="0"/>
            </w:tcBorders>
            <w:vAlign w:val="center"/>
          </w:tcPr>
          <w:p w14:paraId="718D67C2">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728A8EFC">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302A01A7">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6C8794B9">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52.2315</w:t>
            </w:r>
          </w:p>
        </w:tc>
        <w:tc>
          <w:tcPr>
            <w:tcW w:w="1761" w:type="dxa"/>
            <w:tcBorders>
              <w:top w:val="single" w:color="000000" w:sz="4" w:space="0"/>
              <w:left w:val="single" w:color="000000" w:sz="4" w:space="0"/>
              <w:bottom w:val="single" w:color="000000" w:sz="4" w:space="0"/>
              <w:right w:val="single" w:color="000000" w:sz="4" w:space="0"/>
            </w:tcBorders>
            <w:vAlign w:val="center"/>
          </w:tcPr>
          <w:p w14:paraId="41575C6A">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vAlign w:val="center"/>
          </w:tcPr>
          <w:p w14:paraId="125529F4">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52.2315</w:t>
            </w:r>
          </w:p>
        </w:tc>
        <w:tc>
          <w:tcPr>
            <w:tcW w:w="1208" w:type="dxa"/>
            <w:tcBorders>
              <w:top w:val="single" w:color="000000" w:sz="4" w:space="0"/>
              <w:left w:val="single" w:color="000000" w:sz="4" w:space="0"/>
              <w:bottom w:val="single" w:color="000000" w:sz="4" w:space="0"/>
              <w:right w:val="single" w:color="000000" w:sz="8" w:space="0"/>
            </w:tcBorders>
            <w:vAlign w:val="center"/>
          </w:tcPr>
          <w:p w14:paraId="3C6BEF20">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+52.2315</w:t>
            </w:r>
          </w:p>
        </w:tc>
      </w:tr>
      <w:tr w14:paraId="7F448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12C84346">
            <w:pPr>
              <w:pStyle w:val="32"/>
              <w:bidi w:val="0"/>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5B6A">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化验废液废物</w:t>
            </w:r>
          </w:p>
        </w:tc>
        <w:tc>
          <w:tcPr>
            <w:tcW w:w="1849" w:type="dxa"/>
            <w:tcBorders>
              <w:top w:val="single" w:color="000000" w:sz="4" w:space="0"/>
              <w:left w:val="single" w:color="000000" w:sz="4" w:space="0"/>
              <w:bottom w:val="single" w:color="000000" w:sz="4" w:space="0"/>
              <w:right w:val="single" w:color="000000" w:sz="4" w:space="0"/>
            </w:tcBorders>
            <w:vAlign w:val="center"/>
          </w:tcPr>
          <w:p w14:paraId="0409B271">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02C82F3D">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0725C94C">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CCBE">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0.35</w:t>
            </w:r>
          </w:p>
        </w:tc>
        <w:tc>
          <w:tcPr>
            <w:tcW w:w="1761" w:type="dxa"/>
            <w:tcBorders>
              <w:top w:val="single" w:color="000000" w:sz="4" w:space="0"/>
              <w:left w:val="single" w:color="000000" w:sz="4" w:space="0"/>
              <w:bottom w:val="single" w:color="000000" w:sz="4" w:space="0"/>
              <w:right w:val="single" w:color="000000" w:sz="4" w:space="0"/>
            </w:tcBorders>
            <w:vAlign w:val="center"/>
          </w:tcPr>
          <w:p w14:paraId="613916C8">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396A">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0.35</w:t>
            </w:r>
          </w:p>
        </w:tc>
        <w:tc>
          <w:tcPr>
            <w:tcW w:w="1208" w:type="dxa"/>
            <w:tcBorders>
              <w:top w:val="single" w:color="000000" w:sz="4" w:space="0"/>
              <w:left w:val="single" w:color="000000" w:sz="4" w:space="0"/>
              <w:bottom w:val="single" w:color="000000" w:sz="4" w:space="0"/>
              <w:right w:val="single" w:color="000000" w:sz="8" w:space="0"/>
            </w:tcBorders>
            <w:vAlign w:val="center"/>
          </w:tcPr>
          <w:p w14:paraId="0C8E21EE">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+0.35</w:t>
            </w:r>
          </w:p>
        </w:tc>
      </w:tr>
      <w:tr w14:paraId="5A80A3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237" w:type="dxa"/>
            <w:vMerge w:val="continue"/>
            <w:tcBorders>
              <w:left w:val="single" w:color="000000" w:sz="8" w:space="0"/>
              <w:right w:val="single" w:color="000000" w:sz="4" w:space="0"/>
            </w:tcBorders>
            <w:vAlign w:val="center"/>
          </w:tcPr>
          <w:p w14:paraId="2D7F846B">
            <w:pPr>
              <w:pStyle w:val="32"/>
              <w:bidi w:val="0"/>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2FD8">
            <w:pPr>
              <w:pStyle w:val="32"/>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污泥和栅渣</w:t>
            </w:r>
          </w:p>
        </w:tc>
        <w:tc>
          <w:tcPr>
            <w:tcW w:w="1849" w:type="dxa"/>
            <w:tcBorders>
              <w:top w:val="single" w:color="000000" w:sz="4" w:space="0"/>
              <w:left w:val="single" w:color="000000" w:sz="4" w:space="0"/>
              <w:bottom w:val="single" w:color="000000" w:sz="4" w:space="0"/>
              <w:right w:val="single" w:color="000000" w:sz="4" w:space="0"/>
            </w:tcBorders>
            <w:vAlign w:val="center"/>
          </w:tcPr>
          <w:p w14:paraId="1EF7EAE3">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726BD99A">
            <w:pPr>
              <w:pStyle w:val="32"/>
              <w:bidi w:val="0"/>
            </w:pPr>
            <w:r>
              <w:rPr>
                <w:rFonts w:hint="eastAsi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2677DDF7">
            <w:pPr>
              <w:pStyle w:val="32"/>
              <w:bidi w:val="0"/>
            </w:pPr>
            <w:r>
              <w:rPr>
                <w:rFonts w:hint="eastAsia"/>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9124">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23.9337</w:t>
            </w:r>
          </w:p>
        </w:tc>
        <w:tc>
          <w:tcPr>
            <w:tcW w:w="1761" w:type="dxa"/>
            <w:tcBorders>
              <w:top w:val="single" w:color="000000" w:sz="4" w:space="0"/>
              <w:left w:val="single" w:color="000000" w:sz="4" w:space="0"/>
              <w:bottom w:val="single" w:color="000000" w:sz="4" w:space="0"/>
              <w:right w:val="single" w:color="000000" w:sz="4" w:space="0"/>
            </w:tcBorders>
            <w:vAlign w:val="center"/>
          </w:tcPr>
          <w:p w14:paraId="4235FBCD">
            <w:pPr>
              <w:pStyle w:val="32"/>
              <w:bidi w:val="0"/>
            </w:pPr>
            <w:r>
              <w:rPr>
                <w:rFonts w:hint="eastAsia"/>
              </w:rPr>
              <w:t>/</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7957">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23.9337</w:t>
            </w:r>
          </w:p>
        </w:tc>
        <w:tc>
          <w:tcPr>
            <w:tcW w:w="1208" w:type="dxa"/>
            <w:tcBorders>
              <w:top w:val="single" w:color="000000" w:sz="4" w:space="0"/>
              <w:left w:val="single" w:color="000000" w:sz="4" w:space="0"/>
              <w:bottom w:val="single" w:color="000000" w:sz="4" w:space="0"/>
              <w:right w:val="single" w:color="000000" w:sz="8" w:space="0"/>
            </w:tcBorders>
            <w:vAlign w:val="center"/>
          </w:tcPr>
          <w:p w14:paraId="172AA5D9">
            <w:pPr>
              <w:pStyle w:val="32"/>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+23.9337</w:t>
            </w:r>
          </w:p>
        </w:tc>
      </w:tr>
    </w:tbl>
    <w:p w14:paraId="0E0BE52A">
      <w:pPr>
        <w:keepNext w:val="0"/>
        <w:keepLines w:val="0"/>
        <w:pageBreakBefore w:val="0"/>
        <w:widowControl w:val="0"/>
        <w:kinsoku/>
        <w:wordWrap w:val="0"/>
        <w:overflowPunct/>
        <w:topLinePunct w:val="0"/>
        <w:autoSpaceDE/>
        <w:autoSpaceDN/>
        <w:bidi w:val="0"/>
        <w:adjustRightInd w:val="0"/>
        <w:snapToGrid w:val="0"/>
        <w:spacing w:line="240" w:lineRule="auto"/>
        <w:ind w:firstLine="420"/>
        <w:textAlignment w:val="auto"/>
        <w:rPr>
          <w:sz w:val="21"/>
          <w:szCs w:val="22"/>
        </w:rPr>
      </w:pPr>
      <w:r>
        <w:rPr>
          <w:rFonts w:hint="eastAsia"/>
          <w:sz w:val="21"/>
          <w:szCs w:val="22"/>
        </w:rPr>
        <w:t>注：⑥=①+③+④-⑤；⑦=⑥-①</w:t>
      </w:r>
    </w:p>
    <w:p w14:paraId="7FE3D2DA">
      <w:pPr>
        <w:bidi w:val="0"/>
        <w:ind w:left="0" w:leftChars="0" w:firstLine="0" w:firstLineChars="0"/>
        <w:rPr>
          <w:rFonts w:hint="default" w:ascii="宋体" w:hAnsi="宋体" w:eastAsia="宋体" w:cs="宋体"/>
          <w:spacing w:val="-1"/>
          <w:sz w:val="24"/>
          <w:szCs w:val="24"/>
          <w:lang w:val="en-US" w:eastAsia="zh-CN"/>
        </w:rPr>
      </w:pPr>
    </w:p>
    <w:sectPr>
      <w:headerReference r:id="rId17" w:type="default"/>
      <w:footerReference r:id="rId18" w:type="default"/>
      <w:pgSz w:w="16838" w:h="11906" w:orient="landscape"/>
      <w:pgMar w:top="1803" w:right="1440" w:bottom="1803" w:left="1440" w:header="737" w:footer="850" w:gutter="0"/>
      <w:pgNumType w:fmt="decimal"/>
      <w:cols w:space="0" w:num="1"/>
      <w:rtlGutter w:val="0"/>
      <w:docGrid w:type="lines" w:linePitch="34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panose1 w:val="02000500000000000000"/>
    <w:charset w:val="86"/>
    <w:family w:val="auto"/>
    <w:pitch w:val="default"/>
    <w:sig w:usb0="A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D66D7">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619A1">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A3CC1">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FFEA4">
    <w:pPr>
      <w:tabs>
        <w:tab w:val="center" w:pos="4153"/>
        <w:tab w:val="right" w:pos="8306"/>
      </w:tabs>
      <w:ind w:left="0" w:leftChars="0" w:firstLine="0" w:firstLineChars="0"/>
      <w:jc w:val="both"/>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3051C">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7CF3051C">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4EEBB">
    <w:pPr>
      <w:tabs>
        <w:tab w:val="center" w:pos="4153"/>
        <w:tab w:val="right" w:pos="830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BD4EC">
    <w:pPr>
      <w:tabs>
        <w:tab w:val="center" w:pos="4153"/>
        <w:tab w:val="right" w:pos="8306"/>
      </w:tabs>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61C42">
    <w:pPr>
      <w:tabs>
        <w:tab w:val="center" w:pos="4153"/>
        <w:tab w:val="right" w:pos="8306"/>
      </w:tabs>
      <w:ind w:left="0" w:leftChars="0" w:firstLine="0" w:firstLineChars="0"/>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E388F">
                          <w:pPr>
                            <w:pStyle w:val="1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DBE388F">
                    <w:pPr>
                      <w:pStyle w:val="1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6840C">
    <w:pPr>
      <w:pBdr>
        <w:bottom w:val="none" w:color="auto" w:sz="0" w:space="1"/>
      </w:pBdr>
      <w:tabs>
        <w:tab w:val="center" w:pos="4213"/>
      </w:tabs>
      <w:ind w:firstLine="400"/>
      <w:jc w:val="center"/>
      <w:rPr>
        <w:sz w:val="20"/>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378B5">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257BA">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DCBD8">
    <w:pPr>
      <w:pBdr>
        <w:bottom w:val="none" w:color="auto" w:sz="0" w:space="1"/>
      </w:pBdr>
      <w:tabs>
        <w:tab w:val="center" w:pos="4213"/>
      </w:tabs>
      <w:ind w:left="0" w:leftChars="0" w:firstLine="0" w:firstLineChars="0"/>
      <w:jc w:val="both"/>
      <w:rPr>
        <w:sz w:val="20"/>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3162A">
    <w:pPr>
      <w:tabs>
        <w:tab w:val="center" w:pos="4153"/>
        <w:tab w:val="right" w:pos="8306"/>
      </w:tabs>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E0640">
    <w:pPr>
      <w:tabs>
        <w:tab w:val="center" w:pos="4153"/>
        <w:tab w:val="right" w:pos="8306"/>
      </w:tabs>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2A055">
    <w:pPr>
      <w:spacing w:before="18" w:line="227" w:lineRule="auto"/>
      <w:jc w:val="center"/>
      <w:rPr>
        <w:rFonts w:ascii="宋体" w:hAnsi="宋体" w:eastAsia="宋体" w:cs="宋体"/>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9CEE9"/>
    <w:multiLevelType w:val="singleLevel"/>
    <w:tmpl w:val="9509CEE9"/>
    <w:lvl w:ilvl="0" w:tentative="0">
      <w:start w:val="4"/>
      <w:numFmt w:val="decimal"/>
      <w:suff w:val="nothing"/>
      <w:lvlText w:val="%1、"/>
      <w:lvlJc w:val="left"/>
      <w:rPr>
        <w:rFonts w:hint="default"/>
        <w:b/>
        <w:bCs/>
      </w:rPr>
    </w:lvl>
  </w:abstractNum>
  <w:abstractNum w:abstractNumId="1">
    <w:nsid w:val="9C7F764F"/>
    <w:multiLevelType w:val="singleLevel"/>
    <w:tmpl w:val="9C7F764F"/>
    <w:lvl w:ilvl="0" w:tentative="0">
      <w:start w:val="1"/>
      <w:numFmt w:val="decimal"/>
      <w:suff w:val="nothing"/>
      <w:lvlText w:val="%1）"/>
      <w:lvlJc w:val="left"/>
    </w:lvl>
  </w:abstractNum>
  <w:abstractNum w:abstractNumId="2">
    <w:nsid w:val="AB4BB4FD"/>
    <w:multiLevelType w:val="singleLevel"/>
    <w:tmpl w:val="AB4BB4FD"/>
    <w:lvl w:ilvl="0" w:tentative="0">
      <w:start w:val="1"/>
      <w:numFmt w:val="decimal"/>
      <w:suff w:val="nothing"/>
      <w:lvlText w:val="%1、"/>
      <w:lvlJc w:val="left"/>
    </w:lvl>
  </w:abstractNum>
  <w:abstractNum w:abstractNumId="3">
    <w:nsid w:val="AFF0F479"/>
    <w:multiLevelType w:val="singleLevel"/>
    <w:tmpl w:val="AFF0F479"/>
    <w:lvl w:ilvl="0" w:tentative="0">
      <w:start w:val="6"/>
      <w:numFmt w:val="chineseCounting"/>
      <w:suff w:val="nothing"/>
      <w:lvlText w:val="%1、"/>
      <w:lvlJc w:val="left"/>
      <w:rPr>
        <w:rFonts w:hint="eastAsia"/>
      </w:rPr>
    </w:lvl>
  </w:abstractNum>
  <w:abstractNum w:abstractNumId="4">
    <w:nsid w:val="B71BC09E"/>
    <w:multiLevelType w:val="singleLevel"/>
    <w:tmpl w:val="B71BC09E"/>
    <w:lvl w:ilvl="0" w:tentative="0">
      <w:start w:val="1"/>
      <w:numFmt w:val="decimal"/>
      <w:suff w:val="nothing"/>
      <w:lvlText w:val="（%1）"/>
      <w:lvlJc w:val="left"/>
      <w:pPr>
        <w:ind w:left="-564"/>
      </w:pPr>
    </w:lvl>
  </w:abstractNum>
  <w:abstractNum w:abstractNumId="5">
    <w:nsid w:val="BA7B9C83"/>
    <w:multiLevelType w:val="singleLevel"/>
    <w:tmpl w:val="BA7B9C83"/>
    <w:lvl w:ilvl="0" w:tentative="0">
      <w:start w:val="1"/>
      <w:numFmt w:val="decimal"/>
      <w:suff w:val="nothing"/>
      <w:lvlText w:val="（%1）"/>
      <w:lvlJc w:val="left"/>
    </w:lvl>
  </w:abstractNum>
  <w:abstractNum w:abstractNumId="6">
    <w:nsid w:val="2D376A49"/>
    <w:multiLevelType w:val="singleLevel"/>
    <w:tmpl w:val="2D376A49"/>
    <w:lvl w:ilvl="0" w:tentative="0">
      <w:start w:val="1"/>
      <w:numFmt w:val="decimal"/>
      <w:suff w:val="nothing"/>
      <w:lvlText w:val="（%1）"/>
      <w:lvlJc w:val="left"/>
    </w:lvl>
  </w:abstractNum>
  <w:abstractNum w:abstractNumId="7">
    <w:nsid w:val="3C39B5C8"/>
    <w:multiLevelType w:val="singleLevel"/>
    <w:tmpl w:val="3C39B5C8"/>
    <w:lvl w:ilvl="0" w:tentative="0">
      <w:start w:val="1"/>
      <w:numFmt w:val="decimal"/>
      <w:suff w:val="nothing"/>
      <w:lvlText w:val="%1、"/>
      <w:lvlJc w:val="left"/>
    </w:lvl>
  </w:abstractNum>
  <w:abstractNum w:abstractNumId="8">
    <w:nsid w:val="475B0BC8"/>
    <w:multiLevelType w:val="singleLevel"/>
    <w:tmpl w:val="475B0BC8"/>
    <w:lvl w:ilvl="0" w:tentative="0">
      <w:start w:val="2"/>
      <w:numFmt w:val="decimal"/>
      <w:suff w:val="nothing"/>
      <w:lvlText w:val="%1、"/>
      <w:lvlJc w:val="left"/>
    </w:lvl>
  </w:abstractNum>
  <w:abstractNum w:abstractNumId="9">
    <w:nsid w:val="498F36F5"/>
    <w:multiLevelType w:val="singleLevel"/>
    <w:tmpl w:val="498F36F5"/>
    <w:lvl w:ilvl="0" w:tentative="0">
      <w:start w:val="1"/>
      <w:numFmt w:val="decimal"/>
      <w:suff w:val="nothing"/>
      <w:lvlText w:val="%1、"/>
      <w:lvlJc w:val="left"/>
      <w:pPr>
        <w:ind w:left="-2"/>
      </w:pPr>
      <w:rPr>
        <w:rFonts w:hint="default"/>
        <w:b/>
        <w:bCs/>
      </w:rPr>
    </w:lvl>
  </w:abstractNum>
  <w:abstractNum w:abstractNumId="10">
    <w:nsid w:val="6A328C4E"/>
    <w:multiLevelType w:val="singleLevel"/>
    <w:tmpl w:val="6A328C4E"/>
    <w:lvl w:ilvl="0" w:tentative="0">
      <w:start w:val="6"/>
      <w:numFmt w:val="decimal"/>
      <w:suff w:val="nothing"/>
      <w:lvlText w:val="%1、"/>
      <w:lvlJc w:val="left"/>
    </w:lvl>
  </w:abstractNum>
  <w:num w:numId="1">
    <w:abstractNumId w:val="10"/>
  </w:num>
  <w:num w:numId="2">
    <w:abstractNumId w:val="4"/>
  </w:num>
  <w:num w:numId="3">
    <w:abstractNumId w:val="0"/>
  </w:num>
  <w:num w:numId="4">
    <w:abstractNumId w:val="6"/>
  </w:num>
  <w:num w:numId="5">
    <w:abstractNumId w:val="9"/>
  </w:num>
  <w:num w:numId="6">
    <w:abstractNumId w:val="2"/>
  </w:num>
  <w:num w:numId="7">
    <w:abstractNumId w:val="7"/>
  </w:num>
  <w:num w:numId="8">
    <w:abstractNumId w:val="1"/>
  </w:num>
  <w:num w:numId="9">
    <w:abstractNumId w:val="8"/>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hideSpellingErrors/>
  <w:documentProtection w:enforcement="0"/>
  <w:defaultTabStop w:val="420"/>
  <w:drawingGridHorizontalSpacing w:val="105"/>
  <w:drawingGridVerticalSpacing w:val="17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fbca1106-cc7c-4a66-b9fa-db070a9f2455"/>
  </w:docVars>
  <w:rsids>
    <w:rsidRoot w:val="00172A27"/>
    <w:rsid w:val="000023D7"/>
    <w:rsid w:val="000025FE"/>
    <w:rsid w:val="0000264C"/>
    <w:rsid w:val="0000797B"/>
    <w:rsid w:val="00010072"/>
    <w:rsid w:val="00011738"/>
    <w:rsid w:val="00012F18"/>
    <w:rsid w:val="000139C5"/>
    <w:rsid w:val="0001402D"/>
    <w:rsid w:val="00020650"/>
    <w:rsid w:val="000214C2"/>
    <w:rsid w:val="000216A7"/>
    <w:rsid w:val="00022E63"/>
    <w:rsid w:val="00023CF2"/>
    <w:rsid w:val="00023E8B"/>
    <w:rsid w:val="00025721"/>
    <w:rsid w:val="00026992"/>
    <w:rsid w:val="00032C77"/>
    <w:rsid w:val="000340A4"/>
    <w:rsid w:val="00037C26"/>
    <w:rsid w:val="00041DCB"/>
    <w:rsid w:val="000425C9"/>
    <w:rsid w:val="00043370"/>
    <w:rsid w:val="000438EC"/>
    <w:rsid w:val="00050AF9"/>
    <w:rsid w:val="0005319B"/>
    <w:rsid w:val="000534DD"/>
    <w:rsid w:val="000544C1"/>
    <w:rsid w:val="00055887"/>
    <w:rsid w:val="0006187A"/>
    <w:rsid w:val="00062F7F"/>
    <w:rsid w:val="00070306"/>
    <w:rsid w:val="00082030"/>
    <w:rsid w:val="00090E0C"/>
    <w:rsid w:val="00091E91"/>
    <w:rsid w:val="00094F14"/>
    <w:rsid w:val="00095282"/>
    <w:rsid w:val="00095C48"/>
    <w:rsid w:val="00096687"/>
    <w:rsid w:val="000A1366"/>
    <w:rsid w:val="000A1FFB"/>
    <w:rsid w:val="000A46C1"/>
    <w:rsid w:val="000A4E0D"/>
    <w:rsid w:val="000A5489"/>
    <w:rsid w:val="000A5AAD"/>
    <w:rsid w:val="000A6266"/>
    <w:rsid w:val="000A786F"/>
    <w:rsid w:val="000B1292"/>
    <w:rsid w:val="000B38AA"/>
    <w:rsid w:val="000B4220"/>
    <w:rsid w:val="000B4FE7"/>
    <w:rsid w:val="000B6A74"/>
    <w:rsid w:val="000B6DC1"/>
    <w:rsid w:val="000C38F2"/>
    <w:rsid w:val="000C6D0B"/>
    <w:rsid w:val="000C7570"/>
    <w:rsid w:val="000D15B2"/>
    <w:rsid w:val="000D1716"/>
    <w:rsid w:val="000D17C3"/>
    <w:rsid w:val="000D2332"/>
    <w:rsid w:val="000D3343"/>
    <w:rsid w:val="000D3AED"/>
    <w:rsid w:val="000D4B06"/>
    <w:rsid w:val="000D56C8"/>
    <w:rsid w:val="000E0184"/>
    <w:rsid w:val="000E138F"/>
    <w:rsid w:val="000E4086"/>
    <w:rsid w:val="000E5D15"/>
    <w:rsid w:val="000E744A"/>
    <w:rsid w:val="000E7FEE"/>
    <w:rsid w:val="000F0856"/>
    <w:rsid w:val="000F0F71"/>
    <w:rsid w:val="000F203B"/>
    <w:rsid w:val="000F2900"/>
    <w:rsid w:val="000F34B3"/>
    <w:rsid w:val="000F37B5"/>
    <w:rsid w:val="000F4B11"/>
    <w:rsid w:val="000F6637"/>
    <w:rsid w:val="00102739"/>
    <w:rsid w:val="00102773"/>
    <w:rsid w:val="0010367E"/>
    <w:rsid w:val="001101C8"/>
    <w:rsid w:val="0011200C"/>
    <w:rsid w:val="001147ED"/>
    <w:rsid w:val="00114D05"/>
    <w:rsid w:val="00121E10"/>
    <w:rsid w:val="00122690"/>
    <w:rsid w:val="001240A1"/>
    <w:rsid w:val="001243BA"/>
    <w:rsid w:val="00125E27"/>
    <w:rsid w:val="00126D8D"/>
    <w:rsid w:val="0013010D"/>
    <w:rsid w:val="001306B7"/>
    <w:rsid w:val="00136318"/>
    <w:rsid w:val="001373CC"/>
    <w:rsid w:val="001373D6"/>
    <w:rsid w:val="00140092"/>
    <w:rsid w:val="001400C4"/>
    <w:rsid w:val="00140A1E"/>
    <w:rsid w:val="00142DC8"/>
    <w:rsid w:val="00143579"/>
    <w:rsid w:val="00145F1B"/>
    <w:rsid w:val="0014686D"/>
    <w:rsid w:val="00146BB3"/>
    <w:rsid w:val="0014787A"/>
    <w:rsid w:val="00150987"/>
    <w:rsid w:val="001509A1"/>
    <w:rsid w:val="00153107"/>
    <w:rsid w:val="00153961"/>
    <w:rsid w:val="001566EB"/>
    <w:rsid w:val="001578FD"/>
    <w:rsid w:val="001615A4"/>
    <w:rsid w:val="00161AB3"/>
    <w:rsid w:val="0016604E"/>
    <w:rsid w:val="001677A2"/>
    <w:rsid w:val="00167D0F"/>
    <w:rsid w:val="00172A27"/>
    <w:rsid w:val="001731BE"/>
    <w:rsid w:val="001734B5"/>
    <w:rsid w:val="00175708"/>
    <w:rsid w:val="00176DAC"/>
    <w:rsid w:val="00177352"/>
    <w:rsid w:val="001805AA"/>
    <w:rsid w:val="00181250"/>
    <w:rsid w:val="0018216B"/>
    <w:rsid w:val="00184E06"/>
    <w:rsid w:val="0018604C"/>
    <w:rsid w:val="001867E9"/>
    <w:rsid w:val="001870EE"/>
    <w:rsid w:val="0018734A"/>
    <w:rsid w:val="001956DC"/>
    <w:rsid w:val="00195D7F"/>
    <w:rsid w:val="001970D8"/>
    <w:rsid w:val="00197335"/>
    <w:rsid w:val="001A009E"/>
    <w:rsid w:val="001A147B"/>
    <w:rsid w:val="001A1C49"/>
    <w:rsid w:val="001A2583"/>
    <w:rsid w:val="001A29B3"/>
    <w:rsid w:val="001A3A75"/>
    <w:rsid w:val="001A60B6"/>
    <w:rsid w:val="001B429D"/>
    <w:rsid w:val="001B637B"/>
    <w:rsid w:val="001C08DC"/>
    <w:rsid w:val="001C2418"/>
    <w:rsid w:val="001C2B96"/>
    <w:rsid w:val="001D0547"/>
    <w:rsid w:val="001D1917"/>
    <w:rsid w:val="001D2A81"/>
    <w:rsid w:val="001D2EA1"/>
    <w:rsid w:val="001D35B6"/>
    <w:rsid w:val="001D5B68"/>
    <w:rsid w:val="001D632F"/>
    <w:rsid w:val="001E0602"/>
    <w:rsid w:val="001E32DD"/>
    <w:rsid w:val="001E785F"/>
    <w:rsid w:val="001F24A8"/>
    <w:rsid w:val="001F30AD"/>
    <w:rsid w:val="001F419F"/>
    <w:rsid w:val="00200269"/>
    <w:rsid w:val="002037AF"/>
    <w:rsid w:val="0020389A"/>
    <w:rsid w:val="00204EBE"/>
    <w:rsid w:val="002053FD"/>
    <w:rsid w:val="00212F5B"/>
    <w:rsid w:val="00213065"/>
    <w:rsid w:val="00214571"/>
    <w:rsid w:val="00214971"/>
    <w:rsid w:val="0021582A"/>
    <w:rsid w:val="00216DB3"/>
    <w:rsid w:val="00222094"/>
    <w:rsid w:val="00222481"/>
    <w:rsid w:val="0022706F"/>
    <w:rsid w:val="00232CF6"/>
    <w:rsid w:val="00235973"/>
    <w:rsid w:val="00240D71"/>
    <w:rsid w:val="0024282B"/>
    <w:rsid w:val="002459D0"/>
    <w:rsid w:val="00246A81"/>
    <w:rsid w:val="0025132D"/>
    <w:rsid w:val="0025369B"/>
    <w:rsid w:val="00253A5C"/>
    <w:rsid w:val="00255866"/>
    <w:rsid w:val="00255BA9"/>
    <w:rsid w:val="00256FD8"/>
    <w:rsid w:val="00261269"/>
    <w:rsid w:val="00261A45"/>
    <w:rsid w:val="00262D7E"/>
    <w:rsid w:val="00262E33"/>
    <w:rsid w:val="00263974"/>
    <w:rsid w:val="00266D74"/>
    <w:rsid w:val="00271C1A"/>
    <w:rsid w:val="00274D79"/>
    <w:rsid w:val="00276BB1"/>
    <w:rsid w:val="0027701D"/>
    <w:rsid w:val="0027746B"/>
    <w:rsid w:val="002802A6"/>
    <w:rsid w:val="002857F1"/>
    <w:rsid w:val="0028666E"/>
    <w:rsid w:val="00290335"/>
    <w:rsid w:val="00290B8B"/>
    <w:rsid w:val="0029598B"/>
    <w:rsid w:val="00297AE4"/>
    <w:rsid w:val="002A0E29"/>
    <w:rsid w:val="002A0E4E"/>
    <w:rsid w:val="002A4294"/>
    <w:rsid w:val="002B2BBF"/>
    <w:rsid w:val="002B2DA3"/>
    <w:rsid w:val="002C06FC"/>
    <w:rsid w:val="002C1C21"/>
    <w:rsid w:val="002C2056"/>
    <w:rsid w:val="002C253E"/>
    <w:rsid w:val="002C394B"/>
    <w:rsid w:val="002C5C89"/>
    <w:rsid w:val="002C63C7"/>
    <w:rsid w:val="002D3C92"/>
    <w:rsid w:val="002E0B2A"/>
    <w:rsid w:val="002E1988"/>
    <w:rsid w:val="002E30FB"/>
    <w:rsid w:val="002E382B"/>
    <w:rsid w:val="002E4C6C"/>
    <w:rsid w:val="002E5718"/>
    <w:rsid w:val="002E612F"/>
    <w:rsid w:val="002E6546"/>
    <w:rsid w:val="002F35BC"/>
    <w:rsid w:val="002F5D70"/>
    <w:rsid w:val="00300026"/>
    <w:rsid w:val="0030215C"/>
    <w:rsid w:val="003024E5"/>
    <w:rsid w:val="00304166"/>
    <w:rsid w:val="00305A91"/>
    <w:rsid w:val="003103C5"/>
    <w:rsid w:val="00312C12"/>
    <w:rsid w:val="00316B6D"/>
    <w:rsid w:val="00317314"/>
    <w:rsid w:val="003230A3"/>
    <w:rsid w:val="0032577A"/>
    <w:rsid w:val="0032624B"/>
    <w:rsid w:val="0033052F"/>
    <w:rsid w:val="00332315"/>
    <w:rsid w:val="00332625"/>
    <w:rsid w:val="00332D6B"/>
    <w:rsid w:val="00333A65"/>
    <w:rsid w:val="00336D9F"/>
    <w:rsid w:val="003379CF"/>
    <w:rsid w:val="00337C89"/>
    <w:rsid w:val="003524A5"/>
    <w:rsid w:val="00352745"/>
    <w:rsid w:val="0035303D"/>
    <w:rsid w:val="00354BF0"/>
    <w:rsid w:val="003551AC"/>
    <w:rsid w:val="00356AB9"/>
    <w:rsid w:val="003614FA"/>
    <w:rsid w:val="00365648"/>
    <w:rsid w:val="0037285A"/>
    <w:rsid w:val="00374021"/>
    <w:rsid w:val="00374378"/>
    <w:rsid w:val="00376074"/>
    <w:rsid w:val="00376DCC"/>
    <w:rsid w:val="003823F1"/>
    <w:rsid w:val="00382B2B"/>
    <w:rsid w:val="00383857"/>
    <w:rsid w:val="00385AA1"/>
    <w:rsid w:val="00387252"/>
    <w:rsid w:val="0039092C"/>
    <w:rsid w:val="003915F8"/>
    <w:rsid w:val="003915FA"/>
    <w:rsid w:val="003A24E7"/>
    <w:rsid w:val="003A2A1F"/>
    <w:rsid w:val="003A449D"/>
    <w:rsid w:val="003A5A97"/>
    <w:rsid w:val="003A5F5B"/>
    <w:rsid w:val="003A76CB"/>
    <w:rsid w:val="003B611B"/>
    <w:rsid w:val="003B7C0B"/>
    <w:rsid w:val="003C2FAD"/>
    <w:rsid w:val="003C3CA7"/>
    <w:rsid w:val="003C6144"/>
    <w:rsid w:val="003C78B1"/>
    <w:rsid w:val="003D0D57"/>
    <w:rsid w:val="003D17E2"/>
    <w:rsid w:val="003D1DA7"/>
    <w:rsid w:val="003D2601"/>
    <w:rsid w:val="003D2E93"/>
    <w:rsid w:val="003D46BF"/>
    <w:rsid w:val="003D59D1"/>
    <w:rsid w:val="003D5B1E"/>
    <w:rsid w:val="003D5DAC"/>
    <w:rsid w:val="003D63DD"/>
    <w:rsid w:val="003D6E87"/>
    <w:rsid w:val="003E03F9"/>
    <w:rsid w:val="003E0C48"/>
    <w:rsid w:val="003E2C4D"/>
    <w:rsid w:val="003E62B0"/>
    <w:rsid w:val="003E6E62"/>
    <w:rsid w:val="003F0F59"/>
    <w:rsid w:val="003F2B97"/>
    <w:rsid w:val="003F509B"/>
    <w:rsid w:val="003F61CE"/>
    <w:rsid w:val="00403469"/>
    <w:rsid w:val="00403795"/>
    <w:rsid w:val="0040676C"/>
    <w:rsid w:val="00411B80"/>
    <w:rsid w:val="00416668"/>
    <w:rsid w:val="004176E1"/>
    <w:rsid w:val="004179C6"/>
    <w:rsid w:val="004225D5"/>
    <w:rsid w:val="00422F87"/>
    <w:rsid w:val="00425229"/>
    <w:rsid w:val="004263BC"/>
    <w:rsid w:val="00430F9C"/>
    <w:rsid w:val="0043106A"/>
    <w:rsid w:val="00431E13"/>
    <w:rsid w:val="004329D2"/>
    <w:rsid w:val="0043751F"/>
    <w:rsid w:val="00440FF9"/>
    <w:rsid w:val="0044192E"/>
    <w:rsid w:val="00441A0E"/>
    <w:rsid w:val="004457EF"/>
    <w:rsid w:val="004478FD"/>
    <w:rsid w:val="004514DA"/>
    <w:rsid w:val="004514E2"/>
    <w:rsid w:val="00453E71"/>
    <w:rsid w:val="00454EB5"/>
    <w:rsid w:val="00455C2B"/>
    <w:rsid w:val="004565A5"/>
    <w:rsid w:val="00456973"/>
    <w:rsid w:val="00461F46"/>
    <w:rsid w:val="00462B45"/>
    <w:rsid w:val="00464AC0"/>
    <w:rsid w:val="00464B6D"/>
    <w:rsid w:val="00465118"/>
    <w:rsid w:val="00465D0C"/>
    <w:rsid w:val="00466666"/>
    <w:rsid w:val="00471C9A"/>
    <w:rsid w:val="00472F8C"/>
    <w:rsid w:val="0047327C"/>
    <w:rsid w:val="004762FB"/>
    <w:rsid w:val="0047724D"/>
    <w:rsid w:val="0048371C"/>
    <w:rsid w:val="00483ECB"/>
    <w:rsid w:val="00485A00"/>
    <w:rsid w:val="0048768E"/>
    <w:rsid w:val="00487F62"/>
    <w:rsid w:val="00491F6A"/>
    <w:rsid w:val="00492A0F"/>
    <w:rsid w:val="004948F5"/>
    <w:rsid w:val="0049654F"/>
    <w:rsid w:val="004968C4"/>
    <w:rsid w:val="004A0C59"/>
    <w:rsid w:val="004A335C"/>
    <w:rsid w:val="004A33ED"/>
    <w:rsid w:val="004A3AD5"/>
    <w:rsid w:val="004A6C72"/>
    <w:rsid w:val="004A7340"/>
    <w:rsid w:val="004B180E"/>
    <w:rsid w:val="004B1EB2"/>
    <w:rsid w:val="004B72CD"/>
    <w:rsid w:val="004B7BA2"/>
    <w:rsid w:val="004C01F8"/>
    <w:rsid w:val="004C0D84"/>
    <w:rsid w:val="004C0FBA"/>
    <w:rsid w:val="004C2693"/>
    <w:rsid w:val="004C26E3"/>
    <w:rsid w:val="004C27B5"/>
    <w:rsid w:val="004C2BA0"/>
    <w:rsid w:val="004C3928"/>
    <w:rsid w:val="004C467D"/>
    <w:rsid w:val="004C48B1"/>
    <w:rsid w:val="004C546B"/>
    <w:rsid w:val="004C6CCD"/>
    <w:rsid w:val="004D032B"/>
    <w:rsid w:val="004D04BE"/>
    <w:rsid w:val="004D1FCB"/>
    <w:rsid w:val="004D479E"/>
    <w:rsid w:val="004D48AA"/>
    <w:rsid w:val="004D54CC"/>
    <w:rsid w:val="004D6C7B"/>
    <w:rsid w:val="004D73FB"/>
    <w:rsid w:val="004D75FB"/>
    <w:rsid w:val="004D7E40"/>
    <w:rsid w:val="004E4193"/>
    <w:rsid w:val="004E4C31"/>
    <w:rsid w:val="004E4CBD"/>
    <w:rsid w:val="004E56BA"/>
    <w:rsid w:val="004E7A46"/>
    <w:rsid w:val="004F2E3D"/>
    <w:rsid w:val="004F4C97"/>
    <w:rsid w:val="004F74E1"/>
    <w:rsid w:val="004F7775"/>
    <w:rsid w:val="005010E0"/>
    <w:rsid w:val="00502724"/>
    <w:rsid w:val="00502852"/>
    <w:rsid w:val="0050311D"/>
    <w:rsid w:val="005062A9"/>
    <w:rsid w:val="00507001"/>
    <w:rsid w:val="005106AE"/>
    <w:rsid w:val="0051088B"/>
    <w:rsid w:val="005112C4"/>
    <w:rsid w:val="005142D5"/>
    <w:rsid w:val="00515A2A"/>
    <w:rsid w:val="00516185"/>
    <w:rsid w:val="005177AA"/>
    <w:rsid w:val="005204FC"/>
    <w:rsid w:val="00521718"/>
    <w:rsid w:val="005270D6"/>
    <w:rsid w:val="0053045F"/>
    <w:rsid w:val="00531A98"/>
    <w:rsid w:val="00536D4A"/>
    <w:rsid w:val="00537182"/>
    <w:rsid w:val="0053721A"/>
    <w:rsid w:val="00537C29"/>
    <w:rsid w:val="00540D93"/>
    <w:rsid w:val="00542D3D"/>
    <w:rsid w:val="00543A9D"/>
    <w:rsid w:val="00545C91"/>
    <w:rsid w:val="00551A93"/>
    <w:rsid w:val="00553BC0"/>
    <w:rsid w:val="00554CC4"/>
    <w:rsid w:val="00555254"/>
    <w:rsid w:val="0055574E"/>
    <w:rsid w:val="0055588A"/>
    <w:rsid w:val="00556127"/>
    <w:rsid w:val="00556450"/>
    <w:rsid w:val="00557A40"/>
    <w:rsid w:val="00560449"/>
    <w:rsid w:val="00561C95"/>
    <w:rsid w:val="00561F91"/>
    <w:rsid w:val="0056240B"/>
    <w:rsid w:val="0056342D"/>
    <w:rsid w:val="00564F88"/>
    <w:rsid w:val="00565E70"/>
    <w:rsid w:val="005716DC"/>
    <w:rsid w:val="00571C95"/>
    <w:rsid w:val="00572587"/>
    <w:rsid w:val="00581E0E"/>
    <w:rsid w:val="0058754B"/>
    <w:rsid w:val="005920F3"/>
    <w:rsid w:val="005922A6"/>
    <w:rsid w:val="005925A9"/>
    <w:rsid w:val="00593662"/>
    <w:rsid w:val="00594381"/>
    <w:rsid w:val="00596CDF"/>
    <w:rsid w:val="00597F2B"/>
    <w:rsid w:val="005A0E68"/>
    <w:rsid w:val="005A6A57"/>
    <w:rsid w:val="005A7016"/>
    <w:rsid w:val="005B01B3"/>
    <w:rsid w:val="005B1778"/>
    <w:rsid w:val="005B257E"/>
    <w:rsid w:val="005B2D3A"/>
    <w:rsid w:val="005B3634"/>
    <w:rsid w:val="005B43FB"/>
    <w:rsid w:val="005B65CC"/>
    <w:rsid w:val="005B66F2"/>
    <w:rsid w:val="005C053F"/>
    <w:rsid w:val="005C16EC"/>
    <w:rsid w:val="005C22FB"/>
    <w:rsid w:val="005C2FE2"/>
    <w:rsid w:val="005C3515"/>
    <w:rsid w:val="005C6289"/>
    <w:rsid w:val="005C77F4"/>
    <w:rsid w:val="005D061B"/>
    <w:rsid w:val="005D3736"/>
    <w:rsid w:val="005D46F2"/>
    <w:rsid w:val="005D6579"/>
    <w:rsid w:val="005D6F43"/>
    <w:rsid w:val="005E1D61"/>
    <w:rsid w:val="005E217C"/>
    <w:rsid w:val="005E43D1"/>
    <w:rsid w:val="005E49B2"/>
    <w:rsid w:val="005E4B49"/>
    <w:rsid w:val="005E515C"/>
    <w:rsid w:val="005F0300"/>
    <w:rsid w:val="005F3DA9"/>
    <w:rsid w:val="005F4B29"/>
    <w:rsid w:val="00600739"/>
    <w:rsid w:val="00601B83"/>
    <w:rsid w:val="006027D7"/>
    <w:rsid w:val="00603C3B"/>
    <w:rsid w:val="0060470E"/>
    <w:rsid w:val="00610DBC"/>
    <w:rsid w:val="00611C49"/>
    <w:rsid w:val="00611F2C"/>
    <w:rsid w:val="00614B27"/>
    <w:rsid w:val="00615B02"/>
    <w:rsid w:val="00617915"/>
    <w:rsid w:val="00620290"/>
    <w:rsid w:val="0062139F"/>
    <w:rsid w:val="00623513"/>
    <w:rsid w:val="00623601"/>
    <w:rsid w:val="00623ECD"/>
    <w:rsid w:val="006327A9"/>
    <w:rsid w:val="006335E2"/>
    <w:rsid w:val="006369E2"/>
    <w:rsid w:val="00636A79"/>
    <w:rsid w:val="0063762D"/>
    <w:rsid w:val="00640471"/>
    <w:rsid w:val="006422AB"/>
    <w:rsid w:val="006442C5"/>
    <w:rsid w:val="006500CF"/>
    <w:rsid w:val="006525D9"/>
    <w:rsid w:val="006529E8"/>
    <w:rsid w:val="00653FD7"/>
    <w:rsid w:val="00654A1A"/>
    <w:rsid w:val="00654B6C"/>
    <w:rsid w:val="00654D0D"/>
    <w:rsid w:val="006559F0"/>
    <w:rsid w:val="006569ED"/>
    <w:rsid w:val="006571C4"/>
    <w:rsid w:val="00657760"/>
    <w:rsid w:val="0066018B"/>
    <w:rsid w:val="006610D1"/>
    <w:rsid w:val="00670254"/>
    <w:rsid w:val="0067203F"/>
    <w:rsid w:val="0067307D"/>
    <w:rsid w:val="00673167"/>
    <w:rsid w:val="00674F9D"/>
    <w:rsid w:val="006757B2"/>
    <w:rsid w:val="006766EE"/>
    <w:rsid w:val="00676E10"/>
    <w:rsid w:val="0067780B"/>
    <w:rsid w:val="00677CE3"/>
    <w:rsid w:val="00681255"/>
    <w:rsid w:val="006817DA"/>
    <w:rsid w:val="0068345D"/>
    <w:rsid w:val="00683B53"/>
    <w:rsid w:val="006850C8"/>
    <w:rsid w:val="0068568A"/>
    <w:rsid w:val="0068651F"/>
    <w:rsid w:val="00686F9B"/>
    <w:rsid w:val="00687C19"/>
    <w:rsid w:val="00690A9C"/>
    <w:rsid w:val="00690D07"/>
    <w:rsid w:val="006948F6"/>
    <w:rsid w:val="00696119"/>
    <w:rsid w:val="006A0319"/>
    <w:rsid w:val="006A0417"/>
    <w:rsid w:val="006A3043"/>
    <w:rsid w:val="006A3868"/>
    <w:rsid w:val="006A40E0"/>
    <w:rsid w:val="006A65F9"/>
    <w:rsid w:val="006A6822"/>
    <w:rsid w:val="006A7F56"/>
    <w:rsid w:val="006B35F7"/>
    <w:rsid w:val="006B3EA1"/>
    <w:rsid w:val="006B6A25"/>
    <w:rsid w:val="006C05B5"/>
    <w:rsid w:val="006C292B"/>
    <w:rsid w:val="006C32A6"/>
    <w:rsid w:val="006C71BA"/>
    <w:rsid w:val="006D033B"/>
    <w:rsid w:val="006D044A"/>
    <w:rsid w:val="006D0694"/>
    <w:rsid w:val="006D55DA"/>
    <w:rsid w:val="006D6510"/>
    <w:rsid w:val="006E1181"/>
    <w:rsid w:val="006E13EC"/>
    <w:rsid w:val="006E1F2D"/>
    <w:rsid w:val="006E2B40"/>
    <w:rsid w:val="006E36CE"/>
    <w:rsid w:val="006E469D"/>
    <w:rsid w:val="006E5E3C"/>
    <w:rsid w:val="006E790E"/>
    <w:rsid w:val="006F18D5"/>
    <w:rsid w:val="006F2BBB"/>
    <w:rsid w:val="006F471C"/>
    <w:rsid w:val="006F47F8"/>
    <w:rsid w:val="006F610A"/>
    <w:rsid w:val="006F7B0E"/>
    <w:rsid w:val="0070155A"/>
    <w:rsid w:val="00701E21"/>
    <w:rsid w:val="0070201A"/>
    <w:rsid w:val="00702CA3"/>
    <w:rsid w:val="00702FB3"/>
    <w:rsid w:val="00704655"/>
    <w:rsid w:val="00710C93"/>
    <w:rsid w:val="007123A9"/>
    <w:rsid w:val="00714DBF"/>
    <w:rsid w:val="0071543F"/>
    <w:rsid w:val="0072508C"/>
    <w:rsid w:val="007264A4"/>
    <w:rsid w:val="00726FCE"/>
    <w:rsid w:val="007275F4"/>
    <w:rsid w:val="00731224"/>
    <w:rsid w:val="0073329D"/>
    <w:rsid w:val="007346D3"/>
    <w:rsid w:val="007356CB"/>
    <w:rsid w:val="0073652A"/>
    <w:rsid w:val="007368AB"/>
    <w:rsid w:val="00737D46"/>
    <w:rsid w:val="00742B20"/>
    <w:rsid w:val="00743A36"/>
    <w:rsid w:val="00743C95"/>
    <w:rsid w:val="00744EA2"/>
    <w:rsid w:val="007460E0"/>
    <w:rsid w:val="007576B4"/>
    <w:rsid w:val="007577F1"/>
    <w:rsid w:val="0076414A"/>
    <w:rsid w:val="007645C5"/>
    <w:rsid w:val="0076653D"/>
    <w:rsid w:val="007707BB"/>
    <w:rsid w:val="00772050"/>
    <w:rsid w:val="007720AF"/>
    <w:rsid w:val="00775955"/>
    <w:rsid w:val="00776EDE"/>
    <w:rsid w:val="007807AB"/>
    <w:rsid w:val="007813C5"/>
    <w:rsid w:val="00785015"/>
    <w:rsid w:val="007870F7"/>
    <w:rsid w:val="007875C7"/>
    <w:rsid w:val="00787A00"/>
    <w:rsid w:val="00790251"/>
    <w:rsid w:val="007924A1"/>
    <w:rsid w:val="007933D8"/>
    <w:rsid w:val="007949F6"/>
    <w:rsid w:val="007979FD"/>
    <w:rsid w:val="007A12B6"/>
    <w:rsid w:val="007A1732"/>
    <w:rsid w:val="007A3FAC"/>
    <w:rsid w:val="007A3FE9"/>
    <w:rsid w:val="007A77E2"/>
    <w:rsid w:val="007B1FC4"/>
    <w:rsid w:val="007B2766"/>
    <w:rsid w:val="007B5927"/>
    <w:rsid w:val="007B703E"/>
    <w:rsid w:val="007B78B7"/>
    <w:rsid w:val="007B7F6E"/>
    <w:rsid w:val="007C5ABF"/>
    <w:rsid w:val="007C6E46"/>
    <w:rsid w:val="007C7F7D"/>
    <w:rsid w:val="007D10E9"/>
    <w:rsid w:val="007D2F61"/>
    <w:rsid w:val="007D3620"/>
    <w:rsid w:val="007E121F"/>
    <w:rsid w:val="007E5F36"/>
    <w:rsid w:val="007E7ABF"/>
    <w:rsid w:val="007F0605"/>
    <w:rsid w:val="007F0A1D"/>
    <w:rsid w:val="007F35C5"/>
    <w:rsid w:val="007F48ED"/>
    <w:rsid w:val="007F49DE"/>
    <w:rsid w:val="007F5850"/>
    <w:rsid w:val="007F6A70"/>
    <w:rsid w:val="007F7596"/>
    <w:rsid w:val="007F769D"/>
    <w:rsid w:val="007F7993"/>
    <w:rsid w:val="007F7BD9"/>
    <w:rsid w:val="00800106"/>
    <w:rsid w:val="00800B34"/>
    <w:rsid w:val="008015BC"/>
    <w:rsid w:val="008020C1"/>
    <w:rsid w:val="0080336E"/>
    <w:rsid w:val="0080667C"/>
    <w:rsid w:val="0081017A"/>
    <w:rsid w:val="00813F43"/>
    <w:rsid w:val="008157DB"/>
    <w:rsid w:val="008210BC"/>
    <w:rsid w:val="0082197B"/>
    <w:rsid w:val="008231F1"/>
    <w:rsid w:val="008233AB"/>
    <w:rsid w:val="00823F0A"/>
    <w:rsid w:val="00825DA2"/>
    <w:rsid w:val="00827080"/>
    <w:rsid w:val="0082737A"/>
    <w:rsid w:val="00827A8B"/>
    <w:rsid w:val="008316B5"/>
    <w:rsid w:val="008344EC"/>
    <w:rsid w:val="008349D2"/>
    <w:rsid w:val="008368BA"/>
    <w:rsid w:val="00836A73"/>
    <w:rsid w:val="0084023D"/>
    <w:rsid w:val="0084222F"/>
    <w:rsid w:val="00843002"/>
    <w:rsid w:val="00845C6A"/>
    <w:rsid w:val="0085063B"/>
    <w:rsid w:val="00853CF5"/>
    <w:rsid w:val="00853EBB"/>
    <w:rsid w:val="008542A8"/>
    <w:rsid w:val="00854CC4"/>
    <w:rsid w:val="008574C0"/>
    <w:rsid w:val="00860011"/>
    <w:rsid w:val="00861F55"/>
    <w:rsid w:val="0086267A"/>
    <w:rsid w:val="008650FE"/>
    <w:rsid w:val="008660DC"/>
    <w:rsid w:val="0086748B"/>
    <w:rsid w:val="00870827"/>
    <w:rsid w:val="00871D11"/>
    <w:rsid w:val="00872CE7"/>
    <w:rsid w:val="00873561"/>
    <w:rsid w:val="00873FD7"/>
    <w:rsid w:val="00874337"/>
    <w:rsid w:val="00874E1B"/>
    <w:rsid w:val="00874F16"/>
    <w:rsid w:val="00874F52"/>
    <w:rsid w:val="008752C9"/>
    <w:rsid w:val="0087631B"/>
    <w:rsid w:val="0087633C"/>
    <w:rsid w:val="0088007B"/>
    <w:rsid w:val="00880792"/>
    <w:rsid w:val="00880C81"/>
    <w:rsid w:val="00884229"/>
    <w:rsid w:val="00884C41"/>
    <w:rsid w:val="00893677"/>
    <w:rsid w:val="00893D23"/>
    <w:rsid w:val="00893D86"/>
    <w:rsid w:val="00894D29"/>
    <w:rsid w:val="00897A12"/>
    <w:rsid w:val="008A0428"/>
    <w:rsid w:val="008A2039"/>
    <w:rsid w:val="008A3D44"/>
    <w:rsid w:val="008A4B53"/>
    <w:rsid w:val="008A4E96"/>
    <w:rsid w:val="008A6DB2"/>
    <w:rsid w:val="008A7EA1"/>
    <w:rsid w:val="008B336B"/>
    <w:rsid w:val="008B3A76"/>
    <w:rsid w:val="008B4C5A"/>
    <w:rsid w:val="008B536A"/>
    <w:rsid w:val="008D203B"/>
    <w:rsid w:val="008D2895"/>
    <w:rsid w:val="008D5B83"/>
    <w:rsid w:val="008D7068"/>
    <w:rsid w:val="008D712E"/>
    <w:rsid w:val="008D7F90"/>
    <w:rsid w:val="008E21A7"/>
    <w:rsid w:val="008F66E4"/>
    <w:rsid w:val="008F7590"/>
    <w:rsid w:val="0090046A"/>
    <w:rsid w:val="00901248"/>
    <w:rsid w:val="00902201"/>
    <w:rsid w:val="00902C8F"/>
    <w:rsid w:val="009048DE"/>
    <w:rsid w:val="00905152"/>
    <w:rsid w:val="00905E6A"/>
    <w:rsid w:val="00910C9B"/>
    <w:rsid w:val="00911DC2"/>
    <w:rsid w:val="00912794"/>
    <w:rsid w:val="009127A4"/>
    <w:rsid w:val="0091723F"/>
    <w:rsid w:val="009174D5"/>
    <w:rsid w:val="009208A1"/>
    <w:rsid w:val="00922814"/>
    <w:rsid w:val="009241BE"/>
    <w:rsid w:val="00925111"/>
    <w:rsid w:val="009274EC"/>
    <w:rsid w:val="00932CC7"/>
    <w:rsid w:val="009358E6"/>
    <w:rsid w:val="009359CC"/>
    <w:rsid w:val="009366F2"/>
    <w:rsid w:val="00941558"/>
    <w:rsid w:val="00946E72"/>
    <w:rsid w:val="00947B36"/>
    <w:rsid w:val="00950D24"/>
    <w:rsid w:val="00950DD1"/>
    <w:rsid w:val="00953F73"/>
    <w:rsid w:val="00955E50"/>
    <w:rsid w:val="00956665"/>
    <w:rsid w:val="0096185C"/>
    <w:rsid w:val="009623A9"/>
    <w:rsid w:val="00963C3D"/>
    <w:rsid w:val="009663EB"/>
    <w:rsid w:val="00966AE1"/>
    <w:rsid w:val="00967234"/>
    <w:rsid w:val="00967A1D"/>
    <w:rsid w:val="009701FE"/>
    <w:rsid w:val="00970756"/>
    <w:rsid w:val="0097089E"/>
    <w:rsid w:val="00970D3E"/>
    <w:rsid w:val="00971A45"/>
    <w:rsid w:val="00972E41"/>
    <w:rsid w:val="009732E8"/>
    <w:rsid w:val="00976B2C"/>
    <w:rsid w:val="00980C1F"/>
    <w:rsid w:val="00981488"/>
    <w:rsid w:val="009826B0"/>
    <w:rsid w:val="00983799"/>
    <w:rsid w:val="009848B7"/>
    <w:rsid w:val="00985D92"/>
    <w:rsid w:val="00986877"/>
    <w:rsid w:val="00987010"/>
    <w:rsid w:val="00990879"/>
    <w:rsid w:val="009909C2"/>
    <w:rsid w:val="00990F6B"/>
    <w:rsid w:val="00991249"/>
    <w:rsid w:val="00991A95"/>
    <w:rsid w:val="00994B63"/>
    <w:rsid w:val="00995CFE"/>
    <w:rsid w:val="009B26AA"/>
    <w:rsid w:val="009B57E8"/>
    <w:rsid w:val="009B5A66"/>
    <w:rsid w:val="009C2EFC"/>
    <w:rsid w:val="009C3658"/>
    <w:rsid w:val="009C5D8D"/>
    <w:rsid w:val="009D1135"/>
    <w:rsid w:val="009D146F"/>
    <w:rsid w:val="009D4835"/>
    <w:rsid w:val="009D4BE5"/>
    <w:rsid w:val="009D5154"/>
    <w:rsid w:val="009D7B8D"/>
    <w:rsid w:val="009E0CBA"/>
    <w:rsid w:val="009E1556"/>
    <w:rsid w:val="009E2F82"/>
    <w:rsid w:val="009E4486"/>
    <w:rsid w:val="009E4793"/>
    <w:rsid w:val="009E5673"/>
    <w:rsid w:val="009E63D2"/>
    <w:rsid w:val="009E7D05"/>
    <w:rsid w:val="009F0189"/>
    <w:rsid w:val="009F7053"/>
    <w:rsid w:val="00A006BD"/>
    <w:rsid w:val="00A009E4"/>
    <w:rsid w:val="00A05548"/>
    <w:rsid w:val="00A05AAB"/>
    <w:rsid w:val="00A07CAD"/>
    <w:rsid w:val="00A1184F"/>
    <w:rsid w:val="00A1399D"/>
    <w:rsid w:val="00A14247"/>
    <w:rsid w:val="00A148FE"/>
    <w:rsid w:val="00A15A6F"/>
    <w:rsid w:val="00A161C2"/>
    <w:rsid w:val="00A16EC3"/>
    <w:rsid w:val="00A17CD3"/>
    <w:rsid w:val="00A207D5"/>
    <w:rsid w:val="00A228BA"/>
    <w:rsid w:val="00A23130"/>
    <w:rsid w:val="00A2317D"/>
    <w:rsid w:val="00A24BE5"/>
    <w:rsid w:val="00A250EB"/>
    <w:rsid w:val="00A25505"/>
    <w:rsid w:val="00A25679"/>
    <w:rsid w:val="00A263C8"/>
    <w:rsid w:val="00A30423"/>
    <w:rsid w:val="00A32567"/>
    <w:rsid w:val="00A32F2F"/>
    <w:rsid w:val="00A3555A"/>
    <w:rsid w:val="00A358E6"/>
    <w:rsid w:val="00A35EF8"/>
    <w:rsid w:val="00A37A53"/>
    <w:rsid w:val="00A463A4"/>
    <w:rsid w:val="00A46C5C"/>
    <w:rsid w:val="00A476CE"/>
    <w:rsid w:val="00A51352"/>
    <w:rsid w:val="00A53CC8"/>
    <w:rsid w:val="00A56C54"/>
    <w:rsid w:val="00A608A6"/>
    <w:rsid w:val="00A620F9"/>
    <w:rsid w:val="00A6564E"/>
    <w:rsid w:val="00A67AEC"/>
    <w:rsid w:val="00A75F87"/>
    <w:rsid w:val="00A81810"/>
    <w:rsid w:val="00A84ED4"/>
    <w:rsid w:val="00A87B5E"/>
    <w:rsid w:val="00A934C6"/>
    <w:rsid w:val="00A937AF"/>
    <w:rsid w:val="00A96874"/>
    <w:rsid w:val="00AA45CC"/>
    <w:rsid w:val="00AA52EE"/>
    <w:rsid w:val="00AA53DA"/>
    <w:rsid w:val="00AA58B4"/>
    <w:rsid w:val="00AA6070"/>
    <w:rsid w:val="00AA6B32"/>
    <w:rsid w:val="00AA7BFE"/>
    <w:rsid w:val="00AB2B37"/>
    <w:rsid w:val="00AB3970"/>
    <w:rsid w:val="00AB529A"/>
    <w:rsid w:val="00AB6BE8"/>
    <w:rsid w:val="00AC0783"/>
    <w:rsid w:val="00AC2F28"/>
    <w:rsid w:val="00AC54C5"/>
    <w:rsid w:val="00AC5F16"/>
    <w:rsid w:val="00AC5FFE"/>
    <w:rsid w:val="00AD0FF2"/>
    <w:rsid w:val="00AD325D"/>
    <w:rsid w:val="00AD4198"/>
    <w:rsid w:val="00AD4579"/>
    <w:rsid w:val="00AE0357"/>
    <w:rsid w:val="00AE0B6A"/>
    <w:rsid w:val="00AE69C6"/>
    <w:rsid w:val="00AF3C94"/>
    <w:rsid w:val="00AF4341"/>
    <w:rsid w:val="00AF4E7A"/>
    <w:rsid w:val="00AF5CE5"/>
    <w:rsid w:val="00AF7E67"/>
    <w:rsid w:val="00B02380"/>
    <w:rsid w:val="00B036D8"/>
    <w:rsid w:val="00B03C42"/>
    <w:rsid w:val="00B04D68"/>
    <w:rsid w:val="00B0502A"/>
    <w:rsid w:val="00B057F5"/>
    <w:rsid w:val="00B06547"/>
    <w:rsid w:val="00B07399"/>
    <w:rsid w:val="00B07743"/>
    <w:rsid w:val="00B07B63"/>
    <w:rsid w:val="00B103F7"/>
    <w:rsid w:val="00B10DE1"/>
    <w:rsid w:val="00B12681"/>
    <w:rsid w:val="00B126E7"/>
    <w:rsid w:val="00B12F5E"/>
    <w:rsid w:val="00B133A2"/>
    <w:rsid w:val="00B21073"/>
    <w:rsid w:val="00B21B28"/>
    <w:rsid w:val="00B21B8A"/>
    <w:rsid w:val="00B21C08"/>
    <w:rsid w:val="00B22244"/>
    <w:rsid w:val="00B24B65"/>
    <w:rsid w:val="00B25094"/>
    <w:rsid w:val="00B254C0"/>
    <w:rsid w:val="00B30CE4"/>
    <w:rsid w:val="00B3278C"/>
    <w:rsid w:val="00B346E0"/>
    <w:rsid w:val="00B351F6"/>
    <w:rsid w:val="00B41681"/>
    <w:rsid w:val="00B41C2F"/>
    <w:rsid w:val="00B47575"/>
    <w:rsid w:val="00B475CB"/>
    <w:rsid w:val="00B50A98"/>
    <w:rsid w:val="00B513DA"/>
    <w:rsid w:val="00B5476A"/>
    <w:rsid w:val="00B548AC"/>
    <w:rsid w:val="00B54F82"/>
    <w:rsid w:val="00B6046E"/>
    <w:rsid w:val="00B61CE5"/>
    <w:rsid w:val="00B61EDF"/>
    <w:rsid w:val="00B6364D"/>
    <w:rsid w:val="00B66487"/>
    <w:rsid w:val="00B66820"/>
    <w:rsid w:val="00B6790A"/>
    <w:rsid w:val="00B7183D"/>
    <w:rsid w:val="00B73C49"/>
    <w:rsid w:val="00B73DE0"/>
    <w:rsid w:val="00B74704"/>
    <w:rsid w:val="00B74CBE"/>
    <w:rsid w:val="00B76A7C"/>
    <w:rsid w:val="00B805D0"/>
    <w:rsid w:val="00B813CA"/>
    <w:rsid w:val="00B82890"/>
    <w:rsid w:val="00B8583E"/>
    <w:rsid w:val="00B874D9"/>
    <w:rsid w:val="00B900BE"/>
    <w:rsid w:val="00B92263"/>
    <w:rsid w:val="00B92EBF"/>
    <w:rsid w:val="00B94814"/>
    <w:rsid w:val="00B948D5"/>
    <w:rsid w:val="00B96440"/>
    <w:rsid w:val="00B964B0"/>
    <w:rsid w:val="00B97FE3"/>
    <w:rsid w:val="00BA1E8C"/>
    <w:rsid w:val="00BA26C3"/>
    <w:rsid w:val="00BA2B19"/>
    <w:rsid w:val="00BA3A77"/>
    <w:rsid w:val="00BA5118"/>
    <w:rsid w:val="00BA5BB0"/>
    <w:rsid w:val="00BA7C75"/>
    <w:rsid w:val="00BB0352"/>
    <w:rsid w:val="00BB10BA"/>
    <w:rsid w:val="00BB46DA"/>
    <w:rsid w:val="00BB4960"/>
    <w:rsid w:val="00BB5A0E"/>
    <w:rsid w:val="00BB62E4"/>
    <w:rsid w:val="00BB6E8C"/>
    <w:rsid w:val="00BC14DC"/>
    <w:rsid w:val="00BC7630"/>
    <w:rsid w:val="00BD1A30"/>
    <w:rsid w:val="00BD2189"/>
    <w:rsid w:val="00BD3376"/>
    <w:rsid w:val="00BD7859"/>
    <w:rsid w:val="00BE030D"/>
    <w:rsid w:val="00BE11B3"/>
    <w:rsid w:val="00BE221B"/>
    <w:rsid w:val="00BE3C2D"/>
    <w:rsid w:val="00BE50A9"/>
    <w:rsid w:val="00BE58E8"/>
    <w:rsid w:val="00BE63F3"/>
    <w:rsid w:val="00BF008F"/>
    <w:rsid w:val="00BF0D77"/>
    <w:rsid w:val="00BF26C8"/>
    <w:rsid w:val="00BF2D1B"/>
    <w:rsid w:val="00BF401D"/>
    <w:rsid w:val="00BF460E"/>
    <w:rsid w:val="00BF6B35"/>
    <w:rsid w:val="00C0061D"/>
    <w:rsid w:val="00C01B1B"/>
    <w:rsid w:val="00C02BE5"/>
    <w:rsid w:val="00C0444C"/>
    <w:rsid w:val="00C1148A"/>
    <w:rsid w:val="00C11DA5"/>
    <w:rsid w:val="00C127F5"/>
    <w:rsid w:val="00C12F98"/>
    <w:rsid w:val="00C16768"/>
    <w:rsid w:val="00C25EE2"/>
    <w:rsid w:val="00C27940"/>
    <w:rsid w:val="00C3152B"/>
    <w:rsid w:val="00C36441"/>
    <w:rsid w:val="00C37DC7"/>
    <w:rsid w:val="00C41AC3"/>
    <w:rsid w:val="00C434A3"/>
    <w:rsid w:val="00C4525E"/>
    <w:rsid w:val="00C50150"/>
    <w:rsid w:val="00C515A7"/>
    <w:rsid w:val="00C53B4D"/>
    <w:rsid w:val="00C57521"/>
    <w:rsid w:val="00C57CB7"/>
    <w:rsid w:val="00C57D6F"/>
    <w:rsid w:val="00C60130"/>
    <w:rsid w:val="00C617F8"/>
    <w:rsid w:val="00C62E46"/>
    <w:rsid w:val="00C6402E"/>
    <w:rsid w:val="00C64552"/>
    <w:rsid w:val="00C6513D"/>
    <w:rsid w:val="00C653D0"/>
    <w:rsid w:val="00C65AA2"/>
    <w:rsid w:val="00C74FC1"/>
    <w:rsid w:val="00C76B6C"/>
    <w:rsid w:val="00C77132"/>
    <w:rsid w:val="00C83C2E"/>
    <w:rsid w:val="00C84114"/>
    <w:rsid w:val="00C8785B"/>
    <w:rsid w:val="00C904E3"/>
    <w:rsid w:val="00C9195B"/>
    <w:rsid w:val="00C926CA"/>
    <w:rsid w:val="00C95B10"/>
    <w:rsid w:val="00CA0150"/>
    <w:rsid w:val="00CA14C2"/>
    <w:rsid w:val="00CA2FEA"/>
    <w:rsid w:val="00CA4967"/>
    <w:rsid w:val="00CA6556"/>
    <w:rsid w:val="00CB1B0D"/>
    <w:rsid w:val="00CB2464"/>
    <w:rsid w:val="00CB2829"/>
    <w:rsid w:val="00CB332E"/>
    <w:rsid w:val="00CB38AD"/>
    <w:rsid w:val="00CB3D1A"/>
    <w:rsid w:val="00CB6F33"/>
    <w:rsid w:val="00CC0520"/>
    <w:rsid w:val="00CC1180"/>
    <w:rsid w:val="00CC31B6"/>
    <w:rsid w:val="00CC3F5A"/>
    <w:rsid w:val="00CC5EB4"/>
    <w:rsid w:val="00CC6559"/>
    <w:rsid w:val="00CD0FDC"/>
    <w:rsid w:val="00CD2412"/>
    <w:rsid w:val="00CD2430"/>
    <w:rsid w:val="00CD25AE"/>
    <w:rsid w:val="00CD2956"/>
    <w:rsid w:val="00CD2959"/>
    <w:rsid w:val="00CD4DDA"/>
    <w:rsid w:val="00CD4EA5"/>
    <w:rsid w:val="00CD6EBA"/>
    <w:rsid w:val="00CD713F"/>
    <w:rsid w:val="00CD71FA"/>
    <w:rsid w:val="00CD7A99"/>
    <w:rsid w:val="00CE106B"/>
    <w:rsid w:val="00CE7F4F"/>
    <w:rsid w:val="00CF0DEC"/>
    <w:rsid w:val="00CF2BBE"/>
    <w:rsid w:val="00CF52A8"/>
    <w:rsid w:val="00CF7FBC"/>
    <w:rsid w:val="00D00987"/>
    <w:rsid w:val="00D009FC"/>
    <w:rsid w:val="00D0139F"/>
    <w:rsid w:val="00D02328"/>
    <w:rsid w:val="00D0278D"/>
    <w:rsid w:val="00D037D3"/>
    <w:rsid w:val="00D11039"/>
    <w:rsid w:val="00D12C57"/>
    <w:rsid w:val="00D12FAD"/>
    <w:rsid w:val="00D1707D"/>
    <w:rsid w:val="00D22153"/>
    <w:rsid w:val="00D222D9"/>
    <w:rsid w:val="00D24100"/>
    <w:rsid w:val="00D25D9F"/>
    <w:rsid w:val="00D27409"/>
    <w:rsid w:val="00D27B42"/>
    <w:rsid w:val="00D27C91"/>
    <w:rsid w:val="00D324B7"/>
    <w:rsid w:val="00D337C7"/>
    <w:rsid w:val="00D34E32"/>
    <w:rsid w:val="00D37F89"/>
    <w:rsid w:val="00D443A0"/>
    <w:rsid w:val="00D44C5A"/>
    <w:rsid w:val="00D46CE0"/>
    <w:rsid w:val="00D51C67"/>
    <w:rsid w:val="00D51FB0"/>
    <w:rsid w:val="00D520F9"/>
    <w:rsid w:val="00D542AB"/>
    <w:rsid w:val="00D546E5"/>
    <w:rsid w:val="00D566F6"/>
    <w:rsid w:val="00D5677D"/>
    <w:rsid w:val="00D60047"/>
    <w:rsid w:val="00D61EF2"/>
    <w:rsid w:val="00D62EFC"/>
    <w:rsid w:val="00D634A1"/>
    <w:rsid w:val="00D63736"/>
    <w:rsid w:val="00D64520"/>
    <w:rsid w:val="00D646F4"/>
    <w:rsid w:val="00D70756"/>
    <w:rsid w:val="00D71782"/>
    <w:rsid w:val="00D71F1C"/>
    <w:rsid w:val="00D71FC5"/>
    <w:rsid w:val="00D7267F"/>
    <w:rsid w:val="00D72B51"/>
    <w:rsid w:val="00D7423A"/>
    <w:rsid w:val="00D767E4"/>
    <w:rsid w:val="00D77C5C"/>
    <w:rsid w:val="00D83688"/>
    <w:rsid w:val="00D83B77"/>
    <w:rsid w:val="00D8523D"/>
    <w:rsid w:val="00D85698"/>
    <w:rsid w:val="00D86909"/>
    <w:rsid w:val="00D92CB4"/>
    <w:rsid w:val="00D92DDA"/>
    <w:rsid w:val="00D9382D"/>
    <w:rsid w:val="00D93EBC"/>
    <w:rsid w:val="00D94161"/>
    <w:rsid w:val="00D94314"/>
    <w:rsid w:val="00D955E1"/>
    <w:rsid w:val="00D962D5"/>
    <w:rsid w:val="00DA49C2"/>
    <w:rsid w:val="00DA4BC7"/>
    <w:rsid w:val="00DA588C"/>
    <w:rsid w:val="00DB135F"/>
    <w:rsid w:val="00DB32F8"/>
    <w:rsid w:val="00DB4C2B"/>
    <w:rsid w:val="00DB58E4"/>
    <w:rsid w:val="00DB5EE1"/>
    <w:rsid w:val="00DC378A"/>
    <w:rsid w:val="00DD0EE8"/>
    <w:rsid w:val="00DD0F4C"/>
    <w:rsid w:val="00DD1521"/>
    <w:rsid w:val="00DD3317"/>
    <w:rsid w:val="00DD5935"/>
    <w:rsid w:val="00DD5BE6"/>
    <w:rsid w:val="00DD6113"/>
    <w:rsid w:val="00DD7393"/>
    <w:rsid w:val="00DE0FF4"/>
    <w:rsid w:val="00DE3BA7"/>
    <w:rsid w:val="00DF2BE3"/>
    <w:rsid w:val="00DF43B6"/>
    <w:rsid w:val="00DF4EEC"/>
    <w:rsid w:val="00DF55E5"/>
    <w:rsid w:val="00DF566B"/>
    <w:rsid w:val="00DF63EE"/>
    <w:rsid w:val="00DF68DC"/>
    <w:rsid w:val="00E02118"/>
    <w:rsid w:val="00E02B46"/>
    <w:rsid w:val="00E0342F"/>
    <w:rsid w:val="00E05583"/>
    <w:rsid w:val="00E06417"/>
    <w:rsid w:val="00E07372"/>
    <w:rsid w:val="00E07EEE"/>
    <w:rsid w:val="00E1080D"/>
    <w:rsid w:val="00E12FB3"/>
    <w:rsid w:val="00E2239B"/>
    <w:rsid w:val="00E23EAD"/>
    <w:rsid w:val="00E27F03"/>
    <w:rsid w:val="00E31FD8"/>
    <w:rsid w:val="00E33F8E"/>
    <w:rsid w:val="00E3464A"/>
    <w:rsid w:val="00E355E6"/>
    <w:rsid w:val="00E415F4"/>
    <w:rsid w:val="00E4206C"/>
    <w:rsid w:val="00E421EA"/>
    <w:rsid w:val="00E432C3"/>
    <w:rsid w:val="00E50807"/>
    <w:rsid w:val="00E508B4"/>
    <w:rsid w:val="00E54D88"/>
    <w:rsid w:val="00E55A55"/>
    <w:rsid w:val="00E55D00"/>
    <w:rsid w:val="00E5767D"/>
    <w:rsid w:val="00E60A46"/>
    <w:rsid w:val="00E6192D"/>
    <w:rsid w:val="00E61FCA"/>
    <w:rsid w:val="00E62A90"/>
    <w:rsid w:val="00E65B31"/>
    <w:rsid w:val="00E666D5"/>
    <w:rsid w:val="00E66F0A"/>
    <w:rsid w:val="00E67856"/>
    <w:rsid w:val="00E70BEA"/>
    <w:rsid w:val="00E731A4"/>
    <w:rsid w:val="00E74B2E"/>
    <w:rsid w:val="00E76EB9"/>
    <w:rsid w:val="00E771D3"/>
    <w:rsid w:val="00E77E94"/>
    <w:rsid w:val="00E803E8"/>
    <w:rsid w:val="00E80E96"/>
    <w:rsid w:val="00E8703A"/>
    <w:rsid w:val="00E90E8E"/>
    <w:rsid w:val="00E931B7"/>
    <w:rsid w:val="00E95C04"/>
    <w:rsid w:val="00E9663D"/>
    <w:rsid w:val="00E96A5C"/>
    <w:rsid w:val="00E973E7"/>
    <w:rsid w:val="00E97F44"/>
    <w:rsid w:val="00EA101B"/>
    <w:rsid w:val="00EA28E4"/>
    <w:rsid w:val="00EA2C4E"/>
    <w:rsid w:val="00EA6AB4"/>
    <w:rsid w:val="00EA736A"/>
    <w:rsid w:val="00EA76C0"/>
    <w:rsid w:val="00EB15C3"/>
    <w:rsid w:val="00EB2C11"/>
    <w:rsid w:val="00EB443A"/>
    <w:rsid w:val="00EB4F9D"/>
    <w:rsid w:val="00EB5FDF"/>
    <w:rsid w:val="00EB6307"/>
    <w:rsid w:val="00EB6D47"/>
    <w:rsid w:val="00EB7486"/>
    <w:rsid w:val="00EC5E7E"/>
    <w:rsid w:val="00EC71B1"/>
    <w:rsid w:val="00EC76BD"/>
    <w:rsid w:val="00ED0610"/>
    <w:rsid w:val="00ED289F"/>
    <w:rsid w:val="00ED2AD0"/>
    <w:rsid w:val="00ED4B22"/>
    <w:rsid w:val="00ED62B5"/>
    <w:rsid w:val="00EE6363"/>
    <w:rsid w:val="00EE65F6"/>
    <w:rsid w:val="00EE7CB8"/>
    <w:rsid w:val="00EF0EDB"/>
    <w:rsid w:val="00EF1D6B"/>
    <w:rsid w:val="00EF445F"/>
    <w:rsid w:val="00EF4942"/>
    <w:rsid w:val="00EF5710"/>
    <w:rsid w:val="00EF7E3D"/>
    <w:rsid w:val="00F00697"/>
    <w:rsid w:val="00F027AA"/>
    <w:rsid w:val="00F1191B"/>
    <w:rsid w:val="00F12888"/>
    <w:rsid w:val="00F144F1"/>
    <w:rsid w:val="00F146DE"/>
    <w:rsid w:val="00F15C10"/>
    <w:rsid w:val="00F16FA1"/>
    <w:rsid w:val="00F17B9C"/>
    <w:rsid w:val="00F2078E"/>
    <w:rsid w:val="00F23199"/>
    <w:rsid w:val="00F24984"/>
    <w:rsid w:val="00F258B5"/>
    <w:rsid w:val="00F26C2F"/>
    <w:rsid w:val="00F26FA7"/>
    <w:rsid w:val="00F27F05"/>
    <w:rsid w:val="00F30C19"/>
    <w:rsid w:val="00F31587"/>
    <w:rsid w:val="00F33040"/>
    <w:rsid w:val="00F33911"/>
    <w:rsid w:val="00F34F94"/>
    <w:rsid w:val="00F35904"/>
    <w:rsid w:val="00F35EE1"/>
    <w:rsid w:val="00F37DE9"/>
    <w:rsid w:val="00F428F2"/>
    <w:rsid w:val="00F465A8"/>
    <w:rsid w:val="00F47A5D"/>
    <w:rsid w:val="00F47ED7"/>
    <w:rsid w:val="00F5087D"/>
    <w:rsid w:val="00F52252"/>
    <w:rsid w:val="00F53C6E"/>
    <w:rsid w:val="00F55B76"/>
    <w:rsid w:val="00F56D28"/>
    <w:rsid w:val="00F60213"/>
    <w:rsid w:val="00F60CAB"/>
    <w:rsid w:val="00F62479"/>
    <w:rsid w:val="00F62E45"/>
    <w:rsid w:val="00F65958"/>
    <w:rsid w:val="00F70F39"/>
    <w:rsid w:val="00F715D4"/>
    <w:rsid w:val="00F72654"/>
    <w:rsid w:val="00F74E6F"/>
    <w:rsid w:val="00F75731"/>
    <w:rsid w:val="00F776EA"/>
    <w:rsid w:val="00F8024E"/>
    <w:rsid w:val="00F809F4"/>
    <w:rsid w:val="00F820F9"/>
    <w:rsid w:val="00F84FFC"/>
    <w:rsid w:val="00F86CB3"/>
    <w:rsid w:val="00F8716E"/>
    <w:rsid w:val="00F93D85"/>
    <w:rsid w:val="00F9466B"/>
    <w:rsid w:val="00F9691F"/>
    <w:rsid w:val="00F975A1"/>
    <w:rsid w:val="00FA0E1A"/>
    <w:rsid w:val="00FA2D75"/>
    <w:rsid w:val="00FA4B20"/>
    <w:rsid w:val="00FA4C20"/>
    <w:rsid w:val="00FA53B0"/>
    <w:rsid w:val="00FA5869"/>
    <w:rsid w:val="00FA615F"/>
    <w:rsid w:val="00FA6AEA"/>
    <w:rsid w:val="00FA7017"/>
    <w:rsid w:val="00FB2E58"/>
    <w:rsid w:val="00FB379E"/>
    <w:rsid w:val="00FB49E0"/>
    <w:rsid w:val="00FB52F9"/>
    <w:rsid w:val="00FB5624"/>
    <w:rsid w:val="00FB76C5"/>
    <w:rsid w:val="00FC0D94"/>
    <w:rsid w:val="00FC19AD"/>
    <w:rsid w:val="00FC4313"/>
    <w:rsid w:val="00FC6B33"/>
    <w:rsid w:val="00FD0B59"/>
    <w:rsid w:val="00FD24BF"/>
    <w:rsid w:val="00FD3C04"/>
    <w:rsid w:val="00FD4D9A"/>
    <w:rsid w:val="00FD502C"/>
    <w:rsid w:val="00FD54E6"/>
    <w:rsid w:val="00FD5794"/>
    <w:rsid w:val="00FD6665"/>
    <w:rsid w:val="00FE01B4"/>
    <w:rsid w:val="00FE2E0B"/>
    <w:rsid w:val="00FE358E"/>
    <w:rsid w:val="00FE5708"/>
    <w:rsid w:val="00FE6020"/>
    <w:rsid w:val="00FE6EDD"/>
    <w:rsid w:val="00FF04DB"/>
    <w:rsid w:val="00FF06AD"/>
    <w:rsid w:val="00FF2ADF"/>
    <w:rsid w:val="00FF38D0"/>
    <w:rsid w:val="00FF7D9E"/>
    <w:rsid w:val="011C78EE"/>
    <w:rsid w:val="01255CD7"/>
    <w:rsid w:val="0152795B"/>
    <w:rsid w:val="01706D33"/>
    <w:rsid w:val="0174627D"/>
    <w:rsid w:val="017F17BC"/>
    <w:rsid w:val="018548D9"/>
    <w:rsid w:val="01AE0820"/>
    <w:rsid w:val="01D32315"/>
    <w:rsid w:val="01DF4C4F"/>
    <w:rsid w:val="02144A36"/>
    <w:rsid w:val="022A1418"/>
    <w:rsid w:val="02564D4B"/>
    <w:rsid w:val="026B74AB"/>
    <w:rsid w:val="02865FF3"/>
    <w:rsid w:val="02947F8A"/>
    <w:rsid w:val="02990E1C"/>
    <w:rsid w:val="02993ED9"/>
    <w:rsid w:val="029E0E03"/>
    <w:rsid w:val="02A209F3"/>
    <w:rsid w:val="02B53517"/>
    <w:rsid w:val="02C053B4"/>
    <w:rsid w:val="02D70B03"/>
    <w:rsid w:val="02E030AC"/>
    <w:rsid w:val="02EB05EB"/>
    <w:rsid w:val="031C0786"/>
    <w:rsid w:val="0322005C"/>
    <w:rsid w:val="033666F5"/>
    <w:rsid w:val="03571279"/>
    <w:rsid w:val="037133B1"/>
    <w:rsid w:val="037B7025"/>
    <w:rsid w:val="037D2DE7"/>
    <w:rsid w:val="03822F19"/>
    <w:rsid w:val="038A76A9"/>
    <w:rsid w:val="039532DB"/>
    <w:rsid w:val="039D105F"/>
    <w:rsid w:val="03B57291"/>
    <w:rsid w:val="03B70B59"/>
    <w:rsid w:val="03BB4AE0"/>
    <w:rsid w:val="03C527A5"/>
    <w:rsid w:val="03CC47F7"/>
    <w:rsid w:val="03DB41BC"/>
    <w:rsid w:val="03DF3D4F"/>
    <w:rsid w:val="03EC0BD7"/>
    <w:rsid w:val="03ED4D31"/>
    <w:rsid w:val="03F84C0A"/>
    <w:rsid w:val="04006CC5"/>
    <w:rsid w:val="040E0AC7"/>
    <w:rsid w:val="041E64A4"/>
    <w:rsid w:val="041F406C"/>
    <w:rsid w:val="0429749E"/>
    <w:rsid w:val="043B6EEC"/>
    <w:rsid w:val="044A592F"/>
    <w:rsid w:val="045D7210"/>
    <w:rsid w:val="046214A9"/>
    <w:rsid w:val="04632495"/>
    <w:rsid w:val="0494241D"/>
    <w:rsid w:val="04990099"/>
    <w:rsid w:val="04B46BCC"/>
    <w:rsid w:val="04C3508B"/>
    <w:rsid w:val="04C40A71"/>
    <w:rsid w:val="04CE19EB"/>
    <w:rsid w:val="05025778"/>
    <w:rsid w:val="052C08B8"/>
    <w:rsid w:val="053132BC"/>
    <w:rsid w:val="05454082"/>
    <w:rsid w:val="05515CD0"/>
    <w:rsid w:val="055344A1"/>
    <w:rsid w:val="05696C71"/>
    <w:rsid w:val="056F0CC3"/>
    <w:rsid w:val="057345F3"/>
    <w:rsid w:val="05762577"/>
    <w:rsid w:val="05914C57"/>
    <w:rsid w:val="05960570"/>
    <w:rsid w:val="05A252B3"/>
    <w:rsid w:val="05AE125D"/>
    <w:rsid w:val="05AF7640"/>
    <w:rsid w:val="05BB0C97"/>
    <w:rsid w:val="05C700F0"/>
    <w:rsid w:val="05D6473D"/>
    <w:rsid w:val="05E8544C"/>
    <w:rsid w:val="05ED3DE4"/>
    <w:rsid w:val="05FA5679"/>
    <w:rsid w:val="060860A9"/>
    <w:rsid w:val="060D21D6"/>
    <w:rsid w:val="06100956"/>
    <w:rsid w:val="06264BF3"/>
    <w:rsid w:val="062C0CFF"/>
    <w:rsid w:val="062C72FA"/>
    <w:rsid w:val="06717718"/>
    <w:rsid w:val="068A4D9E"/>
    <w:rsid w:val="06A310F5"/>
    <w:rsid w:val="06E00214"/>
    <w:rsid w:val="06E540CD"/>
    <w:rsid w:val="06F5751E"/>
    <w:rsid w:val="06FD56F4"/>
    <w:rsid w:val="07211778"/>
    <w:rsid w:val="07341522"/>
    <w:rsid w:val="07445FF1"/>
    <w:rsid w:val="075F6A24"/>
    <w:rsid w:val="076517D2"/>
    <w:rsid w:val="077D6974"/>
    <w:rsid w:val="079721C9"/>
    <w:rsid w:val="079E04BF"/>
    <w:rsid w:val="07B52037"/>
    <w:rsid w:val="07B766D9"/>
    <w:rsid w:val="07CA04E2"/>
    <w:rsid w:val="07DC6AE9"/>
    <w:rsid w:val="07EE7372"/>
    <w:rsid w:val="07F91A49"/>
    <w:rsid w:val="08187BF3"/>
    <w:rsid w:val="08245307"/>
    <w:rsid w:val="08296D91"/>
    <w:rsid w:val="083828E1"/>
    <w:rsid w:val="0841271D"/>
    <w:rsid w:val="084A3FA9"/>
    <w:rsid w:val="085C4828"/>
    <w:rsid w:val="087C1DD9"/>
    <w:rsid w:val="089B4DB3"/>
    <w:rsid w:val="08DB7D76"/>
    <w:rsid w:val="08E26D52"/>
    <w:rsid w:val="08E6788B"/>
    <w:rsid w:val="09117D6B"/>
    <w:rsid w:val="09153569"/>
    <w:rsid w:val="092D3A71"/>
    <w:rsid w:val="09302997"/>
    <w:rsid w:val="0941475A"/>
    <w:rsid w:val="095C0E69"/>
    <w:rsid w:val="095E547B"/>
    <w:rsid w:val="097A4477"/>
    <w:rsid w:val="097D2444"/>
    <w:rsid w:val="098100CF"/>
    <w:rsid w:val="09861AA3"/>
    <w:rsid w:val="098E4E37"/>
    <w:rsid w:val="09944284"/>
    <w:rsid w:val="099C01A2"/>
    <w:rsid w:val="099C5571"/>
    <w:rsid w:val="09A37D75"/>
    <w:rsid w:val="09A478E5"/>
    <w:rsid w:val="09B12013"/>
    <w:rsid w:val="09B1293D"/>
    <w:rsid w:val="09B80ABE"/>
    <w:rsid w:val="09CD13A0"/>
    <w:rsid w:val="09D81779"/>
    <w:rsid w:val="09DC2D55"/>
    <w:rsid w:val="09E36400"/>
    <w:rsid w:val="09EC53E1"/>
    <w:rsid w:val="0A047628"/>
    <w:rsid w:val="0A161A48"/>
    <w:rsid w:val="0A6E1750"/>
    <w:rsid w:val="0A783EF2"/>
    <w:rsid w:val="0A790B64"/>
    <w:rsid w:val="0AA969FB"/>
    <w:rsid w:val="0ABB7441"/>
    <w:rsid w:val="0AC440F5"/>
    <w:rsid w:val="0AC73F32"/>
    <w:rsid w:val="0B0F66BA"/>
    <w:rsid w:val="0B506641"/>
    <w:rsid w:val="0B5E3D9D"/>
    <w:rsid w:val="0B627207"/>
    <w:rsid w:val="0B6B1E13"/>
    <w:rsid w:val="0B7117AF"/>
    <w:rsid w:val="0B805531"/>
    <w:rsid w:val="0BB352F2"/>
    <w:rsid w:val="0BBD3768"/>
    <w:rsid w:val="0BC66E3F"/>
    <w:rsid w:val="0BCB4FC7"/>
    <w:rsid w:val="0BCF2D76"/>
    <w:rsid w:val="0BD0037E"/>
    <w:rsid w:val="0BE2094D"/>
    <w:rsid w:val="0BF73505"/>
    <w:rsid w:val="0BFA30BA"/>
    <w:rsid w:val="0BFF2C6A"/>
    <w:rsid w:val="0C094AC2"/>
    <w:rsid w:val="0C1C1BCD"/>
    <w:rsid w:val="0C3C6598"/>
    <w:rsid w:val="0C3E7C58"/>
    <w:rsid w:val="0C5E5EFE"/>
    <w:rsid w:val="0C973219"/>
    <w:rsid w:val="0CB6128E"/>
    <w:rsid w:val="0CC20318"/>
    <w:rsid w:val="0CC56FFE"/>
    <w:rsid w:val="0CCE5649"/>
    <w:rsid w:val="0CE54F43"/>
    <w:rsid w:val="0D0107E5"/>
    <w:rsid w:val="0D044CFC"/>
    <w:rsid w:val="0D0F214F"/>
    <w:rsid w:val="0D2A599A"/>
    <w:rsid w:val="0D452FCB"/>
    <w:rsid w:val="0D5A4FA0"/>
    <w:rsid w:val="0D645222"/>
    <w:rsid w:val="0D7C3072"/>
    <w:rsid w:val="0D7C5772"/>
    <w:rsid w:val="0D960150"/>
    <w:rsid w:val="0DA22BDD"/>
    <w:rsid w:val="0DA95031"/>
    <w:rsid w:val="0DB21B1E"/>
    <w:rsid w:val="0DCB34F3"/>
    <w:rsid w:val="0DD1622F"/>
    <w:rsid w:val="0DFD1CF0"/>
    <w:rsid w:val="0E04395B"/>
    <w:rsid w:val="0E046FF3"/>
    <w:rsid w:val="0E11587D"/>
    <w:rsid w:val="0E1162F7"/>
    <w:rsid w:val="0E21777C"/>
    <w:rsid w:val="0E3F5B47"/>
    <w:rsid w:val="0E403D64"/>
    <w:rsid w:val="0E5400C6"/>
    <w:rsid w:val="0E5A2C8B"/>
    <w:rsid w:val="0E5C2D96"/>
    <w:rsid w:val="0E7771D7"/>
    <w:rsid w:val="0E8B3647"/>
    <w:rsid w:val="0E8C6339"/>
    <w:rsid w:val="0E990B9C"/>
    <w:rsid w:val="0EAF3FFE"/>
    <w:rsid w:val="0ECD225B"/>
    <w:rsid w:val="0F1E2D93"/>
    <w:rsid w:val="0F2E6C95"/>
    <w:rsid w:val="0F48778A"/>
    <w:rsid w:val="0F54159D"/>
    <w:rsid w:val="0F602FE5"/>
    <w:rsid w:val="0F7207D6"/>
    <w:rsid w:val="0F735793"/>
    <w:rsid w:val="0F77362A"/>
    <w:rsid w:val="0F865924"/>
    <w:rsid w:val="0F8E53AD"/>
    <w:rsid w:val="0F9146CA"/>
    <w:rsid w:val="0FA96AF5"/>
    <w:rsid w:val="0FBF094B"/>
    <w:rsid w:val="0FC2610C"/>
    <w:rsid w:val="0FD205BC"/>
    <w:rsid w:val="0FD3668F"/>
    <w:rsid w:val="0FE67215"/>
    <w:rsid w:val="0FED59A3"/>
    <w:rsid w:val="103C57E5"/>
    <w:rsid w:val="1048677F"/>
    <w:rsid w:val="10602553"/>
    <w:rsid w:val="106130F4"/>
    <w:rsid w:val="10842F50"/>
    <w:rsid w:val="10A5627E"/>
    <w:rsid w:val="10B21D88"/>
    <w:rsid w:val="10B847C8"/>
    <w:rsid w:val="10BB05A0"/>
    <w:rsid w:val="10BC7D53"/>
    <w:rsid w:val="10CA54BC"/>
    <w:rsid w:val="10F70427"/>
    <w:rsid w:val="10FF6E3B"/>
    <w:rsid w:val="1102722C"/>
    <w:rsid w:val="11071147"/>
    <w:rsid w:val="113160C2"/>
    <w:rsid w:val="113B385E"/>
    <w:rsid w:val="11553041"/>
    <w:rsid w:val="116578E9"/>
    <w:rsid w:val="118A4ED4"/>
    <w:rsid w:val="1194228D"/>
    <w:rsid w:val="11A8245D"/>
    <w:rsid w:val="11BA2451"/>
    <w:rsid w:val="11C272DB"/>
    <w:rsid w:val="11C9066B"/>
    <w:rsid w:val="11CA2FAB"/>
    <w:rsid w:val="11D549C7"/>
    <w:rsid w:val="11D74027"/>
    <w:rsid w:val="11E05DF5"/>
    <w:rsid w:val="11F03528"/>
    <w:rsid w:val="11F16015"/>
    <w:rsid w:val="11FA084B"/>
    <w:rsid w:val="11FB2676"/>
    <w:rsid w:val="120738D3"/>
    <w:rsid w:val="12541A92"/>
    <w:rsid w:val="126F51ED"/>
    <w:rsid w:val="127A52D3"/>
    <w:rsid w:val="12865C3B"/>
    <w:rsid w:val="12891705"/>
    <w:rsid w:val="12B80E4F"/>
    <w:rsid w:val="12B84CC9"/>
    <w:rsid w:val="12BC2C23"/>
    <w:rsid w:val="12D87AD6"/>
    <w:rsid w:val="12DC5E42"/>
    <w:rsid w:val="12E31358"/>
    <w:rsid w:val="12E4429F"/>
    <w:rsid w:val="13145BB4"/>
    <w:rsid w:val="131C74E8"/>
    <w:rsid w:val="13293CEB"/>
    <w:rsid w:val="132A6D46"/>
    <w:rsid w:val="132E5726"/>
    <w:rsid w:val="13433175"/>
    <w:rsid w:val="13434055"/>
    <w:rsid w:val="134C6789"/>
    <w:rsid w:val="13642DB7"/>
    <w:rsid w:val="136D4A03"/>
    <w:rsid w:val="137428A2"/>
    <w:rsid w:val="13816E0B"/>
    <w:rsid w:val="13A87826"/>
    <w:rsid w:val="13B17CB5"/>
    <w:rsid w:val="13B21A28"/>
    <w:rsid w:val="13C34C6E"/>
    <w:rsid w:val="13C5443B"/>
    <w:rsid w:val="13D90F47"/>
    <w:rsid w:val="13DD036A"/>
    <w:rsid w:val="13DF35E1"/>
    <w:rsid w:val="13E250F3"/>
    <w:rsid w:val="13E550BF"/>
    <w:rsid w:val="14001BA0"/>
    <w:rsid w:val="14010977"/>
    <w:rsid w:val="14124799"/>
    <w:rsid w:val="1414208E"/>
    <w:rsid w:val="14214BC4"/>
    <w:rsid w:val="143657FD"/>
    <w:rsid w:val="14440B5D"/>
    <w:rsid w:val="146F1977"/>
    <w:rsid w:val="149630E7"/>
    <w:rsid w:val="14A46B6C"/>
    <w:rsid w:val="14BE5A27"/>
    <w:rsid w:val="14C265BD"/>
    <w:rsid w:val="14CE2B22"/>
    <w:rsid w:val="14ED4C5F"/>
    <w:rsid w:val="14ED611E"/>
    <w:rsid w:val="14EF3B56"/>
    <w:rsid w:val="14F41582"/>
    <w:rsid w:val="14F82489"/>
    <w:rsid w:val="150966B8"/>
    <w:rsid w:val="151B37BD"/>
    <w:rsid w:val="152A66D8"/>
    <w:rsid w:val="154871D8"/>
    <w:rsid w:val="1549245E"/>
    <w:rsid w:val="15544611"/>
    <w:rsid w:val="15707690"/>
    <w:rsid w:val="157E7004"/>
    <w:rsid w:val="15960586"/>
    <w:rsid w:val="1598015F"/>
    <w:rsid w:val="15992403"/>
    <w:rsid w:val="15B722F4"/>
    <w:rsid w:val="15C46DDF"/>
    <w:rsid w:val="15C94A4C"/>
    <w:rsid w:val="15D16764"/>
    <w:rsid w:val="15E01C8A"/>
    <w:rsid w:val="15E251FA"/>
    <w:rsid w:val="15E6711C"/>
    <w:rsid w:val="15FF4C81"/>
    <w:rsid w:val="163B7E01"/>
    <w:rsid w:val="16486A9F"/>
    <w:rsid w:val="16585740"/>
    <w:rsid w:val="165E4793"/>
    <w:rsid w:val="165F550C"/>
    <w:rsid w:val="16773476"/>
    <w:rsid w:val="16AF602D"/>
    <w:rsid w:val="16B1216D"/>
    <w:rsid w:val="16DD4926"/>
    <w:rsid w:val="16DD53E9"/>
    <w:rsid w:val="16E1745F"/>
    <w:rsid w:val="16FA264A"/>
    <w:rsid w:val="16FA6E08"/>
    <w:rsid w:val="16FC0D14"/>
    <w:rsid w:val="170D650C"/>
    <w:rsid w:val="17161DF5"/>
    <w:rsid w:val="17274ADE"/>
    <w:rsid w:val="173139EB"/>
    <w:rsid w:val="173B5417"/>
    <w:rsid w:val="1755671C"/>
    <w:rsid w:val="17562080"/>
    <w:rsid w:val="176B279A"/>
    <w:rsid w:val="177A3FD2"/>
    <w:rsid w:val="178164BF"/>
    <w:rsid w:val="178A7F7B"/>
    <w:rsid w:val="179901BE"/>
    <w:rsid w:val="17B2302E"/>
    <w:rsid w:val="17BE567C"/>
    <w:rsid w:val="17D34D22"/>
    <w:rsid w:val="17D5430D"/>
    <w:rsid w:val="17D70704"/>
    <w:rsid w:val="17D854EF"/>
    <w:rsid w:val="17E23060"/>
    <w:rsid w:val="17F34993"/>
    <w:rsid w:val="18007595"/>
    <w:rsid w:val="18210C48"/>
    <w:rsid w:val="182F2E07"/>
    <w:rsid w:val="1845325B"/>
    <w:rsid w:val="184B2801"/>
    <w:rsid w:val="1859622A"/>
    <w:rsid w:val="1861529E"/>
    <w:rsid w:val="18657F8E"/>
    <w:rsid w:val="18846B5B"/>
    <w:rsid w:val="188E7E3B"/>
    <w:rsid w:val="18A312F5"/>
    <w:rsid w:val="18B31CA6"/>
    <w:rsid w:val="18C60F2C"/>
    <w:rsid w:val="18DF2FDC"/>
    <w:rsid w:val="18E00A97"/>
    <w:rsid w:val="18FD0F5E"/>
    <w:rsid w:val="190478B9"/>
    <w:rsid w:val="190E30DC"/>
    <w:rsid w:val="191170F8"/>
    <w:rsid w:val="19371A3D"/>
    <w:rsid w:val="193F2818"/>
    <w:rsid w:val="194208F8"/>
    <w:rsid w:val="196859D6"/>
    <w:rsid w:val="19AA2EDE"/>
    <w:rsid w:val="19C37471"/>
    <w:rsid w:val="19C6317C"/>
    <w:rsid w:val="19D532C9"/>
    <w:rsid w:val="19DE6620"/>
    <w:rsid w:val="19EC2DE4"/>
    <w:rsid w:val="19FD0833"/>
    <w:rsid w:val="1A103102"/>
    <w:rsid w:val="1A124A35"/>
    <w:rsid w:val="1A327B19"/>
    <w:rsid w:val="1A35775C"/>
    <w:rsid w:val="1A3638F7"/>
    <w:rsid w:val="1A4568C5"/>
    <w:rsid w:val="1A4A01AA"/>
    <w:rsid w:val="1A4F368E"/>
    <w:rsid w:val="1A5B770A"/>
    <w:rsid w:val="1A646862"/>
    <w:rsid w:val="1A721674"/>
    <w:rsid w:val="1A767F13"/>
    <w:rsid w:val="1A824C13"/>
    <w:rsid w:val="1A8813A6"/>
    <w:rsid w:val="1A9750D6"/>
    <w:rsid w:val="1A997055"/>
    <w:rsid w:val="1AAD7532"/>
    <w:rsid w:val="1ABE43B0"/>
    <w:rsid w:val="1AE56FCE"/>
    <w:rsid w:val="1B0925F9"/>
    <w:rsid w:val="1B186B30"/>
    <w:rsid w:val="1B4443DF"/>
    <w:rsid w:val="1B4E71B1"/>
    <w:rsid w:val="1B5A7814"/>
    <w:rsid w:val="1B723FC0"/>
    <w:rsid w:val="1B7824BF"/>
    <w:rsid w:val="1BC30EF7"/>
    <w:rsid w:val="1BDB0D27"/>
    <w:rsid w:val="1BE014B5"/>
    <w:rsid w:val="1BE45790"/>
    <w:rsid w:val="1BEF1BA3"/>
    <w:rsid w:val="1BF34341"/>
    <w:rsid w:val="1BFA4700"/>
    <w:rsid w:val="1BFE36F6"/>
    <w:rsid w:val="1C02029E"/>
    <w:rsid w:val="1C1147C7"/>
    <w:rsid w:val="1C1B4171"/>
    <w:rsid w:val="1C300788"/>
    <w:rsid w:val="1C3152F3"/>
    <w:rsid w:val="1C426530"/>
    <w:rsid w:val="1C493F58"/>
    <w:rsid w:val="1C5842CF"/>
    <w:rsid w:val="1C624CA0"/>
    <w:rsid w:val="1C70580E"/>
    <w:rsid w:val="1CA43C14"/>
    <w:rsid w:val="1CAE6A25"/>
    <w:rsid w:val="1CB667CD"/>
    <w:rsid w:val="1CBD5700"/>
    <w:rsid w:val="1CE15466"/>
    <w:rsid w:val="1CEB2CDB"/>
    <w:rsid w:val="1D18097C"/>
    <w:rsid w:val="1D310127"/>
    <w:rsid w:val="1D425791"/>
    <w:rsid w:val="1D5303E2"/>
    <w:rsid w:val="1D534259"/>
    <w:rsid w:val="1D5533C8"/>
    <w:rsid w:val="1D5E3274"/>
    <w:rsid w:val="1D682B0D"/>
    <w:rsid w:val="1D6E4754"/>
    <w:rsid w:val="1D6F23FA"/>
    <w:rsid w:val="1D7E40DE"/>
    <w:rsid w:val="1D952460"/>
    <w:rsid w:val="1DAF48B9"/>
    <w:rsid w:val="1DAF6046"/>
    <w:rsid w:val="1DD6791B"/>
    <w:rsid w:val="1DDC2F8F"/>
    <w:rsid w:val="1DE20194"/>
    <w:rsid w:val="1DE47CF6"/>
    <w:rsid w:val="1DE55F0B"/>
    <w:rsid w:val="1DED6DC2"/>
    <w:rsid w:val="1DF073E9"/>
    <w:rsid w:val="1DF67D15"/>
    <w:rsid w:val="1DF925E5"/>
    <w:rsid w:val="1E08655F"/>
    <w:rsid w:val="1E1265D5"/>
    <w:rsid w:val="1E3F205F"/>
    <w:rsid w:val="1E4F1290"/>
    <w:rsid w:val="1E5F09FB"/>
    <w:rsid w:val="1E715387"/>
    <w:rsid w:val="1E7C381A"/>
    <w:rsid w:val="1EBF49AE"/>
    <w:rsid w:val="1EDA13C4"/>
    <w:rsid w:val="1EF86233"/>
    <w:rsid w:val="1F257A1B"/>
    <w:rsid w:val="1F2760B0"/>
    <w:rsid w:val="1F290237"/>
    <w:rsid w:val="1F2F195A"/>
    <w:rsid w:val="1F354FA2"/>
    <w:rsid w:val="1F370E49"/>
    <w:rsid w:val="1F4055CA"/>
    <w:rsid w:val="1F4D1DCD"/>
    <w:rsid w:val="1F604BCF"/>
    <w:rsid w:val="1F646A84"/>
    <w:rsid w:val="1F676791"/>
    <w:rsid w:val="1F691DF6"/>
    <w:rsid w:val="1F6A4DB7"/>
    <w:rsid w:val="1F720BF7"/>
    <w:rsid w:val="1F8C510D"/>
    <w:rsid w:val="1F991F8C"/>
    <w:rsid w:val="1F9F65F5"/>
    <w:rsid w:val="1FA37E2C"/>
    <w:rsid w:val="1FA841A4"/>
    <w:rsid w:val="1FB35696"/>
    <w:rsid w:val="1FCE77AB"/>
    <w:rsid w:val="1FD42E55"/>
    <w:rsid w:val="1FE76EFC"/>
    <w:rsid w:val="1FEF0EDA"/>
    <w:rsid w:val="1FFE3B9C"/>
    <w:rsid w:val="200C7065"/>
    <w:rsid w:val="200F1E1E"/>
    <w:rsid w:val="200F2993"/>
    <w:rsid w:val="2045418D"/>
    <w:rsid w:val="20770BA3"/>
    <w:rsid w:val="208F2A6F"/>
    <w:rsid w:val="20A5376B"/>
    <w:rsid w:val="20BE3156"/>
    <w:rsid w:val="20C70EEA"/>
    <w:rsid w:val="20CB5488"/>
    <w:rsid w:val="20F1099D"/>
    <w:rsid w:val="20F86F95"/>
    <w:rsid w:val="20FE4ABC"/>
    <w:rsid w:val="210D06D3"/>
    <w:rsid w:val="210D1C9B"/>
    <w:rsid w:val="210F2913"/>
    <w:rsid w:val="21172EFC"/>
    <w:rsid w:val="211D6617"/>
    <w:rsid w:val="212A0070"/>
    <w:rsid w:val="213F7180"/>
    <w:rsid w:val="2166015E"/>
    <w:rsid w:val="217A2867"/>
    <w:rsid w:val="218D4F77"/>
    <w:rsid w:val="218F2025"/>
    <w:rsid w:val="21A1076C"/>
    <w:rsid w:val="21A36E27"/>
    <w:rsid w:val="21BF5813"/>
    <w:rsid w:val="21ED69A0"/>
    <w:rsid w:val="21F51E69"/>
    <w:rsid w:val="220A23E4"/>
    <w:rsid w:val="221F360A"/>
    <w:rsid w:val="22217FC1"/>
    <w:rsid w:val="224F3811"/>
    <w:rsid w:val="22634F7C"/>
    <w:rsid w:val="226A32AB"/>
    <w:rsid w:val="226E0301"/>
    <w:rsid w:val="227A52ED"/>
    <w:rsid w:val="227B289F"/>
    <w:rsid w:val="22974D56"/>
    <w:rsid w:val="22B4774D"/>
    <w:rsid w:val="22BA6479"/>
    <w:rsid w:val="22CA1812"/>
    <w:rsid w:val="22DA198E"/>
    <w:rsid w:val="22EC7D10"/>
    <w:rsid w:val="2300090E"/>
    <w:rsid w:val="230629BD"/>
    <w:rsid w:val="231B417D"/>
    <w:rsid w:val="231D1CA3"/>
    <w:rsid w:val="235F7448"/>
    <w:rsid w:val="2380540E"/>
    <w:rsid w:val="2382090B"/>
    <w:rsid w:val="2396629F"/>
    <w:rsid w:val="23B27443"/>
    <w:rsid w:val="23E21159"/>
    <w:rsid w:val="23F33EC4"/>
    <w:rsid w:val="242A0048"/>
    <w:rsid w:val="24705AFA"/>
    <w:rsid w:val="248C14C8"/>
    <w:rsid w:val="24902194"/>
    <w:rsid w:val="24A002DA"/>
    <w:rsid w:val="24A0559A"/>
    <w:rsid w:val="24C22B61"/>
    <w:rsid w:val="24C92827"/>
    <w:rsid w:val="24DA2A2F"/>
    <w:rsid w:val="24EF3982"/>
    <w:rsid w:val="24F70542"/>
    <w:rsid w:val="251121E8"/>
    <w:rsid w:val="25206C17"/>
    <w:rsid w:val="25245513"/>
    <w:rsid w:val="25752792"/>
    <w:rsid w:val="25A00874"/>
    <w:rsid w:val="25A75A24"/>
    <w:rsid w:val="25C87603"/>
    <w:rsid w:val="25E25630"/>
    <w:rsid w:val="25F9756D"/>
    <w:rsid w:val="261C0A28"/>
    <w:rsid w:val="261F3F61"/>
    <w:rsid w:val="26240575"/>
    <w:rsid w:val="262D302F"/>
    <w:rsid w:val="26482ABB"/>
    <w:rsid w:val="26514614"/>
    <w:rsid w:val="26593185"/>
    <w:rsid w:val="265B33F5"/>
    <w:rsid w:val="266A2317"/>
    <w:rsid w:val="26932FAA"/>
    <w:rsid w:val="269629FC"/>
    <w:rsid w:val="269E3CB4"/>
    <w:rsid w:val="26AA7949"/>
    <w:rsid w:val="26AE400E"/>
    <w:rsid w:val="26AF39A3"/>
    <w:rsid w:val="26BA2460"/>
    <w:rsid w:val="26D009DD"/>
    <w:rsid w:val="26D123B0"/>
    <w:rsid w:val="26D64E3E"/>
    <w:rsid w:val="26DD439A"/>
    <w:rsid w:val="26DE1058"/>
    <w:rsid w:val="26F16B26"/>
    <w:rsid w:val="27370DC1"/>
    <w:rsid w:val="273C6389"/>
    <w:rsid w:val="27406184"/>
    <w:rsid w:val="274827B0"/>
    <w:rsid w:val="274D361D"/>
    <w:rsid w:val="27650E21"/>
    <w:rsid w:val="27651E6B"/>
    <w:rsid w:val="276A0C65"/>
    <w:rsid w:val="27744855"/>
    <w:rsid w:val="277E40ED"/>
    <w:rsid w:val="27816AA7"/>
    <w:rsid w:val="278472C5"/>
    <w:rsid w:val="278F205C"/>
    <w:rsid w:val="279D33B3"/>
    <w:rsid w:val="279D798D"/>
    <w:rsid w:val="279F221C"/>
    <w:rsid w:val="27AA093B"/>
    <w:rsid w:val="27D33E28"/>
    <w:rsid w:val="27D94C2E"/>
    <w:rsid w:val="27F96A93"/>
    <w:rsid w:val="280E68A2"/>
    <w:rsid w:val="280F6260"/>
    <w:rsid w:val="285F11AE"/>
    <w:rsid w:val="28683E5A"/>
    <w:rsid w:val="28763547"/>
    <w:rsid w:val="28835305"/>
    <w:rsid w:val="28911C53"/>
    <w:rsid w:val="28934F77"/>
    <w:rsid w:val="28B63B69"/>
    <w:rsid w:val="28BD660B"/>
    <w:rsid w:val="28C40CD5"/>
    <w:rsid w:val="28C609F3"/>
    <w:rsid w:val="28E11E50"/>
    <w:rsid w:val="28E66662"/>
    <w:rsid w:val="28FA7B73"/>
    <w:rsid w:val="29077345"/>
    <w:rsid w:val="290F2E57"/>
    <w:rsid w:val="29100F77"/>
    <w:rsid w:val="29283F36"/>
    <w:rsid w:val="29303E0D"/>
    <w:rsid w:val="293B0AE8"/>
    <w:rsid w:val="293D20CE"/>
    <w:rsid w:val="2950027A"/>
    <w:rsid w:val="296E7969"/>
    <w:rsid w:val="29755BAF"/>
    <w:rsid w:val="297C2ABA"/>
    <w:rsid w:val="29842D64"/>
    <w:rsid w:val="29842F3B"/>
    <w:rsid w:val="29A0219D"/>
    <w:rsid w:val="29C446FC"/>
    <w:rsid w:val="29C600B4"/>
    <w:rsid w:val="29EA612E"/>
    <w:rsid w:val="29EE439A"/>
    <w:rsid w:val="29EF6205"/>
    <w:rsid w:val="29F03D76"/>
    <w:rsid w:val="2A175DB4"/>
    <w:rsid w:val="2A185BC9"/>
    <w:rsid w:val="2A406EB1"/>
    <w:rsid w:val="2A462142"/>
    <w:rsid w:val="2A5272F0"/>
    <w:rsid w:val="2A6274A0"/>
    <w:rsid w:val="2A6F4B3A"/>
    <w:rsid w:val="2A7346A6"/>
    <w:rsid w:val="2A8B5695"/>
    <w:rsid w:val="2AA80AEB"/>
    <w:rsid w:val="2AA911A0"/>
    <w:rsid w:val="2AC23741"/>
    <w:rsid w:val="2AE42D9C"/>
    <w:rsid w:val="2AEC3B7E"/>
    <w:rsid w:val="2AFF0F82"/>
    <w:rsid w:val="2B0C36C7"/>
    <w:rsid w:val="2B247743"/>
    <w:rsid w:val="2B3B3EAD"/>
    <w:rsid w:val="2B3D5F21"/>
    <w:rsid w:val="2B4E367E"/>
    <w:rsid w:val="2B5A2AA4"/>
    <w:rsid w:val="2B5F3E2A"/>
    <w:rsid w:val="2B6F150A"/>
    <w:rsid w:val="2B891120"/>
    <w:rsid w:val="2B976350"/>
    <w:rsid w:val="2BA76B57"/>
    <w:rsid w:val="2BB906C2"/>
    <w:rsid w:val="2BC27713"/>
    <w:rsid w:val="2BDA5630"/>
    <w:rsid w:val="2BE84BD3"/>
    <w:rsid w:val="2BE97DC4"/>
    <w:rsid w:val="2C161D57"/>
    <w:rsid w:val="2C4A78FB"/>
    <w:rsid w:val="2C536736"/>
    <w:rsid w:val="2C5D501D"/>
    <w:rsid w:val="2C6921F7"/>
    <w:rsid w:val="2C696CD4"/>
    <w:rsid w:val="2C7219A3"/>
    <w:rsid w:val="2C7E5322"/>
    <w:rsid w:val="2C8B2D16"/>
    <w:rsid w:val="2C8C31F1"/>
    <w:rsid w:val="2C915A50"/>
    <w:rsid w:val="2CD50B9E"/>
    <w:rsid w:val="2CE7730B"/>
    <w:rsid w:val="2CE958D1"/>
    <w:rsid w:val="2CF00ABF"/>
    <w:rsid w:val="2D0078E7"/>
    <w:rsid w:val="2D0C74D7"/>
    <w:rsid w:val="2D0D4B1A"/>
    <w:rsid w:val="2D1157F0"/>
    <w:rsid w:val="2D1337CC"/>
    <w:rsid w:val="2D1A53D5"/>
    <w:rsid w:val="2D225886"/>
    <w:rsid w:val="2D2642C6"/>
    <w:rsid w:val="2D2B7A46"/>
    <w:rsid w:val="2D300B27"/>
    <w:rsid w:val="2D773C64"/>
    <w:rsid w:val="2D8079FF"/>
    <w:rsid w:val="2D896090"/>
    <w:rsid w:val="2D955F5A"/>
    <w:rsid w:val="2D9E60D7"/>
    <w:rsid w:val="2DA41976"/>
    <w:rsid w:val="2DAA24F8"/>
    <w:rsid w:val="2DAD3C69"/>
    <w:rsid w:val="2DBB7BF7"/>
    <w:rsid w:val="2E2505CE"/>
    <w:rsid w:val="2E2C471E"/>
    <w:rsid w:val="2E2F3C86"/>
    <w:rsid w:val="2E305D21"/>
    <w:rsid w:val="2E434F7B"/>
    <w:rsid w:val="2E9F48D0"/>
    <w:rsid w:val="2EB313DC"/>
    <w:rsid w:val="2EC33D02"/>
    <w:rsid w:val="2ED76385"/>
    <w:rsid w:val="2EDA0FDF"/>
    <w:rsid w:val="2EE96B90"/>
    <w:rsid w:val="2EF923FB"/>
    <w:rsid w:val="2EFA183A"/>
    <w:rsid w:val="2F0106CB"/>
    <w:rsid w:val="2F045536"/>
    <w:rsid w:val="2F177EEF"/>
    <w:rsid w:val="2F1E48F7"/>
    <w:rsid w:val="2F215E60"/>
    <w:rsid w:val="2F2C0A2A"/>
    <w:rsid w:val="2F3743FD"/>
    <w:rsid w:val="2F3D1686"/>
    <w:rsid w:val="2F3D6CE5"/>
    <w:rsid w:val="2F563788"/>
    <w:rsid w:val="2F61791B"/>
    <w:rsid w:val="2F6C74C5"/>
    <w:rsid w:val="2F7B2DC7"/>
    <w:rsid w:val="2F801FDE"/>
    <w:rsid w:val="2FAD5759"/>
    <w:rsid w:val="2FB64DF5"/>
    <w:rsid w:val="2FC754AC"/>
    <w:rsid w:val="2FC81E3A"/>
    <w:rsid w:val="2FE50D63"/>
    <w:rsid w:val="3004263E"/>
    <w:rsid w:val="30112313"/>
    <w:rsid w:val="30223275"/>
    <w:rsid w:val="30346C0D"/>
    <w:rsid w:val="305C7C74"/>
    <w:rsid w:val="305E3711"/>
    <w:rsid w:val="306C4038"/>
    <w:rsid w:val="30886823"/>
    <w:rsid w:val="308C2216"/>
    <w:rsid w:val="30912155"/>
    <w:rsid w:val="30C9397C"/>
    <w:rsid w:val="30F55184"/>
    <w:rsid w:val="30F570DB"/>
    <w:rsid w:val="30FD5BE3"/>
    <w:rsid w:val="31083080"/>
    <w:rsid w:val="312D7914"/>
    <w:rsid w:val="31343EAB"/>
    <w:rsid w:val="31407D7E"/>
    <w:rsid w:val="31434DF4"/>
    <w:rsid w:val="3148541E"/>
    <w:rsid w:val="314E5D98"/>
    <w:rsid w:val="31526621"/>
    <w:rsid w:val="315849EA"/>
    <w:rsid w:val="316160D5"/>
    <w:rsid w:val="31734A85"/>
    <w:rsid w:val="31896051"/>
    <w:rsid w:val="319B7CAE"/>
    <w:rsid w:val="31B12668"/>
    <w:rsid w:val="31BC3137"/>
    <w:rsid w:val="31C87F99"/>
    <w:rsid w:val="31D53AC0"/>
    <w:rsid w:val="31D628F1"/>
    <w:rsid w:val="31E11C4F"/>
    <w:rsid w:val="31E97E95"/>
    <w:rsid w:val="31EA2E85"/>
    <w:rsid w:val="31F2523F"/>
    <w:rsid w:val="31F64A5E"/>
    <w:rsid w:val="32033783"/>
    <w:rsid w:val="321649DA"/>
    <w:rsid w:val="32211950"/>
    <w:rsid w:val="32263E09"/>
    <w:rsid w:val="32427BE9"/>
    <w:rsid w:val="3254240E"/>
    <w:rsid w:val="325B6344"/>
    <w:rsid w:val="325D1D98"/>
    <w:rsid w:val="326370DC"/>
    <w:rsid w:val="32771087"/>
    <w:rsid w:val="3287161C"/>
    <w:rsid w:val="329B2BE5"/>
    <w:rsid w:val="329E58E4"/>
    <w:rsid w:val="32BB6CD3"/>
    <w:rsid w:val="32C24615"/>
    <w:rsid w:val="32C347C1"/>
    <w:rsid w:val="32C53027"/>
    <w:rsid w:val="32C954C5"/>
    <w:rsid w:val="32CF1EF5"/>
    <w:rsid w:val="32F4416D"/>
    <w:rsid w:val="32F56B52"/>
    <w:rsid w:val="330E3B5A"/>
    <w:rsid w:val="332860A9"/>
    <w:rsid w:val="332E303F"/>
    <w:rsid w:val="333F3B79"/>
    <w:rsid w:val="33555E52"/>
    <w:rsid w:val="33563E8D"/>
    <w:rsid w:val="3356616B"/>
    <w:rsid w:val="336C7E62"/>
    <w:rsid w:val="336F4AD2"/>
    <w:rsid w:val="338E1E5A"/>
    <w:rsid w:val="33A04957"/>
    <w:rsid w:val="33A8380B"/>
    <w:rsid w:val="33AD7074"/>
    <w:rsid w:val="33B51311"/>
    <w:rsid w:val="33C17E2F"/>
    <w:rsid w:val="33DB3E27"/>
    <w:rsid w:val="33E87093"/>
    <w:rsid w:val="33F64577"/>
    <w:rsid w:val="34176F13"/>
    <w:rsid w:val="341F6035"/>
    <w:rsid w:val="34264DCD"/>
    <w:rsid w:val="342A4E34"/>
    <w:rsid w:val="342E1DBA"/>
    <w:rsid w:val="34327804"/>
    <w:rsid w:val="34392FD6"/>
    <w:rsid w:val="343E33DE"/>
    <w:rsid w:val="3444758A"/>
    <w:rsid w:val="344D51E1"/>
    <w:rsid w:val="344F5C34"/>
    <w:rsid w:val="34500526"/>
    <w:rsid w:val="345B7145"/>
    <w:rsid w:val="346C10AA"/>
    <w:rsid w:val="34793107"/>
    <w:rsid w:val="3498562E"/>
    <w:rsid w:val="34A266FD"/>
    <w:rsid w:val="34B017CE"/>
    <w:rsid w:val="34B306BA"/>
    <w:rsid w:val="34B97AB4"/>
    <w:rsid w:val="34E51A7A"/>
    <w:rsid w:val="34E63F10"/>
    <w:rsid w:val="34E72C04"/>
    <w:rsid w:val="350379BB"/>
    <w:rsid w:val="350543A1"/>
    <w:rsid w:val="35140D39"/>
    <w:rsid w:val="351909B2"/>
    <w:rsid w:val="355028B3"/>
    <w:rsid w:val="35613423"/>
    <w:rsid w:val="356F206C"/>
    <w:rsid w:val="357441ED"/>
    <w:rsid w:val="3575596F"/>
    <w:rsid w:val="3596528E"/>
    <w:rsid w:val="359E5A30"/>
    <w:rsid w:val="35A326F5"/>
    <w:rsid w:val="35A44128"/>
    <w:rsid w:val="35A537F8"/>
    <w:rsid w:val="35AF1D24"/>
    <w:rsid w:val="35C176FF"/>
    <w:rsid w:val="35C37B02"/>
    <w:rsid w:val="35C45C26"/>
    <w:rsid w:val="35EA7502"/>
    <w:rsid w:val="35F56117"/>
    <w:rsid w:val="35F87209"/>
    <w:rsid w:val="36026709"/>
    <w:rsid w:val="362A1DEA"/>
    <w:rsid w:val="363A4CF0"/>
    <w:rsid w:val="364B60F7"/>
    <w:rsid w:val="364F4554"/>
    <w:rsid w:val="36590595"/>
    <w:rsid w:val="365C07CB"/>
    <w:rsid w:val="366828B4"/>
    <w:rsid w:val="366E6E5A"/>
    <w:rsid w:val="369251AD"/>
    <w:rsid w:val="36B1492B"/>
    <w:rsid w:val="36C868E3"/>
    <w:rsid w:val="36D24CCF"/>
    <w:rsid w:val="36D81E3A"/>
    <w:rsid w:val="36F17626"/>
    <w:rsid w:val="370549FF"/>
    <w:rsid w:val="371419A7"/>
    <w:rsid w:val="37251C5E"/>
    <w:rsid w:val="374F7378"/>
    <w:rsid w:val="37697A46"/>
    <w:rsid w:val="376E6DE3"/>
    <w:rsid w:val="378B57C3"/>
    <w:rsid w:val="37900301"/>
    <w:rsid w:val="3799716F"/>
    <w:rsid w:val="37A578F5"/>
    <w:rsid w:val="37AC1880"/>
    <w:rsid w:val="37B3277F"/>
    <w:rsid w:val="37C87FD8"/>
    <w:rsid w:val="37CB065C"/>
    <w:rsid w:val="37D818FA"/>
    <w:rsid w:val="37E71B51"/>
    <w:rsid w:val="37EF4222"/>
    <w:rsid w:val="37F836B6"/>
    <w:rsid w:val="380354B4"/>
    <w:rsid w:val="381C75E9"/>
    <w:rsid w:val="381D40B8"/>
    <w:rsid w:val="382237A0"/>
    <w:rsid w:val="38245332"/>
    <w:rsid w:val="38286350"/>
    <w:rsid w:val="384211B4"/>
    <w:rsid w:val="384979E4"/>
    <w:rsid w:val="384A47D7"/>
    <w:rsid w:val="385F21E8"/>
    <w:rsid w:val="386234DB"/>
    <w:rsid w:val="386817BB"/>
    <w:rsid w:val="38725C05"/>
    <w:rsid w:val="388D6E02"/>
    <w:rsid w:val="38A427BC"/>
    <w:rsid w:val="38A806DB"/>
    <w:rsid w:val="38C23C1E"/>
    <w:rsid w:val="38CC077C"/>
    <w:rsid w:val="38D90B27"/>
    <w:rsid w:val="38DB7E12"/>
    <w:rsid w:val="38FE1452"/>
    <w:rsid w:val="39100010"/>
    <w:rsid w:val="39202096"/>
    <w:rsid w:val="39227F3B"/>
    <w:rsid w:val="39466ACC"/>
    <w:rsid w:val="395B4DB3"/>
    <w:rsid w:val="395E5835"/>
    <w:rsid w:val="395F0B2F"/>
    <w:rsid w:val="39685218"/>
    <w:rsid w:val="396D7831"/>
    <w:rsid w:val="39872E4A"/>
    <w:rsid w:val="39BB07BB"/>
    <w:rsid w:val="39BF12B2"/>
    <w:rsid w:val="39C918F8"/>
    <w:rsid w:val="39D947FF"/>
    <w:rsid w:val="39E430C3"/>
    <w:rsid w:val="39E60BE9"/>
    <w:rsid w:val="39EA4361"/>
    <w:rsid w:val="3A113D0B"/>
    <w:rsid w:val="3A1A4AEF"/>
    <w:rsid w:val="3A1A6B1A"/>
    <w:rsid w:val="3A1D33BF"/>
    <w:rsid w:val="3A2A0F0D"/>
    <w:rsid w:val="3A2F6D0C"/>
    <w:rsid w:val="3A330F2B"/>
    <w:rsid w:val="3A380837"/>
    <w:rsid w:val="3A3C3479"/>
    <w:rsid w:val="3A4D59E7"/>
    <w:rsid w:val="3A6431DA"/>
    <w:rsid w:val="3A6902C4"/>
    <w:rsid w:val="3A7A7E6A"/>
    <w:rsid w:val="3A8F121C"/>
    <w:rsid w:val="3AA14E8E"/>
    <w:rsid w:val="3AA70700"/>
    <w:rsid w:val="3AAC3BE1"/>
    <w:rsid w:val="3AB037C0"/>
    <w:rsid w:val="3AB11255"/>
    <w:rsid w:val="3AC852AA"/>
    <w:rsid w:val="3AD22FFE"/>
    <w:rsid w:val="3AD307DC"/>
    <w:rsid w:val="3ADC0F69"/>
    <w:rsid w:val="3AE1626B"/>
    <w:rsid w:val="3AF0658B"/>
    <w:rsid w:val="3B0A4EFB"/>
    <w:rsid w:val="3B2528C1"/>
    <w:rsid w:val="3B3E459F"/>
    <w:rsid w:val="3B600888"/>
    <w:rsid w:val="3B6A6633"/>
    <w:rsid w:val="3B6B6910"/>
    <w:rsid w:val="3B7423B1"/>
    <w:rsid w:val="3B9E5E01"/>
    <w:rsid w:val="3BB172AE"/>
    <w:rsid w:val="3BE91094"/>
    <w:rsid w:val="3BFD484B"/>
    <w:rsid w:val="3C094AEA"/>
    <w:rsid w:val="3C1C1288"/>
    <w:rsid w:val="3C240558"/>
    <w:rsid w:val="3C343115"/>
    <w:rsid w:val="3C3F0879"/>
    <w:rsid w:val="3C455F09"/>
    <w:rsid w:val="3C5854E3"/>
    <w:rsid w:val="3C5E59FD"/>
    <w:rsid w:val="3C6D62D2"/>
    <w:rsid w:val="3C6F3140"/>
    <w:rsid w:val="3C730422"/>
    <w:rsid w:val="3C7941BA"/>
    <w:rsid w:val="3CA13DC9"/>
    <w:rsid w:val="3CAD59BB"/>
    <w:rsid w:val="3CB47DBE"/>
    <w:rsid w:val="3CD54EA9"/>
    <w:rsid w:val="3CE417AA"/>
    <w:rsid w:val="3CF06C5C"/>
    <w:rsid w:val="3CFD3902"/>
    <w:rsid w:val="3CFE624A"/>
    <w:rsid w:val="3CFF6110"/>
    <w:rsid w:val="3D075A6C"/>
    <w:rsid w:val="3D1009CA"/>
    <w:rsid w:val="3D1E37D7"/>
    <w:rsid w:val="3D1F7B9E"/>
    <w:rsid w:val="3D305428"/>
    <w:rsid w:val="3D417084"/>
    <w:rsid w:val="3D4C55EE"/>
    <w:rsid w:val="3D572850"/>
    <w:rsid w:val="3D637134"/>
    <w:rsid w:val="3D6561C5"/>
    <w:rsid w:val="3D710777"/>
    <w:rsid w:val="3D7217E3"/>
    <w:rsid w:val="3D7D6B54"/>
    <w:rsid w:val="3D834E1E"/>
    <w:rsid w:val="3D877FA8"/>
    <w:rsid w:val="3D9D310F"/>
    <w:rsid w:val="3DC445BB"/>
    <w:rsid w:val="3DC5258D"/>
    <w:rsid w:val="3DD11BB1"/>
    <w:rsid w:val="3DDE64ED"/>
    <w:rsid w:val="3DE620B5"/>
    <w:rsid w:val="3E363A8E"/>
    <w:rsid w:val="3E534942"/>
    <w:rsid w:val="3E605247"/>
    <w:rsid w:val="3E611A22"/>
    <w:rsid w:val="3E8077EE"/>
    <w:rsid w:val="3E852ABE"/>
    <w:rsid w:val="3EA634E5"/>
    <w:rsid w:val="3EA80EFB"/>
    <w:rsid w:val="3EC4716B"/>
    <w:rsid w:val="3ED80902"/>
    <w:rsid w:val="3EE213E0"/>
    <w:rsid w:val="3EE510E1"/>
    <w:rsid w:val="3F175065"/>
    <w:rsid w:val="3F184D00"/>
    <w:rsid w:val="3F1C705B"/>
    <w:rsid w:val="3F212655"/>
    <w:rsid w:val="3F4D0A0B"/>
    <w:rsid w:val="3F4F5483"/>
    <w:rsid w:val="3F5429E9"/>
    <w:rsid w:val="3F73673D"/>
    <w:rsid w:val="3F776D74"/>
    <w:rsid w:val="3F852C53"/>
    <w:rsid w:val="3FA42367"/>
    <w:rsid w:val="3FAA2DDB"/>
    <w:rsid w:val="3FE33516"/>
    <w:rsid w:val="3FED6BE4"/>
    <w:rsid w:val="40254798"/>
    <w:rsid w:val="40475775"/>
    <w:rsid w:val="40563809"/>
    <w:rsid w:val="405D5566"/>
    <w:rsid w:val="40754497"/>
    <w:rsid w:val="40A1586A"/>
    <w:rsid w:val="40C31B90"/>
    <w:rsid w:val="40CC6475"/>
    <w:rsid w:val="40E87C4F"/>
    <w:rsid w:val="40ED6C75"/>
    <w:rsid w:val="40FB141E"/>
    <w:rsid w:val="40FF54C5"/>
    <w:rsid w:val="41013060"/>
    <w:rsid w:val="41074B5C"/>
    <w:rsid w:val="41232004"/>
    <w:rsid w:val="4127112B"/>
    <w:rsid w:val="412D419C"/>
    <w:rsid w:val="413A56B2"/>
    <w:rsid w:val="413E5639"/>
    <w:rsid w:val="41452699"/>
    <w:rsid w:val="41477046"/>
    <w:rsid w:val="415970CD"/>
    <w:rsid w:val="415D066B"/>
    <w:rsid w:val="41751A4F"/>
    <w:rsid w:val="41774AE7"/>
    <w:rsid w:val="41886D2A"/>
    <w:rsid w:val="41942219"/>
    <w:rsid w:val="41B77B66"/>
    <w:rsid w:val="41BD6997"/>
    <w:rsid w:val="41C90A89"/>
    <w:rsid w:val="41F63DFB"/>
    <w:rsid w:val="420632D4"/>
    <w:rsid w:val="421508D0"/>
    <w:rsid w:val="42166CDB"/>
    <w:rsid w:val="421E4AB1"/>
    <w:rsid w:val="42764AD5"/>
    <w:rsid w:val="4278582A"/>
    <w:rsid w:val="428A3FA2"/>
    <w:rsid w:val="42916BF3"/>
    <w:rsid w:val="42974DC2"/>
    <w:rsid w:val="429E42BF"/>
    <w:rsid w:val="42C26320"/>
    <w:rsid w:val="42DD1304"/>
    <w:rsid w:val="42E828C1"/>
    <w:rsid w:val="43270040"/>
    <w:rsid w:val="43287AB1"/>
    <w:rsid w:val="43695D63"/>
    <w:rsid w:val="436C59CE"/>
    <w:rsid w:val="437B05D6"/>
    <w:rsid w:val="43826E8B"/>
    <w:rsid w:val="438C57AF"/>
    <w:rsid w:val="438E4CDA"/>
    <w:rsid w:val="43972BEC"/>
    <w:rsid w:val="439D2374"/>
    <w:rsid w:val="43A029E9"/>
    <w:rsid w:val="43AE4782"/>
    <w:rsid w:val="43B835F7"/>
    <w:rsid w:val="43BC33D7"/>
    <w:rsid w:val="43CF031A"/>
    <w:rsid w:val="43D046D7"/>
    <w:rsid w:val="43D14DB4"/>
    <w:rsid w:val="43D318C2"/>
    <w:rsid w:val="43F05BE1"/>
    <w:rsid w:val="440B6784"/>
    <w:rsid w:val="440E22D5"/>
    <w:rsid w:val="441075E0"/>
    <w:rsid w:val="4421154F"/>
    <w:rsid w:val="442A1C45"/>
    <w:rsid w:val="44656DAC"/>
    <w:rsid w:val="44734681"/>
    <w:rsid w:val="44866CFE"/>
    <w:rsid w:val="448B65B7"/>
    <w:rsid w:val="4499585A"/>
    <w:rsid w:val="44B333AF"/>
    <w:rsid w:val="44B9743F"/>
    <w:rsid w:val="44BA5D97"/>
    <w:rsid w:val="44D711CC"/>
    <w:rsid w:val="44D77AAC"/>
    <w:rsid w:val="44DB0888"/>
    <w:rsid w:val="44E1074E"/>
    <w:rsid w:val="44E54FB4"/>
    <w:rsid w:val="44E5523A"/>
    <w:rsid w:val="44F26424"/>
    <w:rsid w:val="44F80C4D"/>
    <w:rsid w:val="44FB33D8"/>
    <w:rsid w:val="45116CEE"/>
    <w:rsid w:val="45170BC6"/>
    <w:rsid w:val="45223732"/>
    <w:rsid w:val="45270DF0"/>
    <w:rsid w:val="4530648A"/>
    <w:rsid w:val="45321187"/>
    <w:rsid w:val="454C73B7"/>
    <w:rsid w:val="454E18F2"/>
    <w:rsid w:val="455166AF"/>
    <w:rsid w:val="45607936"/>
    <w:rsid w:val="45765BB9"/>
    <w:rsid w:val="4582073C"/>
    <w:rsid w:val="458A5879"/>
    <w:rsid w:val="458C5EA1"/>
    <w:rsid w:val="45984308"/>
    <w:rsid w:val="45A81449"/>
    <w:rsid w:val="45B47174"/>
    <w:rsid w:val="45B941B6"/>
    <w:rsid w:val="45BE7A00"/>
    <w:rsid w:val="45CD0EAF"/>
    <w:rsid w:val="46017B4D"/>
    <w:rsid w:val="46297270"/>
    <w:rsid w:val="46393128"/>
    <w:rsid w:val="464901D4"/>
    <w:rsid w:val="464F4530"/>
    <w:rsid w:val="466F480B"/>
    <w:rsid w:val="46853DCD"/>
    <w:rsid w:val="468A048D"/>
    <w:rsid w:val="468A67ED"/>
    <w:rsid w:val="46BD1FDC"/>
    <w:rsid w:val="46F852EE"/>
    <w:rsid w:val="47035BB7"/>
    <w:rsid w:val="4705333F"/>
    <w:rsid w:val="47467CBD"/>
    <w:rsid w:val="475A2F74"/>
    <w:rsid w:val="47647A31"/>
    <w:rsid w:val="47B7109E"/>
    <w:rsid w:val="47CA0995"/>
    <w:rsid w:val="48092175"/>
    <w:rsid w:val="481A3686"/>
    <w:rsid w:val="48211124"/>
    <w:rsid w:val="48240FD5"/>
    <w:rsid w:val="48265844"/>
    <w:rsid w:val="4839100D"/>
    <w:rsid w:val="484F5187"/>
    <w:rsid w:val="48575A87"/>
    <w:rsid w:val="48646C57"/>
    <w:rsid w:val="4866635F"/>
    <w:rsid w:val="4898759C"/>
    <w:rsid w:val="48995E1E"/>
    <w:rsid w:val="489A6EBF"/>
    <w:rsid w:val="48C254F2"/>
    <w:rsid w:val="48C51B6D"/>
    <w:rsid w:val="48C73330"/>
    <w:rsid w:val="48CC13D9"/>
    <w:rsid w:val="48D87035"/>
    <w:rsid w:val="48DC7902"/>
    <w:rsid w:val="48E9309C"/>
    <w:rsid w:val="4905074B"/>
    <w:rsid w:val="49347B19"/>
    <w:rsid w:val="49515815"/>
    <w:rsid w:val="496455BE"/>
    <w:rsid w:val="496A2C24"/>
    <w:rsid w:val="49736A89"/>
    <w:rsid w:val="497D5DCF"/>
    <w:rsid w:val="49866003"/>
    <w:rsid w:val="498965E3"/>
    <w:rsid w:val="498A31C5"/>
    <w:rsid w:val="498B34EF"/>
    <w:rsid w:val="49AA1C33"/>
    <w:rsid w:val="49BB06A9"/>
    <w:rsid w:val="49BE75A5"/>
    <w:rsid w:val="49EE718A"/>
    <w:rsid w:val="4A0505A0"/>
    <w:rsid w:val="4A0C644A"/>
    <w:rsid w:val="4A253459"/>
    <w:rsid w:val="4A2A68D0"/>
    <w:rsid w:val="4A2E33F5"/>
    <w:rsid w:val="4A5B6F3E"/>
    <w:rsid w:val="4A5E695D"/>
    <w:rsid w:val="4A693ACE"/>
    <w:rsid w:val="4A7D46D3"/>
    <w:rsid w:val="4A9C78CD"/>
    <w:rsid w:val="4AA523FB"/>
    <w:rsid w:val="4AB93EC2"/>
    <w:rsid w:val="4AD541FC"/>
    <w:rsid w:val="4AD71C80"/>
    <w:rsid w:val="4AE5363A"/>
    <w:rsid w:val="4AEE405B"/>
    <w:rsid w:val="4B17728F"/>
    <w:rsid w:val="4B1B758A"/>
    <w:rsid w:val="4B233A8B"/>
    <w:rsid w:val="4B277428"/>
    <w:rsid w:val="4B2C48CA"/>
    <w:rsid w:val="4B3A08A7"/>
    <w:rsid w:val="4B537B61"/>
    <w:rsid w:val="4B867BA6"/>
    <w:rsid w:val="4B8753D4"/>
    <w:rsid w:val="4BA13A7E"/>
    <w:rsid w:val="4BA80446"/>
    <w:rsid w:val="4BAB31A7"/>
    <w:rsid w:val="4BB70BD9"/>
    <w:rsid w:val="4BCC630E"/>
    <w:rsid w:val="4BD016F9"/>
    <w:rsid w:val="4BD953B6"/>
    <w:rsid w:val="4C0F26B6"/>
    <w:rsid w:val="4C1B36B4"/>
    <w:rsid w:val="4C2946A1"/>
    <w:rsid w:val="4C4847C5"/>
    <w:rsid w:val="4C51468E"/>
    <w:rsid w:val="4C555797"/>
    <w:rsid w:val="4C7F2D8A"/>
    <w:rsid w:val="4C886A02"/>
    <w:rsid w:val="4C8A18A8"/>
    <w:rsid w:val="4CB30DFF"/>
    <w:rsid w:val="4CB41C4D"/>
    <w:rsid w:val="4CC6281F"/>
    <w:rsid w:val="4CE400FF"/>
    <w:rsid w:val="4CEA7CD1"/>
    <w:rsid w:val="4CEC7CAE"/>
    <w:rsid w:val="4CF02219"/>
    <w:rsid w:val="4CFC5846"/>
    <w:rsid w:val="4D004865"/>
    <w:rsid w:val="4D036B1B"/>
    <w:rsid w:val="4D043194"/>
    <w:rsid w:val="4D07114B"/>
    <w:rsid w:val="4D0C09C3"/>
    <w:rsid w:val="4D25439B"/>
    <w:rsid w:val="4D3A4381"/>
    <w:rsid w:val="4D3B0E0D"/>
    <w:rsid w:val="4D3F0D67"/>
    <w:rsid w:val="4D503BA9"/>
    <w:rsid w:val="4D6A4869"/>
    <w:rsid w:val="4D764C90"/>
    <w:rsid w:val="4D7721C7"/>
    <w:rsid w:val="4D7777D7"/>
    <w:rsid w:val="4D777CDB"/>
    <w:rsid w:val="4D7C3EBC"/>
    <w:rsid w:val="4D8D1290"/>
    <w:rsid w:val="4D947388"/>
    <w:rsid w:val="4DB04425"/>
    <w:rsid w:val="4DBD6C8B"/>
    <w:rsid w:val="4DBF13EE"/>
    <w:rsid w:val="4DC32521"/>
    <w:rsid w:val="4DC633D3"/>
    <w:rsid w:val="4DCB78B1"/>
    <w:rsid w:val="4DD06B6E"/>
    <w:rsid w:val="4DD9233D"/>
    <w:rsid w:val="4DDA4AD9"/>
    <w:rsid w:val="4DF07E31"/>
    <w:rsid w:val="4E036F35"/>
    <w:rsid w:val="4E0A4886"/>
    <w:rsid w:val="4E162149"/>
    <w:rsid w:val="4E3211A4"/>
    <w:rsid w:val="4E336DF3"/>
    <w:rsid w:val="4E3C5401"/>
    <w:rsid w:val="4E3E23AE"/>
    <w:rsid w:val="4E3E294A"/>
    <w:rsid w:val="4E446C76"/>
    <w:rsid w:val="4E454324"/>
    <w:rsid w:val="4E633F69"/>
    <w:rsid w:val="4E6C5DF8"/>
    <w:rsid w:val="4E8F219F"/>
    <w:rsid w:val="4EB1660F"/>
    <w:rsid w:val="4EC32F6B"/>
    <w:rsid w:val="4EC66207"/>
    <w:rsid w:val="4EDB63EB"/>
    <w:rsid w:val="4EE1206C"/>
    <w:rsid w:val="4EEA1801"/>
    <w:rsid w:val="4EFF657E"/>
    <w:rsid w:val="4F0463AC"/>
    <w:rsid w:val="4F076A42"/>
    <w:rsid w:val="4F154684"/>
    <w:rsid w:val="4F1547C1"/>
    <w:rsid w:val="4F1D05CA"/>
    <w:rsid w:val="4F3275AB"/>
    <w:rsid w:val="4F412350"/>
    <w:rsid w:val="4F5D2DBF"/>
    <w:rsid w:val="4F6169E5"/>
    <w:rsid w:val="4F76378B"/>
    <w:rsid w:val="4F8477C6"/>
    <w:rsid w:val="4FCE53C8"/>
    <w:rsid w:val="4FF4200C"/>
    <w:rsid w:val="50137E07"/>
    <w:rsid w:val="501A364E"/>
    <w:rsid w:val="502209C3"/>
    <w:rsid w:val="502F5120"/>
    <w:rsid w:val="50427508"/>
    <w:rsid w:val="5059366A"/>
    <w:rsid w:val="50632AED"/>
    <w:rsid w:val="509030F6"/>
    <w:rsid w:val="50AE6C31"/>
    <w:rsid w:val="50B23D3F"/>
    <w:rsid w:val="50BE2397"/>
    <w:rsid w:val="50C77070"/>
    <w:rsid w:val="50D32E16"/>
    <w:rsid w:val="50E21CB3"/>
    <w:rsid w:val="50FE4613"/>
    <w:rsid w:val="511F5028"/>
    <w:rsid w:val="512F20E2"/>
    <w:rsid w:val="513B1B67"/>
    <w:rsid w:val="513E3DF4"/>
    <w:rsid w:val="514025FD"/>
    <w:rsid w:val="51527ECA"/>
    <w:rsid w:val="51925B78"/>
    <w:rsid w:val="51957B94"/>
    <w:rsid w:val="51986815"/>
    <w:rsid w:val="51A341C8"/>
    <w:rsid w:val="51A53DDD"/>
    <w:rsid w:val="51D20AC5"/>
    <w:rsid w:val="51D51B03"/>
    <w:rsid w:val="51E37297"/>
    <w:rsid w:val="51F25565"/>
    <w:rsid w:val="51FD1078"/>
    <w:rsid w:val="521C3CED"/>
    <w:rsid w:val="522B476C"/>
    <w:rsid w:val="5231278F"/>
    <w:rsid w:val="52395E13"/>
    <w:rsid w:val="52397839"/>
    <w:rsid w:val="524949CC"/>
    <w:rsid w:val="524B7D2C"/>
    <w:rsid w:val="52626701"/>
    <w:rsid w:val="526D5721"/>
    <w:rsid w:val="526E59C6"/>
    <w:rsid w:val="526F46DA"/>
    <w:rsid w:val="529142AE"/>
    <w:rsid w:val="52A573B4"/>
    <w:rsid w:val="52BC3E92"/>
    <w:rsid w:val="52CB69EC"/>
    <w:rsid w:val="52E22A90"/>
    <w:rsid w:val="52F46520"/>
    <w:rsid w:val="52F95197"/>
    <w:rsid w:val="52FE3136"/>
    <w:rsid w:val="53041A0A"/>
    <w:rsid w:val="531232EF"/>
    <w:rsid w:val="53401A24"/>
    <w:rsid w:val="53414D4D"/>
    <w:rsid w:val="536A1739"/>
    <w:rsid w:val="536E6FDE"/>
    <w:rsid w:val="537E72C6"/>
    <w:rsid w:val="53BD2C29"/>
    <w:rsid w:val="53CB6833"/>
    <w:rsid w:val="53EE3156"/>
    <w:rsid w:val="542B1BC3"/>
    <w:rsid w:val="542F4FD6"/>
    <w:rsid w:val="54317A6A"/>
    <w:rsid w:val="543A3835"/>
    <w:rsid w:val="544220DE"/>
    <w:rsid w:val="54761E3F"/>
    <w:rsid w:val="54AC5569"/>
    <w:rsid w:val="54B25D84"/>
    <w:rsid w:val="54B27586"/>
    <w:rsid w:val="54B84C9C"/>
    <w:rsid w:val="54C26BA5"/>
    <w:rsid w:val="54CB1DBF"/>
    <w:rsid w:val="55030F3F"/>
    <w:rsid w:val="551A3F2A"/>
    <w:rsid w:val="55286153"/>
    <w:rsid w:val="55425416"/>
    <w:rsid w:val="554442FC"/>
    <w:rsid w:val="55480EA4"/>
    <w:rsid w:val="555D6730"/>
    <w:rsid w:val="55704920"/>
    <w:rsid w:val="55725A24"/>
    <w:rsid w:val="558925B6"/>
    <w:rsid w:val="558F6181"/>
    <w:rsid w:val="55947114"/>
    <w:rsid w:val="559847D6"/>
    <w:rsid w:val="559C7A4C"/>
    <w:rsid w:val="55B00902"/>
    <w:rsid w:val="55F11948"/>
    <w:rsid w:val="55F217BD"/>
    <w:rsid w:val="55F87DBF"/>
    <w:rsid w:val="5621040F"/>
    <w:rsid w:val="56237F23"/>
    <w:rsid w:val="56250762"/>
    <w:rsid w:val="56360D49"/>
    <w:rsid w:val="5641025E"/>
    <w:rsid w:val="5658757B"/>
    <w:rsid w:val="565D3224"/>
    <w:rsid w:val="566170C5"/>
    <w:rsid w:val="566542E6"/>
    <w:rsid w:val="56847368"/>
    <w:rsid w:val="56895AFF"/>
    <w:rsid w:val="56A053C6"/>
    <w:rsid w:val="56A22608"/>
    <w:rsid w:val="56AA06E0"/>
    <w:rsid w:val="56AD2D63"/>
    <w:rsid w:val="56C22731"/>
    <w:rsid w:val="56C92C02"/>
    <w:rsid w:val="56CC591C"/>
    <w:rsid w:val="56D95549"/>
    <w:rsid w:val="56DE2193"/>
    <w:rsid w:val="56E027AA"/>
    <w:rsid w:val="56E36C43"/>
    <w:rsid w:val="56E95CFA"/>
    <w:rsid w:val="56F62932"/>
    <w:rsid w:val="5708765E"/>
    <w:rsid w:val="570D7CCC"/>
    <w:rsid w:val="570F3B27"/>
    <w:rsid w:val="57303644"/>
    <w:rsid w:val="574A61B4"/>
    <w:rsid w:val="57581CA0"/>
    <w:rsid w:val="576109F9"/>
    <w:rsid w:val="576724ED"/>
    <w:rsid w:val="57710542"/>
    <w:rsid w:val="5775152A"/>
    <w:rsid w:val="577F1ABA"/>
    <w:rsid w:val="579369C0"/>
    <w:rsid w:val="579C537C"/>
    <w:rsid w:val="579F5B8B"/>
    <w:rsid w:val="57A33FD3"/>
    <w:rsid w:val="57B245FD"/>
    <w:rsid w:val="57B343A9"/>
    <w:rsid w:val="57CF1977"/>
    <w:rsid w:val="57E564C3"/>
    <w:rsid w:val="57EE7CDA"/>
    <w:rsid w:val="581954C0"/>
    <w:rsid w:val="581C79D1"/>
    <w:rsid w:val="58233A9D"/>
    <w:rsid w:val="582462B7"/>
    <w:rsid w:val="58253B75"/>
    <w:rsid w:val="582A4AE8"/>
    <w:rsid w:val="583A48D1"/>
    <w:rsid w:val="583E2A89"/>
    <w:rsid w:val="584F6EBA"/>
    <w:rsid w:val="585714B0"/>
    <w:rsid w:val="585E1E3A"/>
    <w:rsid w:val="58661D5C"/>
    <w:rsid w:val="5873372D"/>
    <w:rsid w:val="587476E8"/>
    <w:rsid w:val="587F332E"/>
    <w:rsid w:val="588220F7"/>
    <w:rsid w:val="588875E4"/>
    <w:rsid w:val="588F14F9"/>
    <w:rsid w:val="58AC033A"/>
    <w:rsid w:val="58BB38B5"/>
    <w:rsid w:val="58BC1F7D"/>
    <w:rsid w:val="58CA167A"/>
    <w:rsid w:val="58E278EC"/>
    <w:rsid w:val="58E51626"/>
    <w:rsid w:val="58E63A9D"/>
    <w:rsid w:val="58E8627F"/>
    <w:rsid w:val="59075A00"/>
    <w:rsid w:val="594A3AB5"/>
    <w:rsid w:val="595A5A52"/>
    <w:rsid w:val="595B5EA3"/>
    <w:rsid w:val="596F224E"/>
    <w:rsid w:val="5972339E"/>
    <w:rsid w:val="59787954"/>
    <w:rsid w:val="599A4FB2"/>
    <w:rsid w:val="59A45DD5"/>
    <w:rsid w:val="59CE39BF"/>
    <w:rsid w:val="59DC19FF"/>
    <w:rsid w:val="59E10F92"/>
    <w:rsid w:val="59EC4BEF"/>
    <w:rsid w:val="59EC6A0E"/>
    <w:rsid w:val="59F829AE"/>
    <w:rsid w:val="5A012704"/>
    <w:rsid w:val="5A197637"/>
    <w:rsid w:val="5A1E5E37"/>
    <w:rsid w:val="5A28216A"/>
    <w:rsid w:val="5A285EA9"/>
    <w:rsid w:val="5A297943"/>
    <w:rsid w:val="5A2F094B"/>
    <w:rsid w:val="5A30556B"/>
    <w:rsid w:val="5A3851CB"/>
    <w:rsid w:val="5A3B11C6"/>
    <w:rsid w:val="5A477651"/>
    <w:rsid w:val="5A4E62A8"/>
    <w:rsid w:val="5A4F0880"/>
    <w:rsid w:val="5A57200A"/>
    <w:rsid w:val="5A5B6081"/>
    <w:rsid w:val="5A5F60F6"/>
    <w:rsid w:val="5A633736"/>
    <w:rsid w:val="5A6C4A3F"/>
    <w:rsid w:val="5A7E2762"/>
    <w:rsid w:val="5A93191B"/>
    <w:rsid w:val="5A9B3B23"/>
    <w:rsid w:val="5AA20EDA"/>
    <w:rsid w:val="5AA94EB0"/>
    <w:rsid w:val="5AB85979"/>
    <w:rsid w:val="5AD07704"/>
    <w:rsid w:val="5AE33D2A"/>
    <w:rsid w:val="5AEF164B"/>
    <w:rsid w:val="5B0A0488"/>
    <w:rsid w:val="5B0B56F2"/>
    <w:rsid w:val="5B302F1D"/>
    <w:rsid w:val="5B4517BC"/>
    <w:rsid w:val="5B45649D"/>
    <w:rsid w:val="5B7867FE"/>
    <w:rsid w:val="5B93596F"/>
    <w:rsid w:val="5B962018"/>
    <w:rsid w:val="5B9B5BB1"/>
    <w:rsid w:val="5BA6426A"/>
    <w:rsid w:val="5BC00CCD"/>
    <w:rsid w:val="5BC05AB7"/>
    <w:rsid w:val="5BC77B22"/>
    <w:rsid w:val="5BCF67C8"/>
    <w:rsid w:val="5BD24C93"/>
    <w:rsid w:val="5BD300B0"/>
    <w:rsid w:val="5BDF6A17"/>
    <w:rsid w:val="5BE4591E"/>
    <w:rsid w:val="5BFD2B37"/>
    <w:rsid w:val="5BFF111E"/>
    <w:rsid w:val="5C0F1378"/>
    <w:rsid w:val="5C2D0220"/>
    <w:rsid w:val="5C3C2208"/>
    <w:rsid w:val="5C613397"/>
    <w:rsid w:val="5C6A3A54"/>
    <w:rsid w:val="5C870D55"/>
    <w:rsid w:val="5C89544A"/>
    <w:rsid w:val="5C9343CF"/>
    <w:rsid w:val="5C9C6018"/>
    <w:rsid w:val="5CB56906"/>
    <w:rsid w:val="5CCC5E30"/>
    <w:rsid w:val="5CFB2C3A"/>
    <w:rsid w:val="5D041EC1"/>
    <w:rsid w:val="5D0E60C6"/>
    <w:rsid w:val="5D177948"/>
    <w:rsid w:val="5D3B0458"/>
    <w:rsid w:val="5D3F0ADC"/>
    <w:rsid w:val="5D4905C6"/>
    <w:rsid w:val="5D543C23"/>
    <w:rsid w:val="5D553453"/>
    <w:rsid w:val="5D7742B2"/>
    <w:rsid w:val="5D8A3936"/>
    <w:rsid w:val="5D9016EB"/>
    <w:rsid w:val="5D9D209E"/>
    <w:rsid w:val="5DAC3F6C"/>
    <w:rsid w:val="5DAF18EF"/>
    <w:rsid w:val="5DB5497B"/>
    <w:rsid w:val="5DCD44BB"/>
    <w:rsid w:val="5DCF5945"/>
    <w:rsid w:val="5DE60D56"/>
    <w:rsid w:val="5DEC6C9A"/>
    <w:rsid w:val="5DEF7DFE"/>
    <w:rsid w:val="5DFE2652"/>
    <w:rsid w:val="5E2B68AE"/>
    <w:rsid w:val="5E3009FC"/>
    <w:rsid w:val="5E4734BD"/>
    <w:rsid w:val="5E4B6A5E"/>
    <w:rsid w:val="5E4E6E51"/>
    <w:rsid w:val="5E55524A"/>
    <w:rsid w:val="5E591B01"/>
    <w:rsid w:val="5E5B35DF"/>
    <w:rsid w:val="5E6710C0"/>
    <w:rsid w:val="5EAE36A7"/>
    <w:rsid w:val="5EC103BA"/>
    <w:rsid w:val="5EC42A58"/>
    <w:rsid w:val="5EC9618C"/>
    <w:rsid w:val="5ECC17B8"/>
    <w:rsid w:val="5ECC48FE"/>
    <w:rsid w:val="5EE27322"/>
    <w:rsid w:val="5EE754CD"/>
    <w:rsid w:val="5EF90F38"/>
    <w:rsid w:val="5EFC3DF3"/>
    <w:rsid w:val="5EFE7729"/>
    <w:rsid w:val="5F1A7C45"/>
    <w:rsid w:val="5F1B1311"/>
    <w:rsid w:val="5F271781"/>
    <w:rsid w:val="5F2C7703"/>
    <w:rsid w:val="5F2D3BA7"/>
    <w:rsid w:val="5F2E2567"/>
    <w:rsid w:val="5F351466"/>
    <w:rsid w:val="5F3B7088"/>
    <w:rsid w:val="5F3F7F9F"/>
    <w:rsid w:val="5F491204"/>
    <w:rsid w:val="5F4A2300"/>
    <w:rsid w:val="5F4C7B97"/>
    <w:rsid w:val="5F5B2D8E"/>
    <w:rsid w:val="5F5D7871"/>
    <w:rsid w:val="5F6D308F"/>
    <w:rsid w:val="5F85579E"/>
    <w:rsid w:val="5F9C378D"/>
    <w:rsid w:val="5FAE34C2"/>
    <w:rsid w:val="5FD40276"/>
    <w:rsid w:val="60175CD6"/>
    <w:rsid w:val="60176AA2"/>
    <w:rsid w:val="601B28E3"/>
    <w:rsid w:val="602F7308"/>
    <w:rsid w:val="60363E97"/>
    <w:rsid w:val="60390891"/>
    <w:rsid w:val="603B57E2"/>
    <w:rsid w:val="605F45E6"/>
    <w:rsid w:val="60622D18"/>
    <w:rsid w:val="608150AB"/>
    <w:rsid w:val="608B2B9F"/>
    <w:rsid w:val="60A56859"/>
    <w:rsid w:val="60C12F3B"/>
    <w:rsid w:val="60C446F4"/>
    <w:rsid w:val="60EF4639"/>
    <w:rsid w:val="60FB1462"/>
    <w:rsid w:val="6103342C"/>
    <w:rsid w:val="61091F0D"/>
    <w:rsid w:val="610F55B4"/>
    <w:rsid w:val="61133CE2"/>
    <w:rsid w:val="611B0D02"/>
    <w:rsid w:val="61412EF8"/>
    <w:rsid w:val="614A3941"/>
    <w:rsid w:val="6153051A"/>
    <w:rsid w:val="6171354E"/>
    <w:rsid w:val="617D5CB0"/>
    <w:rsid w:val="6181266C"/>
    <w:rsid w:val="619D5852"/>
    <w:rsid w:val="61BD0587"/>
    <w:rsid w:val="61E118C0"/>
    <w:rsid w:val="61E138C1"/>
    <w:rsid w:val="61E84C4F"/>
    <w:rsid w:val="61F5523D"/>
    <w:rsid w:val="61FD7A76"/>
    <w:rsid w:val="6205712F"/>
    <w:rsid w:val="62211BE9"/>
    <w:rsid w:val="622A170C"/>
    <w:rsid w:val="623B6AF5"/>
    <w:rsid w:val="624E6C49"/>
    <w:rsid w:val="625E4148"/>
    <w:rsid w:val="626B73B4"/>
    <w:rsid w:val="628C1DFF"/>
    <w:rsid w:val="62B01EDB"/>
    <w:rsid w:val="62C63218"/>
    <w:rsid w:val="62CE4523"/>
    <w:rsid w:val="62D42335"/>
    <w:rsid w:val="62D90A3C"/>
    <w:rsid w:val="630519E9"/>
    <w:rsid w:val="630E2DDB"/>
    <w:rsid w:val="631B4BDA"/>
    <w:rsid w:val="633F7843"/>
    <w:rsid w:val="635762C5"/>
    <w:rsid w:val="636A6E94"/>
    <w:rsid w:val="636E2B43"/>
    <w:rsid w:val="637800E7"/>
    <w:rsid w:val="63881923"/>
    <w:rsid w:val="638C6885"/>
    <w:rsid w:val="638E1B1D"/>
    <w:rsid w:val="63955C1C"/>
    <w:rsid w:val="63A54F9A"/>
    <w:rsid w:val="63A73745"/>
    <w:rsid w:val="63AB6485"/>
    <w:rsid w:val="63B11F64"/>
    <w:rsid w:val="63B96F1D"/>
    <w:rsid w:val="63C86ED4"/>
    <w:rsid w:val="63D97AF2"/>
    <w:rsid w:val="63E42C7A"/>
    <w:rsid w:val="640A46DE"/>
    <w:rsid w:val="64497757"/>
    <w:rsid w:val="644F5438"/>
    <w:rsid w:val="646123A7"/>
    <w:rsid w:val="646131EC"/>
    <w:rsid w:val="64632645"/>
    <w:rsid w:val="647457D7"/>
    <w:rsid w:val="64750192"/>
    <w:rsid w:val="647629E6"/>
    <w:rsid w:val="647E6AED"/>
    <w:rsid w:val="64920E2E"/>
    <w:rsid w:val="64D2459F"/>
    <w:rsid w:val="64FE57AC"/>
    <w:rsid w:val="650F05CF"/>
    <w:rsid w:val="652D5DD2"/>
    <w:rsid w:val="65443130"/>
    <w:rsid w:val="655C0A23"/>
    <w:rsid w:val="656312A4"/>
    <w:rsid w:val="657440BC"/>
    <w:rsid w:val="6578399B"/>
    <w:rsid w:val="65805B12"/>
    <w:rsid w:val="65A60BFC"/>
    <w:rsid w:val="65AA65AA"/>
    <w:rsid w:val="65B102F2"/>
    <w:rsid w:val="65B306B7"/>
    <w:rsid w:val="65E85644"/>
    <w:rsid w:val="65EC24A8"/>
    <w:rsid w:val="66031BF7"/>
    <w:rsid w:val="660D3C59"/>
    <w:rsid w:val="660E5149"/>
    <w:rsid w:val="661805B7"/>
    <w:rsid w:val="66596772"/>
    <w:rsid w:val="665F456B"/>
    <w:rsid w:val="665F7066"/>
    <w:rsid w:val="667C27A2"/>
    <w:rsid w:val="66977FB4"/>
    <w:rsid w:val="669C2227"/>
    <w:rsid w:val="66B22778"/>
    <w:rsid w:val="66C14E4C"/>
    <w:rsid w:val="66C919D8"/>
    <w:rsid w:val="66D13E94"/>
    <w:rsid w:val="66DE67BA"/>
    <w:rsid w:val="66EC4ECA"/>
    <w:rsid w:val="66FC0C0B"/>
    <w:rsid w:val="67155475"/>
    <w:rsid w:val="671E08B8"/>
    <w:rsid w:val="67331989"/>
    <w:rsid w:val="673D6C9C"/>
    <w:rsid w:val="673E3563"/>
    <w:rsid w:val="674F332C"/>
    <w:rsid w:val="67513297"/>
    <w:rsid w:val="675576FD"/>
    <w:rsid w:val="675E4FFF"/>
    <w:rsid w:val="6767437B"/>
    <w:rsid w:val="677D41BB"/>
    <w:rsid w:val="678361F0"/>
    <w:rsid w:val="678C27B2"/>
    <w:rsid w:val="67A65467"/>
    <w:rsid w:val="67AE678D"/>
    <w:rsid w:val="67C2064C"/>
    <w:rsid w:val="67C43F9F"/>
    <w:rsid w:val="67CB129B"/>
    <w:rsid w:val="67D86D04"/>
    <w:rsid w:val="67D93C36"/>
    <w:rsid w:val="67E529B9"/>
    <w:rsid w:val="67F642A8"/>
    <w:rsid w:val="67FC31EB"/>
    <w:rsid w:val="68005439"/>
    <w:rsid w:val="681B26FF"/>
    <w:rsid w:val="681B5058"/>
    <w:rsid w:val="6837285A"/>
    <w:rsid w:val="6837462A"/>
    <w:rsid w:val="6845676F"/>
    <w:rsid w:val="684E42D6"/>
    <w:rsid w:val="6850348E"/>
    <w:rsid w:val="685D03B3"/>
    <w:rsid w:val="68735C46"/>
    <w:rsid w:val="689B36B4"/>
    <w:rsid w:val="68B70904"/>
    <w:rsid w:val="68B82399"/>
    <w:rsid w:val="68C11A05"/>
    <w:rsid w:val="68DD095F"/>
    <w:rsid w:val="68E34CC9"/>
    <w:rsid w:val="68E915CB"/>
    <w:rsid w:val="68EB37DA"/>
    <w:rsid w:val="68FE2E31"/>
    <w:rsid w:val="6907144C"/>
    <w:rsid w:val="69093839"/>
    <w:rsid w:val="690F6F65"/>
    <w:rsid w:val="691B0299"/>
    <w:rsid w:val="692A1212"/>
    <w:rsid w:val="69635503"/>
    <w:rsid w:val="698B44E9"/>
    <w:rsid w:val="698F00A6"/>
    <w:rsid w:val="699B2EA1"/>
    <w:rsid w:val="69AD2EE5"/>
    <w:rsid w:val="69BE295F"/>
    <w:rsid w:val="69BF676C"/>
    <w:rsid w:val="69D41C43"/>
    <w:rsid w:val="69E470BB"/>
    <w:rsid w:val="6A0741F9"/>
    <w:rsid w:val="6A1367AA"/>
    <w:rsid w:val="6A24568A"/>
    <w:rsid w:val="6A3B1469"/>
    <w:rsid w:val="6A436FC0"/>
    <w:rsid w:val="6A437819"/>
    <w:rsid w:val="6A542BBC"/>
    <w:rsid w:val="6A582B8E"/>
    <w:rsid w:val="6A5E03C4"/>
    <w:rsid w:val="6A6418AC"/>
    <w:rsid w:val="6A900319"/>
    <w:rsid w:val="6A990553"/>
    <w:rsid w:val="6A9E7E16"/>
    <w:rsid w:val="6AA51CD7"/>
    <w:rsid w:val="6ABB2A86"/>
    <w:rsid w:val="6ABD24E1"/>
    <w:rsid w:val="6AD86CBB"/>
    <w:rsid w:val="6AE27F15"/>
    <w:rsid w:val="6AF76F45"/>
    <w:rsid w:val="6B017035"/>
    <w:rsid w:val="6B0B11CE"/>
    <w:rsid w:val="6B272C8C"/>
    <w:rsid w:val="6B276EC5"/>
    <w:rsid w:val="6B3A49F9"/>
    <w:rsid w:val="6B3C298D"/>
    <w:rsid w:val="6B483769"/>
    <w:rsid w:val="6B5477F9"/>
    <w:rsid w:val="6B6709FE"/>
    <w:rsid w:val="6B761DFE"/>
    <w:rsid w:val="6B7D3275"/>
    <w:rsid w:val="6B7F6055"/>
    <w:rsid w:val="6B9609AA"/>
    <w:rsid w:val="6B9C0A17"/>
    <w:rsid w:val="6BB04AC5"/>
    <w:rsid w:val="6BB30B00"/>
    <w:rsid w:val="6BB668A2"/>
    <w:rsid w:val="6BE61148"/>
    <w:rsid w:val="6BE770D4"/>
    <w:rsid w:val="6BE92621"/>
    <w:rsid w:val="6BF66243"/>
    <w:rsid w:val="6C031CBB"/>
    <w:rsid w:val="6C1702B5"/>
    <w:rsid w:val="6C1D2B12"/>
    <w:rsid w:val="6C5C0714"/>
    <w:rsid w:val="6C6A77E5"/>
    <w:rsid w:val="6C763430"/>
    <w:rsid w:val="6C940AC5"/>
    <w:rsid w:val="6C970312"/>
    <w:rsid w:val="6CB02608"/>
    <w:rsid w:val="6CBB577E"/>
    <w:rsid w:val="6CC83FFB"/>
    <w:rsid w:val="6CD72490"/>
    <w:rsid w:val="6CE12B30"/>
    <w:rsid w:val="6CFE17CB"/>
    <w:rsid w:val="6D035FE0"/>
    <w:rsid w:val="6D0674E7"/>
    <w:rsid w:val="6D322BEA"/>
    <w:rsid w:val="6D380E8D"/>
    <w:rsid w:val="6D3A4E80"/>
    <w:rsid w:val="6D425D67"/>
    <w:rsid w:val="6D5E2EF3"/>
    <w:rsid w:val="6D5F0757"/>
    <w:rsid w:val="6D655CEE"/>
    <w:rsid w:val="6D6B7309"/>
    <w:rsid w:val="6D701218"/>
    <w:rsid w:val="6D8B1F81"/>
    <w:rsid w:val="6DB33A0F"/>
    <w:rsid w:val="6DB64F2C"/>
    <w:rsid w:val="6DBB6589"/>
    <w:rsid w:val="6DBE6F7F"/>
    <w:rsid w:val="6DC224C2"/>
    <w:rsid w:val="6E0E5C0E"/>
    <w:rsid w:val="6E127679"/>
    <w:rsid w:val="6E142EBC"/>
    <w:rsid w:val="6E241705"/>
    <w:rsid w:val="6E5531BA"/>
    <w:rsid w:val="6E5747E6"/>
    <w:rsid w:val="6E744C81"/>
    <w:rsid w:val="6E807EB5"/>
    <w:rsid w:val="6E852F1E"/>
    <w:rsid w:val="6E8F2E2C"/>
    <w:rsid w:val="6E97067C"/>
    <w:rsid w:val="6EC358D5"/>
    <w:rsid w:val="6EDC6BD5"/>
    <w:rsid w:val="6EEF7DCD"/>
    <w:rsid w:val="6EF00A50"/>
    <w:rsid w:val="6EF7570C"/>
    <w:rsid w:val="6F03131A"/>
    <w:rsid w:val="6F046B44"/>
    <w:rsid w:val="6F1827F6"/>
    <w:rsid w:val="6F2302FC"/>
    <w:rsid w:val="6F38057D"/>
    <w:rsid w:val="6F457B85"/>
    <w:rsid w:val="6F5A590F"/>
    <w:rsid w:val="6F7E14CD"/>
    <w:rsid w:val="6F8D0341"/>
    <w:rsid w:val="6FA5324C"/>
    <w:rsid w:val="6FB57B39"/>
    <w:rsid w:val="6FC94DB9"/>
    <w:rsid w:val="6FE4739E"/>
    <w:rsid w:val="6FF53AEB"/>
    <w:rsid w:val="7010062E"/>
    <w:rsid w:val="7012014B"/>
    <w:rsid w:val="70136605"/>
    <w:rsid w:val="70227EC6"/>
    <w:rsid w:val="7025072D"/>
    <w:rsid w:val="70343755"/>
    <w:rsid w:val="70440B5E"/>
    <w:rsid w:val="70616401"/>
    <w:rsid w:val="70691FFA"/>
    <w:rsid w:val="7093092F"/>
    <w:rsid w:val="70B140BC"/>
    <w:rsid w:val="70BF0E52"/>
    <w:rsid w:val="70C1692E"/>
    <w:rsid w:val="70D965B6"/>
    <w:rsid w:val="70DB4644"/>
    <w:rsid w:val="70F03F2C"/>
    <w:rsid w:val="70F70DA5"/>
    <w:rsid w:val="70F80823"/>
    <w:rsid w:val="70FB0062"/>
    <w:rsid w:val="71135193"/>
    <w:rsid w:val="713E301F"/>
    <w:rsid w:val="714B51FB"/>
    <w:rsid w:val="715478BD"/>
    <w:rsid w:val="715A3430"/>
    <w:rsid w:val="71620FC4"/>
    <w:rsid w:val="71693B7D"/>
    <w:rsid w:val="716A5473"/>
    <w:rsid w:val="717209D9"/>
    <w:rsid w:val="719F47DB"/>
    <w:rsid w:val="71B237A2"/>
    <w:rsid w:val="71D5081C"/>
    <w:rsid w:val="71DF7FAB"/>
    <w:rsid w:val="71E3683B"/>
    <w:rsid w:val="71EC03A8"/>
    <w:rsid w:val="71ED1E0E"/>
    <w:rsid w:val="71EE2B01"/>
    <w:rsid w:val="71FB6DD9"/>
    <w:rsid w:val="722117A8"/>
    <w:rsid w:val="723D1D16"/>
    <w:rsid w:val="72423204"/>
    <w:rsid w:val="72483C67"/>
    <w:rsid w:val="72561EC2"/>
    <w:rsid w:val="7264196C"/>
    <w:rsid w:val="7276200C"/>
    <w:rsid w:val="72A113A0"/>
    <w:rsid w:val="72A22524"/>
    <w:rsid w:val="72B110AA"/>
    <w:rsid w:val="72C614C6"/>
    <w:rsid w:val="72D16AD6"/>
    <w:rsid w:val="72EC0BBC"/>
    <w:rsid w:val="72F04E51"/>
    <w:rsid w:val="72F47418"/>
    <w:rsid w:val="72FC2F08"/>
    <w:rsid w:val="72FD2C27"/>
    <w:rsid w:val="730337E7"/>
    <w:rsid w:val="73083368"/>
    <w:rsid w:val="730F7414"/>
    <w:rsid w:val="73255192"/>
    <w:rsid w:val="7334590B"/>
    <w:rsid w:val="733B652E"/>
    <w:rsid w:val="734E649F"/>
    <w:rsid w:val="73506D73"/>
    <w:rsid w:val="73647ED3"/>
    <w:rsid w:val="736E0477"/>
    <w:rsid w:val="73700F48"/>
    <w:rsid w:val="7370509D"/>
    <w:rsid w:val="737138B7"/>
    <w:rsid w:val="737C5B3F"/>
    <w:rsid w:val="73872549"/>
    <w:rsid w:val="739254C9"/>
    <w:rsid w:val="739B65CC"/>
    <w:rsid w:val="739C0639"/>
    <w:rsid w:val="739E2B0F"/>
    <w:rsid w:val="73A10DE4"/>
    <w:rsid w:val="73AD10F7"/>
    <w:rsid w:val="73AF381F"/>
    <w:rsid w:val="73B13622"/>
    <w:rsid w:val="73EC112F"/>
    <w:rsid w:val="73EF53F8"/>
    <w:rsid w:val="73F146FB"/>
    <w:rsid w:val="73F51C2A"/>
    <w:rsid w:val="74075128"/>
    <w:rsid w:val="741C52DC"/>
    <w:rsid w:val="7431692A"/>
    <w:rsid w:val="743367DA"/>
    <w:rsid w:val="74394EF6"/>
    <w:rsid w:val="74615DFE"/>
    <w:rsid w:val="746E65E8"/>
    <w:rsid w:val="74785E72"/>
    <w:rsid w:val="74A806A4"/>
    <w:rsid w:val="74A97FED"/>
    <w:rsid w:val="74C30C7A"/>
    <w:rsid w:val="74D01DEA"/>
    <w:rsid w:val="74D34EE4"/>
    <w:rsid w:val="74E14B96"/>
    <w:rsid w:val="74FE7100"/>
    <w:rsid w:val="750529EE"/>
    <w:rsid w:val="75060784"/>
    <w:rsid w:val="75084EEC"/>
    <w:rsid w:val="750C3A82"/>
    <w:rsid w:val="753D4E5A"/>
    <w:rsid w:val="754353CB"/>
    <w:rsid w:val="754C59EE"/>
    <w:rsid w:val="75614DF1"/>
    <w:rsid w:val="75641978"/>
    <w:rsid w:val="75680100"/>
    <w:rsid w:val="759251A6"/>
    <w:rsid w:val="759A0D5D"/>
    <w:rsid w:val="75A55F2F"/>
    <w:rsid w:val="75AC68CF"/>
    <w:rsid w:val="75B25B4E"/>
    <w:rsid w:val="75B37527"/>
    <w:rsid w:val="75C556E6"/>
    <w:rsid w:val="75C8075C"/>
    <w:rsid w:val="75D32F77"/>
    <w:rsid w:val="75D65F1F"/>
    <w:rsid w:val="75D971F0"/>
    <w:rsid w:val="75F15B98"/>
    <w:rsid w:val="75F7704D"/>
    <w:rsid w:val="760747EF"/>
    <w:rsid w:val="7625601A"/>
    <w:rsid w:val="762B3034"/>
    <w:rsid w:val="7633645C"/>
    <w:rsid w:val="764F12E9"/>
    <w:rsid w:val="76566613"/>
    <w:rsid w:val="76586F31"/>
    <w:rsid w:val="765A2A81"/>
    <w:rsid w:val="767D4440"/>
    <w:rsid w:val="7685534A"/>
    <w:rsid w:val="76C26C95"/>
    <w:rsid w:val="76CD6368"/>
    <w:rsid w:val="76E81F3B"/>
    <w:rsid w:val="76EB23BB"/>
    <w:rsid w:val="76EC2BE5"/>
    <w:rsid w:val="76F718F2"/>
    <w:rsid w:val="77001118"/>
    <w:rsid w:val="770245AD"/>
    <w:rsid w:val="771F1C49"/>
    <w:rsid w:val="77371ED5"/>
    <w:rsid w:val="77506DA4"/>
    <w:rsid w:val="7752444E"/>
    <w:rsid w:val="776173AA"/>
    <w:rsid w:val="77707E71"/>
    <w:rsid w:val="7773561C"/>
    <w:rsid w:val="777C610E"/>
    <w:rsid w:val="77980C5E"/>
    <w:rsid w:val="77A00FC9"/>
    <w:rsid w:val="77A17922"/>
    <w:rsid w:val="77A64BCF"/>
    <w:rsid w:val="77A878D8"/>
    <w:rsid w:val="77A95D9E"/>
    <w:rsid w:val="77AF4DEB"/>
    <w:rsid w:val="77B10EBC"/>
    <w:rsid w:val="77C65209"/>
    <w:rsid w:val="77DA5287"/>
    <w:rsid w:val="77DB40E7"/>
    <w:rsid w:val="77E97FEE"/>
    <w:rsid w:val="780B1F1C"/>
    <w:rsid w:val="78260158"/>
    <w:rsid w:val="782868C6"/>
    <w:rsid w:val="782D7C8B"/>
    <w:rsid w:val="783D4453"/>
    <w:rsid w:val="78523340"/>
    <w:rsid w:val="785463C9"/>
    <w:rsid w:val="78563F05"/>
    <w:rsid w:val="78677429"/>
    <w:rsid w:val="786F7741"/>
    <w:rsid w:val="7874477B"/>
    <w:rsid w:val="787B63C5"/>
    <w:rsid w:val="78811F56"/>
    <w:rsid w:val="78834F0C"/>
    <w:rsid w:val="789A2C7F"/>
    <w:rsid w:val="78A83F35"/>
    <w:rsid w:val="78AF6B87"/>
    <w:rsid w:val="78F733EA"/>
    <w:rsid w:val="790D56E5"/>
    <w:rsid w:val="79100524"/>
    <w:rsid w:val="7914093E"/>
    <w:rsid w:val="79222CE5"/>
    <w:rsid w:val="79256331"/>
    <w:rsid w:val="792D293F"/>
    <w:rsid w:val="792D7B17"/>
    <w:rsid w:val="7940600F"/>
    <w:rsid w:val="794A6ED9"/>
    <w:rsid w:val="794E1506"/>
    <w:rsid w:val="794F75FA"/>
    <w:rsid w:val="79597D43"/>
    <w:rsid w:val="795E62D7"/>
    <w:rsid w:val="795F1479"/>
    <w:rsid w:val="796030E3"/>
    <w:rsid w:val="796C44C2"/>
    <w:rsid w:val="797850DB"/>
    <w:rsid w:val="797A05F9"/>
    <w:rsid w:val="797D28D3"/>
    <w:rsid w:val="79871991"/>
    <w:rsid w:val="798A66C9"/>
    <w:rsid w:val="79933DC1"/>
    <w:rsid w:val="799930AF"/>
    <w:rsid w:val="79A61611"/>
    <w:rsid w:val="79AE792D"/>
    <w:rsid w:val="79AF65AB"/>
    <w:rsid w:val="79B30025"/>
    <w:rsid w:val="79C3243C"/>
    <w:rsid w:val="79C923B8"/>
    <w:rsid w:val="79C93160"/>
    <w:rsid w:val="79ED26D6"/>
    <w:rsid w:val="79F338BE"/>
    <w:rsid w:val="79F41B44"/>
    <w:rsid w:val="7A004DE7"/>
    <w:rsid w:val="7A0763B9"/>
    <w:rsid w:val="7A234912"/>
    <w:rsid w:val="7A3339A4"/>
    <w:rsid w:val="7A474C6A"/>
    <w:rsid w:val="7A4961C9"/>
    <w:rsid w:val="7A6A3213"/>
    <w:rsid w:val="7A70733F"/>
    <w:rsid w:val="7A7A4749"/>
    <w:rsid w:val="7AB57062"/>
    <w:rsid w:val="7AD938F0"/>
    <w:rsid w:val="7AEE6C00"/>
    <w:rsid w:val="7B280207"/>
    <w:rsid w:val="7B2C2CB2"/>
    <w:rsid w:val="7B3F0A1A"/>
    <w:rsid w:val="7B512E8E"/>
    <w:rsid w:val="7B675A8C"/>
    <w:rsid w:val="7B6C6ABF"/>
    <w:rsid w:val="7B786BEC"/>
    <w:rsid w:val="7BC27391"/>
    <w:rsid w:val="7BD87353"/>
    <w:rsid w:val="7BFB3162"/>
    <w:rsid w:val="7C004F21"/>
    <w:rsid w:val="7C1310B0"/>
    <w:rsid w:val="7C1831D3"/>
    <w:rsid w:val="7C4860C0"/>
    <w:rsid w:val="7C522078"/>
    <w:rsid w:val="7C7C1DFD"/>
    <w:rsid w:val="7C8B12AC"/>
    <w:rsid w:val="7C8D592C"/>
    <w:rsid w:val="7C9B0A23"/>
    <w:rsid w:val="7CD63AD8"/>
    <w:rsid w:val="7CE907EF"/>
    <w:rsid w:val="7CF45FD7"/>
    <w:rsid w:val="7D0C3904"/>
    <w:rsid w:val="7D1C455C"/>
    <w:rsid w:val="7D3A314A"/>
    <w:rsid w:val="7D441D37"/>
    <w:rsid w:val="7D45505E"/>
    <w:rsid w:val="7D6D57D7"/>
    <w:rsid w:val="7D7D2BE0"/>
    <w:rsid w:val="7D864059"/>
    <w:rsid w:val="7D8B4115"/>
    <w:rsid w:val="7D8D7EE2"/>
    <w:rsid w:val="7D9B13EB"/>
    <w:rsid w:val="7D9C2102"/>
    <w:rsid w:val="7DB95C4B"/>
    <w:rsid w:val="7DCB3532"/>
    <w:rsid w:val="7DD85570"/>
    <w:rsid w:val="7DE844FD"/>
    <w:rsid w:val="7DE86126"/>
    <w:rsid w:val="7DF11A0E"/>
    <w:rsid w:val="7DF31C30"/>
    <w:rsid w:val="7E03516E"/>
    <w:rsid w:val="7E13767C"/>
    <w:rsid w:val="7E1E0BC2"/>
    <w:rsid w:val="7E2B06DF"/>
    <w:rsid w:val="7E307C52"/>
    <w:rsid w:val="7E35421C"/>
    <w:rsid w:val="7E5474D7"/>
    <w:rsid w:val="7E5E6533"/>
    <w:rsid w:val="7E68747F"/>
    <w:rsid w:val="7E884C43"/>
    <w:rsid w:val="7E9C60C5"/>
    <w:rsid w:val="7E9F7AF1"/>
    <w:rsid w:val="7EA63B2E"/>
    <w:rsid w:val="7EB1265D"/>
    <w:rsid w:val="7ECA2953"/>
    <w:rsid w:val="7F0035BE"/>
    <w:rsid w:val="7F032C71"/>
    <w:rsid w:val="7F0541BD"/>
    <w:rsid w:val="7F130A77"/>
    <w:rsid w:val="7F15199F"/>
    <w:rsid w:val="7F175454"/>
    <w:rsid w:val="7F1D2427"/>
    <w:rsid w:val="7F2B605D"/>
    <w:rsid w:val="7F3065FB"/>
    <w:rsid w:val="7F4D1D3C"/>
    <w:rsid w:val="7F6B26B8"/>
    <w:rsid w:val="7F7A51D0"/>
    <w:rsid w:val="7F967119"/>
    <w:rsid w:val="7FBB2356"/>
    <w:rsid w:val="7FE75998"/>
    <w:rsid w:val="7FF31F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nhideWhenUsed="0" w:uiPriority="0" w:semiHidden="0" w:name="toc 9"/>
    <w:lsdException w:unhideWhenUsed="0" w:uiPriority="0" w:semiHidden="0" w:name="Normal Indent"/>
    <w:lsdException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iPriority="0" w:semiHidden="0" w:name="Body Text First Indent 2"/>
    <w:lsdException w:uiPriority="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iPriority="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0" w:name="E-mail Signature"/>
    <w:lsdException w:unhideWhenUsed="0" w:uiPriority="0" w:semiHidden="0" w:name="Normal (Web)"/>
    <w:lsdException w:unhideWhenUsed="0" w:uiPriority="0" w:semiHidden="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spacing w:line="360" w:lineRule="auto"/>
      <w:ind w:firstLine="1044" w:firstLineChars="200"/>
    </w:pPr>
    <w:rPr>
      <w:rFonts w:ascii="Times New Roman" w:hAnsi="Times New Roman" w:eastAsia="宋体" w:cs="Times New Roman"/>
      <w:kern w:val="2"/>
      <w:sz w:val="24"/>
      <w:szCs w:val="24"/>
      <w:lang w:val="en-US" w:eastAsia="zh-CN" w:bidi="ar-SA"/>
    </w:rPr>
  </w:style>
  <w:style w:type="paragraph" w:styleId="4">
    <w:name w:val="heading 1"/>
    <w:basedOn w:val="1"/>
    <w:next w:val="1"/>
    <w:link w:val="25"/>
    <w:qFormat/>
    <w:uiPriority w:val="0"/>
    <w:pPr>
      <w:spacing w:line="360" w:lineRule="auto"/>
      <w:ind w:firstLine="0" w:firstLineChars="0"/>
      <w:jc w:val="left"/>
      <w:outlineLvl w:val="0"/>
    </w:pPr>
    <w:rPr>
      <w:rFonts w:ascii="Times New Roman" w:hAnsi="Times New Roman" w:eastAsia="宋体"/>
      <w:b/>
      <w:bCs/>
      <w:sz w:val="36"/>
      <w:szCs w:val="32"/>
    </w:rPr>
  </w:style>
  <w:style w:type="paragraph" w:styleId="5">
    <w:name w:val="heading 2"/>
    <w:basedOn w:val="1"/>
    <w:next w:val="1"/>
    <w:link w:val="29"/>
    <w:unhideWhenUsed/>
    <w:qFormat/>
    <w:uiPriority w:val="0"/>
    <w:pPr>
      <w:spacing w:line="360" w:lineRule="auto"/>
      <w:ind w:firstLine="0" w:firstLineChars="0"/>
      <w:outlineLvl w:val="1"/>
    </w:pPr>
    <w:rPr>
      <w:rFonts w:ascii="Times New Roman" w:hAnsi="Times New Roman" w:eastAsia="宋体"/>
      <w:b/>
      <w:sz w:val="28"/>
      <w:szCs w:val="28"/>
    </w:rPr>
  </w:style>
  <w:style w:type="paragraph" w:styleId="6">
    <w:name w:val="heading 3"/>
    <w:basedOn w:val="1"/>
    <w:next w:val="1"/>
    <w:link w:val="28"/>
    <w:unhideWhenUsed/>
    <w:qFormat/>
    <w:uiPriority w:val="0"/>
    <w:pPr>
      <w:keepNext/>
      <w:keepLines/>
      <w:spacing w:line="360" w:lineRule="auto"/>
      <w:ind w:firstLine="0" w:firstLineChars="0"/>
      <w:outlineLvl w:val="2"/>
    </w:pPr>
    <w:rPr>
      <w:rFonts w:ascii="Times New Roman" w:hAnsi="Times New Roman" w:eastAsia="宋体"/>
      <w:b/>
      <w:bCs/>
      <w:sz w:val="28"/>
      <w:szCs w:val="32"/>
    </w:rPr>
  </w:style>
  <w:style w:type="paragraph" w:styleId="7">
    <w:name w:val="heading 4"/>
    <w:basedOn w:val="1"/>
    <w:next w:val="1"/>
    <w:qFormat/>
    <w:uiPriority w:val="9"/>
    <w:pPr>
      <w:keepNext/>
      <w:keepLines/>
      <w:spacing w:line="360" w:lineRule="auto"/>
      <w:ind w:firstLine="0" w:firstLineChars="0"/>
      <w:outlineLvl w:val="3"/>
    </w:pPr>
    <w:rPr>
      <w:rFonts w:ascii="Cambria" w:hAnsi="Cambria" w:eastAsia="宋体"/>
      <w:b/>
      <w:bCs/>
      <w:sz w:val="24"/>
      <w:szCs w:val="28"/>
    </w:rPr>
  </w:style>
  <w:style w:type="character" w:default="1" w:styleId="21">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unhideWhenUsed/>
    <w:qFormat/>
    <w:uiPriority w:val="0"/>
    <w:pPr>
      <w:autoSpaceDE w:val="0"/>
      <w:autoSpaceDN w:val="0"/>
      <w:adjustRightInd w:val="0"/>
      <w:spacing w:beforeLines="0" w:afterLines="0"/>
    </w:pPr>
    <w:rPr>
      <w:rFonts w:hint="default" w:ascii="Arial Black" w:hAnsi="Arial Black"/>
      <w:sz w:val="21"/>
      <w:szCs w:val="24"/>
    </w:rPr>
  </w:style>
  <w:style w:type="paragraph" w:customStyle="1" w:styleId="3">
    <w:name w:val="纯文本1"/>
    <w:basedOn w:val="1"/>
    <w:qFormat/>
    <w:uiPriority w:val="0"/>
    <w:pPr>
      <w:adjustRightInd w:val="0"/>
    </w:pPr>
    <w:rPr>
      <w:rFonts w:ascii="宋体" w:hAnsi="Courier New"/>
      <w:szCs w:val="20"/>
    </w:rPr>
  </w:style>
  <w:style w:type="paragraph" w:styleId="8">
    <w:name w:val="Salutation"/>
    <w:basedOn w:val="1"/>
    <w:next w:val="1"/>
    <w:unhideWhenUsed/>
    <w:qFormat/>
    <w:uiPriority w:val="99"/>
    <w:rPr>
      <w:sz w:val="21"/>
    </w:rPr>
  </w:style>
  <w:style w:type="paragraph" w:styleId="9">
    <w:name w:val="Body Text"/>
    <w:basedOn w:val="1"/>
    <w:next w:val="1"/>
    <w:qFormat/>
    <w:uiPriority w:val="99"/>
    <w:pPr>
      <w:spacing w:line="240" w:lineRule="auto"/>
    </w:pPr>
  </w:style>
  <w:style w:type="paragraph" w:styleId="10">
    <w:name w:val="Body Text Indent"/>
    <w:basedOn w:val="1"/>
    <w:next w:val="11"/>
    <w:unhideWhenUsed/>
    <w:qFormat/>
    <w:uiPriority w:val="0"/>
    <w:pPr>
      <w:ind w:left="420" w:leftChars="200"/>
    </w:pPr>
    <w:rPr>
      <w:kern w:val="0"/>
    </w:rPr>
  </w:style>
  <w:style w:type="paragraph" w:customStyle="1" w:styleId="11">
    <w:name w:val="样式 正文文本缩进 + 行距: 1.5 倍行距"/>
    <w:basedOn w:val="10"/>
    <w:qFormat/>
    <w:uiPriority w:val="0"/>
    <w:pPr>
      <w:spacing w:after="120"/>
      <w:ind w:left="90" w:leftChars="32" w:firstLine="560"/>
    </w:pPr>
    <w:rPr>
      <w:rFonts w:ascii="Times New Roman" w:hAnsi="Times New Roman"/>
      <w:lang w:val="en-US"/>
    </w:rPr>
  </w:style>
  <w:style w:type="paragraph" w:styleId="12">
    <w:name w:val="Plain Text"/>
    <w:basedOn w:val="1"/>
    <w:next w:val="8"/>
    <w:qFormat/>
    <w:uiPriority w:val="0"/>
    <w:pPr>
      <w:wordWrap/>
      <w:adjustRightInd w:val="0"/>
      <w:spacing w:line="312" w:lineRule="atLeast"/>
      <w:ind w:firstLine="1032"/>
      <w:jc w:val="both"/>
      <w:textAlignment w:val="baseline"/>
    </w:pPr>
    <w:rPr>
      <w:rFonts w:ascii="宋体" w:hAnsi="Courier New" w:cs="宋体"/>
      <w:spacing w:val="-2"/>
      <w:kern w:val="0"/>
      <w:sz w:val="21"/>
      <w:szCs w:val="20"/>
    </w:rPr>
  </w:style>
  <w:style w:type="paragraph" w:styleId="13">
    <w:name w:val="Body Text Indent 2"/>
    <w:basedOn w:val="1"/>
    <w:next w:val="14"/>
    <w:qFormat/>
    <w:uiPriority w:val="0"/>
    <w:pPr>
      <w:spacing w:before="120" w:line="360" w:lineRule="auto"/>
      <w:ind w:firstLine="527"/>
    </w:pPr>
    <w:rPr>
      <w:sz w:val="24"/>
      <w:szCs w:val="20"/>
    </w:rPr>
  </w:style>
  <w:style w:type="paragraph" w:styleId="14">
    <w:name w:val="Body Text First Indent 2"/>
    <w:basedOn w:val="10"/>
    <w:next w:val="1"/>
    <w:unhideWhenUsed/>
    <w:qFormat/>
    <w:uiPriority w:val="0"/>
    <w:pPr>
      <w:widowControl/>
      <w:ind w:left="0" w:leftChars="0"/>
    </w:pPr>
    <w:rPr>
      <w:rFonts w:ascii="Arial" w:hAnsi="Arial"/>
      <w:sz w:val="20"/>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30"/>
    <w:qFormat/>
    <w:uiPriority w:val="0"/>
    <w:pPr>
      <w:keepNext/>
      <w:keepLines/>
      <w:snapToGrid w:val="0"/>
      <w:spacing w:line="480" w:lineRule="exact"/>
      <w:ind w:firstLine="482"/>
    </w:pPr>
    <w:rPr>
      <w:b/>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0">
    <w:name w:val="Table Theme"/>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Emphasis"/>
    <w:basedOn w:val="21"/>
    <w:qFormat/>
    <w:uiPriority w:val="0"/>
    <w:rPr>
      <w:i/>
    </w:rPr>
  </w:style>
  <w:style w:type="character" w:styleId="24">
    <w:name w:val="Hyperlink"/>
    <w:basedOn w:val="21"/>
    <w:qFormat/>
    <w:uiPriority w:val="0"/>
    <w:rPr>
      <w:color w:val="0000FF"/>
      <w:u w:val="single"/>
    </w:rPr>
  </w:style>
  <w:style w:type="character" w:customStyle="1" w:styleId="25">
    <w:name w:val="标题 1 Char"/>
    <w:link w:val="4"/>
    <w:qFormat/>
    <w:uiPriority w:val="0"/>
    <w:rPr>
      <w:rFonts w:ascii="Times New Roman" w:hAnsi="Times New Roman" w:eastAsia="宋体"/>
      <w:b/>
      <w:bCs/>
      <w:kern w:val="2"/>
      <w:sz w:val="36"/>
      <w:szCs w:val="32"/>
    </w:rPr>
  </w:style>
  <w:style w:type="paragraph" w:customStyle="1" w:styleId="2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7">
    <w:name w:val="表头"/>
    <w:basedOn w:val="1"/>
    <w:link w:val="34"/>
    <w:unhideWhenUsed/>
    <w:qFormat/>
    <w:uiPriority w:val="0"/>
    <w:pPr>
      <w:spacing w:line="240" w:lineRule="auto"/>
      <w:ind w:firstLine="0" w:firstLineChars="0"/>
      <w:jc w:val="center"/>
    </w:pPr>
    <w:rPr>
      <w:rFonts w:ascii="Times New Roman" w:hAnsi="Times New Roman" w:eastAsia="宋体"/>
      <w:b/>
      <w:kern w:val="0"/>
      <w:sz w:val="21"/>
      <w:szCs w:val="21"/>
    </w:rPr>
  </w:style>
  <w:style w:type="character" w:customStyle="1" w:styleId="28">
    <w:name w:val="标题 3 Char"/>
    <w:link w:val="6"/>
    <w:qFormat/>
    <w:uiPriority w:val="0"/>
    <w:rPr>
      <w:rFonts w:ascii="Times New Roman" w:hAnsi="Times New Roman" w:eastAsia="宋体" w:cs="Times New Roman"/>
      <w:b/>
      <w:bCs/>
      <w:kern w:val="2"/>
      <w:sz w:val="28"/>
      <w:szCs w:val="32"/>
    </w:rPr>
  </w:style>
  <w:style w:type="character" w:customStyle="1" w:styleId="29">
    <w:name w:val="标题 2 Char"/>
    <w:link w:val="5"/>
    <w:qFormat/>
    <w:uiPriority w:val="0"/>
    <w:rPr>
      <w:rFonts w:ascii="Times New Roman" w:hAnsi="Times New Roman" w:eastAsia="宋体"/>
      <w:b/>
      <w:kern w:val="2"/>
      <w:sz w:val="28"/>
      <w:szCs w:val="28"/>
    </w:rPr>
  </w:style>
  <w:style w:type="character" w:customStyle="1" w:styleId="30">
    <w:name w:val="副标题 Char"/>
    <w:link w:val="17"/>
    <w:qFormat/>
    <w:uiPriority w:val="0"/>
    <w:rPr>
      <w:rFonts w:eastAsia="宋体"/>
      <w:b/>
      <w:kern w:val="2"/>
      <w:sz w:val="24"/>
      <w:szCs w:val="24"/>
    </w:rPr>
  </w:style>
  <w:style w:type="table" w:customStyle="1" w:styleId="31">
    <w:name w:val="Table Normal"/>
    <w:unhideWhenUsed/>
    <w:qFormat/>
    <w:uiPriority w:val="0"/>
    <w:tblPr>
      <w:tblCellMar>
        <w:top w:w="0" w:type="dxa"/>
        <w:left w:w="0" w:type="dxa"/>
        <w:bottom w:w="0" w:type="dxa"/>
        <w:right w:w="0" w:type="dxa"/>
      </w:tblCellMar>
    </w:tblPr>
  </w:style>
  <w:style w:type="paragraph" w:customStyle="1" w:styleId="32">
    <w:name w:val="表内最终版"/>
    <w:basedOn w:val="33"/>
    <w:link w:val="44"/>
    <w:unhideWhenUsed/>
    <w:qFormat/>
    <w:uiPriority w:val="0"/>
    <w:pPr>
      <w:adjustRightInd w:val="0"/>
      <w:snapToGrid w:val="0"/>
      <w:spacing w:line="240" w:lineRule="auto"/>
      <w:ind w:firstLine="0" w:firstLineChars="0"/>
      <w:jc w:val="center"/>
      <w:textAlignment w:val="baseline"/>
    </w:pPr>
    <w:rPr>
      <w:rFonts w:ascii="Times New Roman" w:hAnsi="Times New Roman" w:eastAsia="宋体"/>
      <w:sz w:val="21"/>
    </w:rPr>
  </w:style>
  <w:style w:type="paragraph" w:customStyle="1" w:styleId="33">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character" w:customStyle="1" w:styleId="34">
    <w:name w:val="表头 Char"/>
    <w:link w:val="27"/>
    <w:qFormat/>
    <w:uiPriority w:val="0"/>
    <w:rPr>
      <w:rFonts w:ascii="Times New Roman" w:hAnsi="Times New Roman" w:eastAsia="宋体"/>
      <w:b/>
      <w:kern w:val="0"/>
      <w:sz w:val="21"/>
      <w:szCs w:val="21"/>
    </w:rPr>
  </w:style>
  <w:style w:type="paragraph" w:customStyle="1" w:styleId="35">
    <w:name w:val="WPSOffice手动目录 3"/>
    <w:qFormat/>
    <w:uiPriority w:val="0"/>
    <w:pPr>
      <w:ind w:left="480" w:leftChars="200"/>
    </w:pPr>
    <w:rPr>
      <w:rFonts w:ascii="Times New Roman" w:hAnsi="Times New Roman" w:eastAsia="宋体" w:cs="Times New Roman"/>
      <w:sz w:val="20"/>
      <w:szCs w:val="20"/>
    </w:rPr>
  </w:style>
  <w:style w:type="paragraph" w:customStyle="1" w:styleId="36">
    <w:name w:val="WPSOffice手动目录 2"/>
    <w:qFormat/>
    <w:uiPriority w:val="0"/>
    <w:pPr>
      <w:ind w:leftChars="0"/>
    </w:pPr>
    <w:rPr>
      <w:rFonts w:ascii="Times New Roman" w:hAnsi="Times New Roman" w:eastAsia="宋体" w:cs="Times New Roman"/>
      <w:sz w:val="20"/>
      <w:szCs w:val="20"/>
    </w:rPr>
  </w:style>
  <w:style w:type="paragraph" w:customStyle="1" w:styleId="37">
    <w:name w:val="表内正文"/>
    <w:basedOn w:val="1"/>
    <w:qFormat/>
    <w:uiPriority w:val="0"/>
    <w:pPr>
      <w:wordWrap w:val="0"/>
      <w:spacing w:line="360" w:lineRule="auto"/>
      <w:ind w:firstLine="0" w:firstLineChars="0"/>
      <w:jc w:val="left"/>
    </w:pPr>
    <w:rPr>
      <w:rFonts w:hint="eastAsia" w:ascii="Times New Roman" w:hAnsi="Times New Roman" w:eastAsia="宋体"/>
    </w:rPr>
  </w:style>
  <w:style w:type="paragraph" w:customStyle="1" w:styleId="38">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表内文字"/>
    <w:basedOn w:val="40"/>
    <w:qFormat/>
    <w:uiPriority w:val="0"/>
    <w:pPr>
      <w:autoSpaceDE w:val="0"/>
      <w:autoSpaceDN w:val="0"/>
      <w:adjustRightInd w:val="0"/>
      <w:spacing w:line="240" w:lineRule="auto"/>
      <w:ind w:firstLine="0" w:firstLineChars="0"/>
      <w:jc w:val="center"/>
    </w:pPr>
    <w:rPr>
      <w:rFonts w:ascii="Times New Roman" w:hAnsi="Times New Roman" w:eastAsia="宋体"/>
      <w:sz w:val="21"/>
      <w:szCs w:val="20"/>
    </w:rPr>
  </w:style>
  <w:style w:type="paragraph" w:customStyle="1" w:styleId="40">
    <w:name w:val="正文内容"/>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1">
    <w:name w:val="表格标题"/>
    <w:basedOn w:val="12"/>
    <w:qFormat/>
    <w:uiPriority w:val="0"/>
    <w:pPr>
      <w:ind w:firstLine="0" w:firstLineChars="0"/>
      <w:jc w:val="center"/>
    </w:pPr>
    <w:rPr>
      <w:rFonts w:hint="eastAsia"/>
      <w:b/>
    </w:rPr>
  </w:style>
  <w:style w:type="paragraph" w:customStyle="1" w:styleId="42">
    <w:name w:val="表格内容"/>
    <w:basedOn w:val="41"/>
    <w:next w:val="1"/>
    <w:qFormat/>
    <w:uiPriority w:val="0"/>
    <w:pPr>
      <w:spacing w:before="50" w:line="240" w:lineRule="auto"/>
    </w:pPr>
    <w:rPr>
      <w:rFonts w:ascii="Times New Roman" w:hAnsi="Times New Roman" w:cs="Times New Roman"/>
      <w:b w:val="0"/>
      <w:szCs w:val="18"/>
    </w:rPr>
  </w:style>
  <w:style w:type="paragraph" w:customStyle="1" w:styleId="43">
    <w:name w:val="小四正文"/>
    <w:basedOn w:val="1"/>
    <w:unhideWhenUsed/>
    <w:qFormat/>
    <w:uiPriority w:val="0"/>
    <w:pPr>
      <w:wordWrap w:val="0"/>
      <w:ind w:firstLine="480"/>
      <w:textAlignment w:val="bottom"/>
    </w:pPr>
    <w:rPr>
      <w:rFonts w:cs="宋体"/>
    </w:rPr>
  </w:style>
  <w:style w:type="character" w:customStyle="1" w:styleId="44">
    <w:name w:val="表内最终版 Char"/>
    <w:link w:val="32"/>
    <w:qFormat/>
    <w:uiPriority w:val="0"/>
    <w:rPr>
      <w:rFonts w:ascii="Times New Roman" w:hAnsi="Times New Roman" w:eastAsia="宋体"/>
      <w:sz w:val="21"/>
    </w:rPr>
  </w:style>
  <w:style w:type="paragraph" w:customStyle="1" w:styleId="45">
    <w:name w:val="五号居中一倍行距"/>
    <w:basedOn w:val="41"/>
    <w:next w:val="1"/>
    <w:unhideWhenUsed/>
    <w:qFormat/>
    <w:uiPriority w:val="0"/>
    <w:pPr>
      <w:wordWrap w:val="0"/>
      <w:snapToGrid w:val="0"/>
      <w:ind w:left="24" w:leftChars="10" w:right="24" w:rightChars="10"/>
    </w:pPr>
    <w:rPr>
      <w:b w:val="0"/>
      <w:sz w:val="21"/>
      <w:szCs w:val="21"/>
    </w:rPr>
  </w:style>
  <w:style w:type="character" w:customStyle="1" w:styleId="46">
    <w:name w:val="font41"/>
    <w:basedOn w:val="21"/>
    <w:qFormat/>
    <w:uiPriority w:val="0"/>
    <w:rPr>
      <w:rFonts w:hint="default" w:ascii="Times New Roman" w:hAnsi="Times New Roman" w:cs="Times New Roman"/>
      <w:color w:val="000000"/>
      <w:sz w:val="21"/>
      <w:szCs w:val="21"/>
      <w:u w:val="none"/>
      <w:vertAlign w:val="subscript"/>
    </w:rPr>
  </w:style>
  <w:style w:type="character" w:customStyle="1" w:styleId="47">
    <w:name w:val="font51"/>
    <w:basedOn w:val="21"/>
    <w:qFormat/>
    <w:uiPriority w:val="0"/>
    <w:rPr>
      <w:rFonts w:hint="default" w:ascii="Times New Roman" w:hAnsi="Times New Roman" w:cs="Times New Roman"/>
      <w:b/>
      <w:bCs/>
      <w:color w:val="000000"/>
      <w:sz w:val="21"/>
      <w:szCs w:val="21"/>
      <w:u w:val="none"/>
      <w:vertAlign w:val="subscript"/>
    </w:rPr>
  </w:style>
  <w:style w:type="character" w:customStyle="1" w:styleId="48">
    <w:name w:val="font31"/>
    <w:basedOn w:val="21"/>
    <w:qFormat/>
    <w:uiPriority w:val="0"/>
    <w:rPr>
      <w:rFonts w:hint="default" w:ascii="Times New Roman" w:hAnsi="Times New Roman" w:cs="Times New Roman"/>
      <w:b/>
      <w:bCs/>
      <w:color w:val="000000"/>
      <w:sz w:val="21"/>
      <w:szCs w:val="21"/>
      <w:u w:val="none"/>
    </w:rPr>
  </w:style>
  <w:style w:type="character" w:customStyle="1" w:styleId="49">
    <w:name w:val="font11"/>
    <w:basedOn w:val="21"/>
    <w:qFormat/>
    <w:uiPriority w:val="0"/>
    <w:rPr>
      <w:rFonts w:hint="eastAsia" w:ascii="宋体" w:hAnsi="宋体" w:eastAsia="宋体" w:cs="宋体"/>
      <w:b/>
      <w:bCs/>
      <w:color w:val="000000"/>
      <w:sz w:val="21"/>
      <w:szCs w:val="21"/>
      <w:u w:val="none"/>
    </w:rPr>
  </w:style>
  <w:style w:type="character" w:customStyle="1" w:styleId="50">
    <w:name w:val="font61"/>
    <w:basedOn w:val="21"/>
    <w:qFormat/>
    <w:uiPriority w:val="0"/>
    <w:rPr>
      <w:rFonts w:hint="default" w:ascii="Times New Roman" w:hAnsi="Times New Roman" w:cs="Times New Roman"/>
      <w:b/>
      <w:bCs/>
      <w:color w:val="000000"/>
      <w:sz w:val="21"/>
      <w:szCs w:val="21"/>
      <w:u w:val="none"/>
      <w:vertAlign w:val="superscript"/>
    </w:rPr>
  </w:style>
  <w:style w:type="paragraph" w:customStyle="1" w:styleId="51">
    <w:name w:val="Table Text"/>
    <w:basedOn w:val="1"/>
    <w:semiHidden/>
    <w:qFormat/>
    <w:uiPriority w:val="0"/>
    <w:rPr>
      <w:rFonts w:ascii="宋体" w:hAnsi="宋体" w:eastAsia="宋体" w:cs="宋体"/>
      <w:sz w:val="24"/>
      <w:szCs w:val="24"/>
      <w:lang w:val="en-US" w:eastAsia="en-US" w:bidi="ar-SA"/>
    </w:rPr>
  </w:style>
  <w:style w:type="character" w:customStyle="1" w:styleId="52">
    <w:name w:val="font21"/>
    <w:basedOn w:val="21"/>
    <w:qFormat/>
    <w:uiPriority w:val="0"/>
    <w:rPr>
      <w:rFonts w:hint="default" w:ascii="Times New Roman" w:hAnsi="Times New Roman" w:cs="Times New Roman"/>
      <w:color w:val="000000"/>
      <w:sz w:val="21"/>
      <w:szCs w:val="21"/>
      <w:u w:val="none"/>
    </w:rPr>
  </w:style>
  <w:style w:type="paragraph" w:customStyle="1" w:styleId="53">
    <w:name w:val="五号居中"/>
    <w:basedOn w:val="1"/>
    <w:next w:val="1"/>
    <w:link w:val="55"/>
    <w:qFormat/>
    <w:uiPriority w:val="0"/>
    <w:pPr>
      <w:snapToGrid w:val="0"/>
      <w:spacing w:beforeLines="10" w:afterLines="10" w:line="240" w:lineRule="auto"/>
      <w:ind w:left="24" w:leftChars="10" w:right="24" w:rightChars="10" w:firstLine="0" w:firstLineChars="0"/>
      <w:jc w:val="center"/>
      <w:textAlignment w:val="bottom"/>
    </w:pPr>
    <w:rPr>
      <w:spacing w:val="-2"/>
      <w:sz w:val="21"/>
      <w:szCs w:val="18"/>
    </w:rPr>
  </w:style>
  <w:style w:type="paragraph" w:customStyle="1" w:styleId="54">
    <w:name w:val="【表头】"/>
    <w:basedOn w:val="1"/>
    <w:next w:val="1"/>
    <w:unhideWhenUsed/>
    <w:qFormat/>
    <w:uiPriority w:val="0"/>
    <w:pPr>
      <w:spacing w:line="240" w:lineRule="auto"/>
      <w:ind w:firstLine="0" w:firstLineChars="0"/>
      <w:jc w:val="center"/>
    </w:pPr>
    <w:rPr>
      <w:b/>
      <w:kern w:val="0"/>
      <w:sz w:val="21"/>
      <w:szCs w:val="21"/>
    </w:rPr>
  </w:style>
  <w:style w:type="character" w:customStyle="1" w:styleId="55">
    <w:name w:val="表格内容 Char"/>
    <w:link w:val="53"/>
    <w:qFormat/>
    <w:uiPriority w:val="0"/>
    <w:rPr>
      <w:spacing w:val="-2"/>
      <w:sz w:val="21"/>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jpe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12659</Words>
  <Characters>13648</Characters>
  <Lines>376</Lines>
  <Paragraphs>106</Paragraphs>
  <TotalTime>1</TotalTime>
  <ScaleCrop>false</ScaleCrop>
  <LinksUpToDate>false</LinksUpToDate>
  <CharactersWithSpaces>13725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2024-08-07T13:43:00Z</dcterms:created>
  <dc:creator>Administrator</dc:creator>
  <cp:lastModifiedBy>李翔</cp:lastModifiedBy>
  <cp:lastPrinted>2022-11-22T02:35:00Z</cp:lastPrinted>
  <dcterms:modified xsi:type="dcterms:W3CDTF">2025-01-16T06:59:12Z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865601B314DD4F5EABBC13359E2A750B_13</vt:lpwstr>
  </property>
  <property fmtid="{D5CDD505-2E9C-101B-9397-08002B2CF9AE}" pid="4" name="commondata">
    <vt:lpwstr>eyJoZGlkIjoiZjdiYjk5N2E5MWFiMzQ4ZTE5OTRkMzkxZjdmN2FkMGMifQ==</vt:lpwstr>
  </property>
  <property fmtid="{D5CDD505-2E9C-101B-9397-08002B2CF9AE}" pid="5" name="KSOTemplateDocerSaveRecord">
    <vt:lpwstr>eyJoZGlkIjoiY2RmZWMzMGE5MTY5YzU2N2JhNThhNTBmMTllY2IwNjkiLCJ1c2VySWQiOiI0NjIyNjg4MzYifQ==</vt:lpwstr>
  </property>
</Properties>
</file>